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350" w:right="1680" w:hanging="3350"/>
        <w:spacing w:after="0" w:line="269" w:lineRule="auto"/>
        <w:tabs>
          <w:tab w:leader="none" w:pos="33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10" w:type="dxa"/>
        <w:tblCellMar>
          <w:top w:w="0" w:type="dxa"/>
          <w:left w:w="0" w:type="dxa"/>
          <w:bottom w:w="0" w:type="dxa"/>
          <w:right w:w="0" w:type="dxa"/>
        </w:tblCellMar>
      </w:tblPr>
      <w:tr>
        <w:trPr>
          <w:trHeight w:val="210"/>
        </w:trPr>
        <w:tc>
          <w:tcPr>
            <w:tcW w:w="5380" w:type="dxa"/>
            <w:vAlign w:val="bottom"/>
            <w:gridSpan w:val="2"/>
          </w:tcPr>
          <w:p>
            <w:pPr>
              <w:ind w:left="266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28"/>
        </w:trPr>
        <w:tc>
          <w:tcPr>
            <w:tcW w:w="28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76"/>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88"/>
              </w:rPr>
              <w:t>Aziyo Biologics, Inc.</w:t>
            </w:r>
          </w:p>
        </w:tc>
        <w:tc>
          <w:tcPr>
            <w:tcW w:w="2500" w:type="dxa"/>
            <w:vAlign w:val="bottom"/>
          </w:tcPr>
          <w:p>
            <w:pPr>
              <w:spacing w:after="0"/>
              <w:rPr>
                <w:sz w:val="24"/>
                <w:szCs w:val="24"/>
                <w:color w:val="auto"/>
              </w:rPr>
            </w:pPr>
          </w:p>
        </w:tc>
      </w:tr>
      <w:tr>
        <w:trPr>
          <w:trHeight w:val="219"/>
        </w:trPr>
        <w:tc>
          <w:tcPr>
            <w:tcW w:w="788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7"/>
        </w:trPr>
        <w:tc>
          <w:tcPr>
            <w:tcW w:w="28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r>
        <w:trPr>
          <w:trHeight w:val="382"/>
        </w:trPr>
        <w:tc>
          <w:tcPr>
            <w:tcW w:w="538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80" w:type="dxa"/>
            <w:vAlign w:val="bottom"/>
            <w:gridSpan w:val="2"/>
          </w:tcPr>
          <w:p>
            <w:pPr>
              <w:jc w:val="center"/>
              <w:ind w:right="230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80" w:type="dxa"/>
            <w:vAlign w:val="bottom"/>
            <w:gridSpan w:val="2"/>
          </w:tcPr>
          <w:p>
            <w:pPr>
              <w:jc w:val="center"/>
              <w:ind w:right="228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AZYO</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75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left="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left="10" w:firstLine="648"/>
        <w:spacing w:after="0" w:line="293" w:lineRule="auto"/>
        <w:rPr>
          <w:sz w:val="20"/>
          <w:szCs w:val="20"/>
          <w:color w:val="auto"/>
        </w:rPr>
      </w:pPr>
      <w:r>
        <w:rPr>
          <w:rFonts w:ascii="Arial" w:cs="Arial" w:eastAsia="Arial" w:hAnsi="Arial"/>
          <w:sz w:val="16"/>
          <w:szCs w:val="16"/>
          <w:color w:val="auto"/>
        </w:rPr>
        <w:t>As of November 9, 2021, there were 7,122,509 shares of the registrant’s Class A common stock and 3,134,162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projected growth in our net sales,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lawsuits currently pending related to our recall of a single lot of Fiber Viable Bone Matrix (“FiberCel”) and the potential impact of the pandemic related to COVID-19 and variants thereof such as Delta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the other important factors identified in Part I, Item 2. “Management’s Discussion and Analysis of Financial Condition and Results of Operations” and Part II, Item 1A. “Risk Factors” in this Quarterly Report, in Part I, Item 1A. “Risk Factors” and Part II, Item 7. “Management’s Discussion and Analysis of Financial Condition and Results of Operations” in our Annual Report on Form 10-K for the fiscal year ended December 31, 2020 (the “Annual Report”) and in our other filings with the Securities and Exchange Commission (the “SEC”), each of which filings are accessible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the Investor Relations page of our website at https://investors.aziyo.com/reports. These risks and uncertainties include, but are not limited to:</w:t>
      </w:r>
    </w:p>
    <w:p>
      <w:pPr>
        <w:spacing w:after="0" w:line="182" w:lineRule="exact"/>
        <w:rPr>
          <w:sz w:val="20"/>
          <w:szCs w:val="20"/>
          <w:color w:val="auto"/>
        </w:rPr>
      </w:pPr>
    </w:p>
    <w:p>
      <w:pPr>
        <w:ind w:left="700" w:right="53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our relationships with our existing contract manufacturing customers and enter into agreements with new contract manufacturing customers, or if existing contract manufacturing customers reduce purchases of our products;</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700" w:right="319" w:hanging="326"/>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adverse impacts of the novel strain of coronavirus disease, COVID-19 and variants thereof such as Delta or any other future pandemic, epidemic or outbreak of an infectious disease in the United States or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5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jc w:val="both"/>
        <w:ind w:left="700" w:right="999" w:hanging="32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2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www.aziyo.com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www.aziyo.com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“FiberCel®,”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“Risk Factors” and Part I, Item 1A. “Risk Factors” in our Annual Report which can be found at https://investors.aziyo.com/reports.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0"/>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FORWARD-LOOKING STATEMENTS</w:t>
              </w:r>
            </w:hyperlink>
          </w:p>
        </w:tc>
        <w:tc>
          <w:tcPr>
            <w:tcW w:w="5160" w:type="dxa"/>
            <w:vAlign w:val="bottom"/>
            <w:tcBorders>
              <w:bottom w:val="single" w:sz="8" w:color="CCEEFF"/>
            </w:tcBorders>
            <w:gridSpan w:val="11"/>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1</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TRADEMARKS, TRADE NAMES AND SERVICE MARKS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0000EE"/>
            </w:tcBorders>
            <w:gridSpan w:val="11"/>
            <w:shd w:val="clear" w:color="auto" w:fill="CCEEFF"/>
          </w:tcPr>
          <w:p>
            <w:pPr>
              <w:spacing w:after="0" w:line="20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INDUSTRY AND OTHER DATA</w:t>
              </w:r>
            </w:hyperlink>
          </w:p>
        </w:tc>
        <w:tc>
          <w:tcPr>
            <w:tcW w:w="5600" w:type="dxa"/>
            <w:vAlign w:val="bottom"/>
            <w:tcBorders>
              <w:bottom w:val="single" w:sz="8" w:color="CCEEFF"/>
            </w:tcBorders>
            <w:gridSpan w:val="14"/>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3</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PART I – FINANCIAL INFORMATION</w:t>
              </w:r>
            </w:hyperlink>
          </w:p>
        </w:tc>
        <w:tc>
          <w:tcPr>
            <w:tcW w:w="6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Financial Statements </w:t>
              </w:r>
            </w:hyperlink>
            <w:r>
              <w:rPr>
                <w:rFonts w:ascii="Arial" w:cs="Arial" w:eastAsia="Arial" w:hAnsi="Arial"/>
                <w:sz w:val="18"/>
                <w:szCs w:val="18"/>
                <w:color w:val="000000"/>
              </w:rPr>
              <w:t>(Unaudited)</w:t>
            </w:r>
          </w:p>
        </w:tc>
        <w:tc>
          <w:tcPr>
            <w:tcW w:w="6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64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21"/>
          </w:tcPr>
          <w:p>
            <w:pPr>
              <w:spacing w:after="0" w:line="20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Convertible Preferred Stock and Stockholders’</w:t>
              </w:r>
            </w:hyperlink>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Equity (Deficit)</w:t>
              </w:r>
            </w:hyperlink>
          </w:p>
        </w:tc>
        <w:tc>
          <w:tcPr>
            <w:tcW w:w="6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79"/>
              </w:rPr>
              <w:t>7</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64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2"/>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6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79"/>
              </w:rPr>
              <w:t>9</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240" w:type="dxa"/>
            <w:vAlign w:val="bottom"/>
            <w:gridSpan w:val="2"/>
            <w:shd w:val="clear" w:color="auto" w:fill="CCEEFF"/>
          </w:tcPr>
          <w:p>
            <w:pPr>
              <w:spacing w:after="0"/>
              <w:rPr>
                <w:sz w:val="21"/>
                <w:szCs w:val="21"/>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26</w:t>
            </w: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line="202"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240" w:type="dxa"/>
            <w:vAlign w:val="bottom"/>
            <w:tcBorders>
              <w:top w:val="single" w:sz="8" w:color="CCEEFF"/>
            </w:tcBorders>
            <w:gridSpan w:val="2"/>
          </w:tcPr>
          <w:p>
            <w:pPr>
              <w:spacing w:after="0"/>
              <w:rPr>
                <w:sz w:val="17"/>
                <w:szCs w:val="17"/>
                <w:color w:val="auto"/>
              </w:rPr>
            </w:pPr>
          </w:p>
        </w:tc>
        <w:tc>
          <w:tcPr>
            <w:tcW w:w="64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860" w:type="dxa"/>
            <w:vAlign w:val="bottom"/>
            <w:tcBorders>
              <w:top w:val="single" w:sz="8" w:color="CCEEFF"/>
            </w:tcBorders>
            <w:gridSpan w:val="2"/>
          </w:tcPr>
          <w:p>
            <w:pPr>
              <w:spacing w:after="0"/>
              <w:rPr>
                <w:sz w:val="17"/>
                <w:szCs w:val="17"/>
                <w:color w:val="auto"/>
              </w:rPr>
            </w:pPr>
          </w:p>
        </w:tc>
        <w:tc>
          <w:tcPr>
            <w:tcW w:w="640" w:type="dxa"/>
            <w:vAlign w:val="bottom"/>
            <w:tcBorders>
              <w:top w:val="single" w:sz="8" w:color="CCEEFF"/>
            </w:tcBorders>
          </w:tcPr>
          <w:p>
            <w:pPr>
              <w:jc w:val="center"/>
              <w:ind w:left="130"/>
              <w:spacing w:after="0" w:line="202" w:lineRule="exact"/>
              <w:rPr>
                <w:sz w:val="20"/>
                <w:szCs w:val="20"/>
                <w:color w:val="auto"/>
              </w:rPr>
            </w:pPr>
            <w:r>
              <w:rPr>
                <w:rFonts w:ascii="Arial" w:cs="Arial" w:eastAsia="Arial" w:hAnsi="Arial"/>
                <w:sz w:val="18"/>
                <w:szCs w:val="18"/>
                <w:color w:val="auto"/>
                <w:w w:val="89"/>
              </w:rPr>
              <w:t>42</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Controls and Procedures</w:t>
              </w:r>
            </w:hyperlink>
          </w:p>
        </w:tc>
        <w:tc>
          <w:tcPr>
            <w:tcW w:w="5580" w:type="dxa"/>
            <w:vAlign w:val="bottom"/>
            <w:tcBorders>
              <w:bottom w:val="single" w:sz="8" w:color="CCEEFF"/>
            </w:tcBorders>
            <w:gridSpan w:val="1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43</w:t>
            </w:r>
          </w:p>
        </w:tc>
      </w:tr>
      <w:tr>
        <w:trPr>
          <w:trHeight w:val="203"/>
        </w:trPr>
        <w:tc>
          <w:tcPr>
            <w:tcW w:w="20" w:type="dxa"/>
            <w:vAlign w:val="bottom"/>
          </w:tcPr>
          <w:p>
            <w:pPr>
              <w:spacing w:after="0"/>
              <w:rPr>
                <w:sz w:val="17"/>
                <w:szCs w:val="17"/>
                <w:color w:val="auto"/>
              </w:rPr>
            </w:pPr>
          </w:p>
        </w:tc>
        <w:tc>
          <w:tcPr>
            <w:tcW w:w="8100" w:type="dxa"/>
            <w:vAlign w:val="bottom"/>
            <w:gridSpan w:val="25"/>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PART II – OTHER INFORMATION</w:t>
              </w:r>
            </w:hyperlink>
          </w:p>
        </w:tc>
        <w:tc>
          <w:tcPr>
            <w:tcW w:w="6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240" w:type="dxa"/>
            <w:vAlign w:val="bottom"/>
            <w:gridSpan w:val="2"/>
            <w:shd w:val="clear" w:color="auto" w:fill="CCEEFF"/>
          </w:tcPr>
          <w:p>
            <w:pPr>
              <w:spacing w:after="0"/>
              <w:rPr>
                <w:sz w:val="17"/>
                <w:szCs w:val="17"/>
                <w:color w:val="auto"/>
              </w:rPr>
            </w:pPr>
          </w:p>
        </w:tc>
        <w:tc>
          <w:tcPr>
            <w:tcW w:w="73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43</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2.</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434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Unregistered Sales of Equity Securities and Use of Proceeds</w:t>
              </w:r>
            </w:hyperlink>
          </w:p>
        </w:tc>
        <w:tc>
          <w:tcPr>
            <w:tcW w:w="3000" w:type="dxa"/>
            <w:vAlign w:val="bottom"/>
            <w:tcBorders>
              <w:bottom w:val="single" w:sz="8" w:color="CCEEFF"/>
            </w:tcBorders>
            <w:gridSpan w:val="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57</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3.</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Defaults Upon Senior Securities</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57</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76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Mine Safety Disclosures</w:t>
              </w:r>
            </w:hyperlink>
          </w:p>
        </w:tc>
        <w:tc>
          <w:tcPr>
            <w:tcW w:w="5580" w:type="dxa"/>
            <w:vAlign w:val="bottom"/>
            <w:tcBorders>
              <w:bottom w:val="single" w:sz="8" w:color="CCEEFF"/>
            </w:tcBorders>
            <w:gridSpan w:val="13"/>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57</w:t>
            </w: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7340" w:type="dxa"/>
            <w:vAlign w:val="bottom"/>
            <w:gridSpan w:val="22"/>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57</w:t>
            </w: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6.</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6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6740" w:type="dxa"/>
            <w:vAlign w:val="bottom"/>
            <w:tcBorders>
              <w:bottom w:val="single" w:sz="8" w:color="CCEEFF"/>
            </w:tcBorders>
            <w:gridSpan w:val="20"/>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58</w:t>
            </w:r>
          </w:p>
        </w:tc>
      </w:tr>
      <w:tr>
        <w:trPr>
          <w:trHeight w:val="203"/>
        </w:trPr>
        <w:tc>
          <w:tcPr>
            <w:tcW w:w="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Signatures</w:t>
              </w:r>
            </w:hyperlink>
          </w:p>
        </w:tc>
        <w:tc>
          <w:tcPr>
            <w:tcW w:w="7320" w:type="dxa"/>
            <w:vAlign w:val="bottom"/>
            <w:gridSpan w:val="21"/>
          </w:tcPr>
          <w:p>
            <w:pPr>
              <w:spacing w:after="0"/>
              <w:rPr>
                <w:sz w:val="17"/>
                <w:szCs w:val="17"/>
                <w:color w:val="auto"/>
              </w:rPr>
            </w:pPr>
          </w:p>
        </w:tc>
        <w:tc>
          <w:tcPr>
            <w:tcW w:w="6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89"/>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CCEEFF"/>
          </w:tcPr>
          <w:p>
            <w:pPr>
              <w:ind w:left="2920"/>
              <w:spacing w:after="0" w:line="142" w:lineRule="exact"/>
              <w:rPr>
                <w:sz w:val="20"/>
                <w:szCs w:val="20"/>
                <w:color w:val="auto"/>
              </w:rPr>
            </w:pPr>
            <w:r>
              <w:rPr>
                <w:rFonts w:ascii="Arial" w:cs="Arial" w:eastAsia="Arial" w:hAnsi="Arial"/>
                <w:sz w:val="14"/>
                <w:szCs w:val="14"/>
                <w:b w:val="1"/>
                <w:bCs w:val="1"/>
                <w:color w:val="auto"/>
              </w:rPr>
              <w:t>Assets</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202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ind w:left="80"/>
              <w:spacing w:after="0" w:line="149" w:lineRule="exact"/>
              <w:rPr>
                <w:sz w:val="20"/>
                <w:szCs w:val="20"/>
                <w:color w:val="auto"/>
              </w:rPr>
            </w:pPr>
            <w:r>
              <w:rPr>
                <w:rFonts w:ascii="Arial" w:cs="Arial" w:eastAsia="Arial" w:hAnsi="Arial"/>
                <w:sz w:val="14"/>
                <w:szCs w:val="14"/>
                <w:color w:val="auto"/>
              </w:rPr>
              <w:t>Inventory</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39,254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59,707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18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59,903</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200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202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2,714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2,295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Revolving line of credit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Deferred revenue and other current liabilities</w:t>
            </w:r>
          </w:p>
        </w:tc>
        <w:tc>
          <w:tcPr>
            <w:tcW w:w="1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22,510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26,779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16,552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16,633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and other long-term liabilities</w:t>
            </w:r>
          </w:p>
        </w:tc>
        <w:tc>
          <w:tcPr>
            <w:tcW w:w="1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1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52,044</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61,979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9)</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4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Class A Common stock, $0.001 par value, 200,000,000 shares authorized as of September 30, 2021 and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December 31, 2020, and 7,122,509 and 7,091,960 shares issued and outstanding, as of</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80"/>
              <w:spacing w:after="0"/>
              <w:rPr>
                <w:sz w:val="20"/>
                <w:szCs w:val="20"/>
                <w:color w:val="auto"/>
              </w:rPr>
            </w:pPr>
            <w:r>
              <w:rPr>
                <w:rFonts w:ascii="Arial" w:cs="Arial" w:eastAsia="Arial" w:hAnsi="Arial"/>
                <w:sz w:val="14"/>
                <w:szCs w:val="14"/>
                <w:color w:val="auto"/>
              </w:rPr>
              <w:t>September 30, 2021 and December 31, 2020, respectively</w:t>
            </w: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2"/>
              </w:rPr>
              <w:t>Class B Common stock, $0.001 par value, 20,000,000 shares authorized, as of</w:t>
            </w:r>
          </w:p>
        </w:tc>
        <w:tc>
          <w:tcPr>
            <w:tcW w:w="2020" w:type="dxa"/>
            <w:vAlign w:val="bottom"/>
            <w:gridSpan w:val="2"/>
            <w:shd w:val="clear" w:color="auto" w:fill="CCEEFF"/>
          </w:tcPr>
          <w:p>
            <w:pPr>
              <w:jc w:val="right"/>
              <w:ind w:right="542"/>
              <w:spacing w:after="0" w:line="130" w:lineRule="exact"/>
              <w:rPr>
                <w:sz w:val="20"/>
                <w:szCs w:val="20"/>
                <w:color w:val="auto"/>
              </w:rPr>
            </w:pPr>
            <w:r>
              <w:rPr>
                <w:rFonts w:ascii="Arial" w:cs="Arial" w:eastAsia="Arial" w:hAnsi="Arial"/>
                <w:sz w:val="14"/>
                <w:szCs w:val="14"/>
                <w:color w:val="auto"/>
                <w:w w:val="90"/>
              </w:rPr>
              <w:t>September 30, 2021 and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December 31, 2020 and 3,134,162 issued and outstanding as of September 30, 2021 and</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December 31, 2020</w:t>
            </w:r>
          </w:p>
        </w:tc>
        <w:tc>
          <w:tcPr>
            <w:tcW w:w="1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103,876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101,080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(96,027)</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(80,259)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stockholders’ equity</w:t>
            </w:r>
          </w:p>
        </w:tc>
        <w:tc>
          <w:tcPr>
            <w:tcW w:w="1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7,859</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20,831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8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59,903</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82,810</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-1859915</wp:posOffset>
            </wp:positionV>
            <wp:extent cx="397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-3025140</wp:posOffset>
            </wp:positionV>
            <wp:extent cx="3977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7,796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68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6,233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9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20,897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5B6F80"/>
            </w:tcBorders>
          </w:tcPr>
          <w:p>
            <w:pPr>
              <w:spacing w:after="0"/>
              <w:rPr>
                <w:sz w:val="18"/>
                <w:szCs w:val="18"/>
                <w:color w:val="auto"/>
              </w:rPr>
            </w:pPr>
          </w:p>
        </w:tc>
        <w:tc>
          <w:tcPr>
            <w:tcW w:w="7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15,676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5B6F80"/>
            </w:tcBorders>
            <w:shd w:val="clear" w:color="auto" w:fill="CCEEFF"/>
          </w:tcPr>
          <w:p>
            <w:pPr>
              <w:spacing w:after="0"/>
              <w:rPr>
                <w:sz w:val="18"/>
                <w:szCs w:val="18"/>
                <w:color w:val="auto"/>
              </w:rPr>
            </w:pPr>
          </w:p>
        </w:tc>
        <w:tc>
          <w:tcPr>
            <w:tcW w:w="9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5B6F80"/>
            </w:tcBorders>
            <w:shd w:val="clear" w:color="auto" w:fill="CCEEFF"/>
          </w:tcPr>
          <w:p>
            <w:pPr>
              <w:spacing w:after="0"/>
              <w:rPr>
                <w:sz w:val="18"/>
                <w:szCs w:val="18"/>
                <w:color w:val="auto"/>
              </w:rPr>
            </w:pPr>
          </w:p>
        </w:tc>
        <w:tc>
          <w:tcPr>
            <w:tcW w:w="68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5B6F80"/>
            </w:tcBorders>
            <w:shd w:val="clear" w:color="auto" w:fill="CCEEFF"/>
          </w:tcPr>
          <w:p>
            <w:pPr>
              <w:spacing w:after="0"/>
              <w:rPr>
                <w:sz w:val="18"/>
                <w:szCs w:val="18"/>
                <w:color w:val="auto"/>
              </w:rPr>
            </w:pPr>
          </w:p>
        </w:tc>
        <w:tc>
          <w:tcPr>
            <w:tcW w:w="9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5B6F80"/>
            </w:tcBorders>
            <w:shd w:val="clear" w:color="auto" w:fill="CCEEFF"/>
          </w:tcPr>
          <w:p>
            <w:pPr>
              <w:jc w:val="right"/>
              <w:spacing w:after="0"/>
              <w:rPr>
                <w:sz w:val="20"/>
                <w:szCs w:val="20"/>
                <w:color w:val="auto"/>
              </w:rPr>
            </w:pPr>
            <w:r>
              <w:rPr>
                <w:rFonts w:ascii="Arial" w:cs="Arial" w:eastAsia="Arial" w:hAnsi="Arial"/>
                <w:sz w:val="18"/>
                <w:szCs w:val="18"/>
                <w:color w:val="auto"/>
              </w:rPr>
              <w:t>(16,451)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loss per share - basic and 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(0.81)</w:t>
            </w: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(15.79)</w:t>
            </w: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(1.54)</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(30.82)</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w w:val="92"/>
              </w:rPr>
              <w:t>Weighted average common shares outstanding - basic and diluted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10,235,350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648,436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10,229,974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648,331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CONDENSED CONSOLIDATED STATEMENTS OF CHANGES IN CONVERTIBLE</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center"/>
              <w:ind w:right="6"/>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tcPr>
          <w:p>
            <w:pPr>
              <w:jc w:val="right"/>
              <w:ind w:right="130"/>
              <w:spacing w:after="0"/>
              <w:rPr>
                <w:sz w:val="20"/>
                <w:szCs w:val="20"/>
                <w:color w:val="auto"/>
              </w:rPr>
            </w:pPr>
            <w:r>
              <w:rPr>
                <w:rFonts w:ascii="Arial" w:cs="Arial" w:eastAsia="Arial" w:hAnsi="Arial"/>
                <w:sz w:val="11"/>
                <w:szCs w:val="11"/>
                <w:b w:val="1"/>
                <w:bCs w:val="1"/>
                <w:color w:val="auto"/>
              </w:rPr>
              <w:t>Class A</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tcPr>
          <w:p>
            <w:pPr>
              <w:jc w:val="right"/>
              <w:ind w:right="150"/>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5"/>
          </w:tcPr>
          <w:p>
            <w:pPr>
              <w:ind w:left="160"/>
              <w:spacing w:after="0"/>
              <w:rPr>
                <w:sz w:val="20"/>
                <w:szCs w:val="20"/>
                <w:color w:val="auto"/>
              </w:rPr>
            </w:pPr>
            <w:r>
              <w:rPr>
                <w:rFonts w:ascii="Arial" w:cs="Arial" w:eastAsia="Arial" w:hAnsi="Arial"/>
                <w:sz w:val="11"/>
                <w:szCs w:val="11"/>
                <w:b w:val="1"/>
                <w:bCs w:val="1"/>
                <w:color w:val="auto"/>
                <w:w w:val="86"/>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right"/>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6"/>
            <w:vMerge w:val="restart"/>
          </w:tcPr>
          <w:p>
            <w:pPr>
              <w:ind w:left="80"/>
              <w:spacing w:after="0"/>
              <w:rPr>
                <w:sz w:val="20"/>
                <w:szCs w:val="20"/>
                <w:color w:val="auto"/>
              </w:rPr>
            </w:pPr>
            <w:r>
              <w:rPr>
                <w:rFonts w:ascii="Arial" w:cs="Arial" w:eastAsia="Arial" w:hAnsi="Arial"/>
                <w:sz w:val="11"/>
                <w:szCs w:val="11"/>
                <w:b w:val="1"/>
                <w:bCs w:val="1"/>
                <w:color w:val="auto"/>
                <w:w w:val="96"/>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Paid-in</w:t>
            </w:r>
          </w:p>
        </w:tc>
        <w:tc>
          <w:tcPr>
            <w:tcW w:w="680" w:type="dxa"/>
            <w:vAlign w:val="bottom"/>
            <w:gridSpan w:val="5"/>
          </w:tcPr>
          <w:p>
            <w:pPr>
              <w:jc w:val="right"/>
              <w:ind w:right="20"/>
              <w:spacing w:after="0" w:line="122" w:lineRule="exact"/>
              <w:rPr>
                <w:sz w:val="20"/>
                <w:szCs w:val="20"/>
                <w:color w:val="auto"/>
              </w:rPr>
            </w:pPr>
            <w:r>
              <w:rPr>
                <w:rFonts w:ascii="Arial" w:cs="Arial" w:eastAsia="Arial" w:hAnsi="Arial"/>
                <w:sz w:val="11"/>
                <w:szCs w:val="11"/>
                <w:b w:val="1"/>
                <w:bCs w:val="1"/>
                <w:color w:val="auto"/>
                <w:w w:val="92"/>
              </w:rPr>
              <w:t>Accumulated</w:t>
            </w:r>
          </w:p>
        </w:tc>
        <w:tc>
          <w:tcPr>
            <w:tcW w:w="74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420" w:type="dxa"/>
            <w:vAlign w:val="bottom"/>
            <w:gridSpan w:val="4"/>
          </w:tcPr>
          <w:p>
            <w:pPr>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500" w:type="dxa"/>
            <w:vAlign w:val="bottom"/>
            <w:gridSpan w:val="5"/>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420" w:type="dxa"/>
            <w:vAlign w:val="bottom"/>
            <w:gridSpan w:val="4"/>
          </w:tcPr>
          <w:p>
            <w:pPr>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4"/>
          </w:tcPr>
          <w:p>
            <w:pPr>
              <w:ind w:left="40"/>
              <w:spacing w:after="0"/>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2021</w:t>
            </w: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right w:val="single" w:sz="8" w:color="CCEEFF"/>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7,095,265</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3,134,162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$ 102,668</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(87,711)</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14,967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w w:val="88"/>
              </w:rPr>
              <w:t>Proceeds from sale of common stock through Employee Stock Purchase Plan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5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27,244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208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1,000</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(8,316)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(8,316)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right w:val="single" w:sz="8" w:color="CCEEFF"/>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left w:val="single" w:sz="8" w:color="CCEEFF"/>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72"/>
              </w:rPr>
              <w:t>—</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7,122,509</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9"/>
              </w:rPr>
              <w:t>3,134,162</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$ 103,876</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(96,027)</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Balance, June 30, 2020</w:t>
            </w:r>
          </w:p>
        </w:tc>
        <w:tc>
          <w:tcPr>
            <w:tcW w:w="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7"/>
              </w:rPr>
              <w:t>45,000,000</w:t>
            </w:r>
          </w:p>
        </w:tc>
        <w:tc>
          <w:tcPr>
            <w:tcW w:w="100" w:type="dxa"/>
            <w:vAlign w:val="bottom"/>
            <w:vMerge w:val="continue"/>
          </w:tcPr>
          <w:p>
            <w:pPr>
              <w:spacing w:after="0"/>
              <w:rPr>
                <w:sz w:val="8"/>
                <w:szCs w:val="8"/>
                <w:color w:val="auto"/>
              </w:rPr>
            </w:pPr>
          </w:p>
        </w:tc>
        <w:tc>
          <w:tcPr>
            <w:tcW w:w="440" w:type="dxa"/>
            <w:vAlign w:val="bottom"/>
            <w:gridSpan w:val="2"/>
          </w:tcPr>
          <w:p>
            <w:pPr>
              <w:jc w:val="right"/>
              <w:ind w:right="46"/>
              <w:spacing w:after="0" w:line="102" w:lineRule="exact"/>
              <w:rPr>
                <w:sz w:val="20"/>
                <w:szCs w:val="20"/>
                <w:color w:val="auto"/>
              </w:rPr>
            </w:pPr>
            <w:r>
              <w:rPr>
                <w:rFonts w:ascii="Arial" w:cs="Arial" w:eastAsia="Arial" w:hAnsi="Arial"/>
                <w:sz w:val="11"/>
                <w:szCs w:val="11"/>
                <w:b w:val="1"/>
                <w:bCs w:val="1"/>
                <w:color w:val="auto"/>
                <w:w w:val="80"/>
              </w:rPr>
              <w:t>$44,899</w:t>
            </w:r>
          </w:p>
        </w:tc>
        <w:tc>
          <w:tcPr>
            <w:tcW w:w="20" w:type="dxa"/>
            <w:vAlign w:val="bottom"/>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648,277</w:t>
            </w: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2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1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40" w:type="dxa"/>
            <w:vAlign w:val="bottom"/>
            <w:gridSpan w:val="2"/>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72"/>
              </w:rPr>
              <w:t>—</w:t>
            </w:r>
          </w:p>
        </w:tc>
        <w:tc>
          <w:tcPr>
            <w:tcW w:w="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40" w:type="dxa"/>
            <w:vAlign w:val="bottom"/>
            <w:gridSpan w:val="2"/>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72"/>
              </w:rPr>
              <w:t>—</w:t>
            </w:r>
          </w:p>
        </w:tc>
        <w:tc>
          <w:tcPr>
            <w:tcW w:w="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4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1,952</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(66,676)</w:t>
            </w:r>
          </w:p>
        </w:tc>
        <w:tc>
          <w:tcPr>
            <w:tcW w:w="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w:t>
            </w:r>
          </w:p>
        </w:tc>
        <w:tc>
          <w:tcPr>
            <w:tcW w:w="50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(64,723)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Convertible Preferred Stock, net of issuance costs of $9</w:t>
            </w:r>
          </w:p>
        </w:tc>
        <w:tc>
          <w:tcPr>
            <w:tcW w:w="6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5,414,427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87"/>
              </w:rPr>
              <w:t>8,184</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402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Accretion of Convertible Preferred Stock</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87"/>
              </w:rPr>
              <w:t>3,510</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(2,012)</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0"/>
                <w:szCs w:val="10"/>
                <w:color w:val="auto"/>
              </w:rPr>
            </w:pPr>
          </w:p>
        </w:tc>
        <w:tc>
          <w:tcPr>
            <w:tcW w:w="5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58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2"/>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2020</w:t>
            </w:r>
          </w:p>
        </w:tc>
        <w:tc>
          <w:tcPr>
            <w:tcW w:w="6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50,414,427</w:t>
            </w:r>
          </w:p>
        </w:tc>
        <w:tc>
          <w:tcPr>
            <w:tcW w:w="100" w:type="dxa"/>
            <w:vAlign w:val="bottom"/>
          </w:tcPr>
          <w:p>
            <w:pPr>
              <w:spacing w:after="0"/>
              <w:rPr>
                <w:sz w:val="10"/>
                <w:szCs w:val="10"/>
                <w:color w:val="auto"/>
              </w:rPr>
            </w:pPr>
          </w:p>
        </w:tc>
        <w:tc>
          <w:tcPr>
            <w:tcW w:w="440" w:type="dxa"/>
            <w:vAlign w:val="bottom"/>
            <w:tcBorders>
              <w:top w:val="single" w:sz="8" w:color="auto"/>
              <w:bottom w:val="single" w:sz="8" w:color="auto"/>
            </w:tcBorders>
            <w:gridSpan w:val="2"/>
          </w:tcPr>
          <w:p>
            <w:pPr>
              <w:jc w:val="right"/>
              <w:ind w:right="46"/>
              <w:spacing w:after="0" w:line="115" w:lineRule="exact"/>
              <w:rPr>
                <w:sz w:val="20"/>
                <w:szCs w:val="20"/>
                <w:color w:val="auto"/>
              </w:rPr>
            </w:pPr>
            <w:r>
              <w:rPr>
                <w:rFonts w:ascii="Arial" w:cs="Arial" w:eastAsia="Arial" w:hAnsi="Arial"/>
                <w:sz w:val="11"/>
                <w:szCs w:val="11"/>
                <w:b w:val="1"/>
                <w:bCs w:val="1"/>
                <w:u w:val="single" w:color="auto"/>
                <w:color w:val="auto"/>
                <w:w w:val="80"/>
              </w:rPr>
              <w:t>$</w:t>
            </w:r>
            <w:r>
              <w:rPr>
                <w:rFonts w:ascii="Arial" w:cs="Arial" w:eastAsia="Arial" w:hAnsi="Arial"/>
                <w:sz w:val="11"/>
                <w:szCs w:val="11"/>
                <w:b w:val="1"/>
                <w:bCs w:val="1"/>
                <w:color w:val="auto"/>
                <w:w w:val="80"/>
              </w:rPr>
              <w:t>56,593</w:t>
            </w: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648,679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5"/>
                <w:szCs w:val="5"/>
                <w:b w:val="1"/>
                <w:bCs w:val="1"/>
                <w:color w:val="auto"/>
                <w:w w:val="70"/>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72"/>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(74,905)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(74,904)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4"/>
            <w:vMerge w:val="restart"/>
          </w:tcPr>
          <w:p>
            <w:pPr>
              <w:jc w:val="center"/>
              <w:ind w:right="6"/>
              <w:spacing w:after="0"/>
              <w:rPr>
                <w:sz w:val="20"/>
                <w:szCs w:val="20"/>
                <w:color w:val="auto"/>
              </w:rPr>
            </w:pPr>
            <w:r>
              <w:rPr>
                <w:rFonts w:ascii="Arial" w:cs="Arial" w:eastAsia="Arial" w:hAnsi="Arial"/>
                <w:sz w:val="11"/>
                <w:szCs w:val="11"/>
                <w:b w:val="1"/>
                <w:bCs w:val="1"/>
                <w:color w:val="auto"/>
                <w:w w:val="89"/>
              </w:rPr>
              <w:t>Convertible</w:t>
            </w: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vMerge w:val="restart"/>
          </w:tcPr>
          <w:p>
            <w:pPr>
              <w:jc w:val="right"/>
              <w:ind w:right="110"/>
              <w:spacing w:after="0"/>
              <w:rPr>
                <w:sz w:val="20"/>
                <w:szCs w:val="20"/>
                <w:color w:val="auto"/>
              </w:rPr>
            </w:pPr>
            <w:r>
              <w:rPr>
                <w:rFonts w:ascii="Arial" w:cs="Arial" w:eastAsia="Arial" w:hAnsi="Arial"/>
                <w:sz w:val="11"/>
                <w:szCs w:val="11"/>
                <w:b w:val="1"/>
                <w:bCs w:val="1"/>
                <w:color w:val="auto"/>
              </w:rPr>
              <w:t>Class A</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vMerge w:val="restart"/>
          </w:tcPr>
          <w:p>
            <w:pPr>
              <w:jc w:val="right"/>
              <w:ind w:right="110"/>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60" w:type="dxa"/>
            <w:vAlign w:val="bottom"/>
            <w:gridSpan w:val="7"/>
          </w:tcPr>
          <w:p>
            <w:pPr>
              <w:ind w:left="18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ind w:left="14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1"/>
                <w:szCs w:val="11"/>
                <w:color w:val="auto"/>
              </w:rPr>
            </w:pPr>
          </w:p>
        </w:tc>
        <w:tc>
          <w:tcPr>
            <w:tcW w:w="1020" w:type="dxa"/>
            <w:vAlign w:val="bottom"/>
            <w:gridSpan w:val="7"/>
          </w:tcPr>
          <w:p>
            <w:pPr>
              <w:ind w:left="1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54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w w:val="92"/>
              </w:rPr>
              <w:t>Additional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Paid-in</w:t>
            </w:r>
          </w:p>
        </w:tc>
        <w:tc>
          <w:tcPr>
            <w:tcW w:w="60" w:type="dxa"/>
            <w:vAlign w:val="bottom"/>
          </w:tcPr>
          <w:p>
            <w:pPr>
              <w:spacing w:after="0"/>
              <w:rPr>
                <w:sz w:val="10"/>
                <w:szCs w:val="10"/>
                <w:color w:val="auto"/>
              </w:rPr>
            </w:pPr>
          </w:p>
        </w:tc>
        <w:tc>
          <w:tcPr>
            <w:tcW w:w="6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w w:val="83"/>
              </w:rPr>
              <w:t>Accumulated</w:t>
            </w:r>
          </w:p>
        </w:tc>
        <w:tc>
          <w:tcPr>
            <w:tcW w:w="80" w:type="dxa"/>
            <w:vAlign w:val="bottom"/>
          </w:tcPr>
          <w:p>
            <w:pPr>
              <w:spacing w:after="0"/>
              <w:rPr>
                <w:sz w:val="10"/>
                <w:szCs w:val="10"/>
                <w:color w:val="auto"/>
              </w:rPr>
            </w:pPr>
          </w:p>
        </w:tc>
        <w:tc>
          <w:tcPr>
            <w:tcW w:w="6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4"/>
          </w:tcPr>
          <w:p>
            <w:pPr>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2020</w:t>
            </w: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right w:val="single" w:sz="8" w:color="CCEEFF"/>
            </w:tcBorders>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60" w:type="dxa"/>
            <w:vAlign w:val="bottom"/>
            <w:tcBorders>
              <w:top w:val="single" w:sz="8" w:color="auto"/>
              <w:left w:val="single" w:sz="8" w:color="CCEEFF"/>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7,091,960</w:t>
            </w: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3"/>
              </w:rPr>
              <w:t>3,134,162</w:t>
            </w: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4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5"/>
              </w:rPr>
              <w:t>$ 101,080</w:t>
            </w: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(80,259)</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20,831</w:t>
            </w:r>
          </w:p>
        </w:tc>
        <w:tc>
          <w:tcPr>
            <w:tcW w:w="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3,305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88"/>
              </w:rPr>
              <w:t>Proceeds from sale of common stock through Employee Stock Purchase Plan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27,244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2,562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2,562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(15,768)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(15,768)</w:t>
            </w:r>
          </w:p>
        </w:tc>
        <w:tc>
          <w:tcPr>
            <w:tcW w:w="0" w:type="dxa"/>
            <w:vAlign w:val="bottom"/>
          </w:tcPr>
          <w:p>
            <w:pPr>
              <w:spacing w:after="0"/>
              <w:rPr>
                <w:sz w:val="1"/>
                <w:szCs w:val="1"/>
                <w:color w:val="auto"/>
              </w:rPr>
            </w:pPr>
          </w:p>
        </w:tc>
      </w:tr>
      <w:tr>
        <w:trPr>
          <w:trHeight w:val="155"/>
        </w:trPr>
        <w:tc>
          <w:tcPr>
            <w:tcW w:w="34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2021</w:t>
            </w: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56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spacing w:after="0"/>
              <w:rPr>
                <w:sz w:val="13"/>
                <w:szCs w:val="13"/>
                <w:color w:val="auto"/>
              </w:rPr>
            </w:pPr>
          </w:p>
        </w:tc>
        <w:tc>
          <w:tcPr>
            <w:tcW w:w="2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gridSpan w:val="2"/>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7,122,509</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3,134,162</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85"/>
              </w:rPr>
              <w:t>$ 103,876</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(96,027)</w:t>
            </w: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7,859</w:t>
            </w:r>
          </w:p>
        </w:tc>
        <w:tc>
          <w:tcPr>
            <w:tcW w:w="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8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Balance, December 31, 2019</w:t>
            </w:r>
          </w:p>
        </w:tc>
        <w:tc>
          <w:tcPr>
            <w:tcW w:w="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7"/>
              </w:rPr>
              <w:t>44,550,230</w:t>
            </w: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right w:val="single" w:sz="8" w:color="CCEEFF"/>
            </w:tcBorders>
            <w:gridSpan w:val="2"/>
            <w:shd w:val="clear" w:color="auto" w:fill="CCEEFF"/>
          </w:tcPr>
          <w:p>
            <w:pPr>
              <w:jc w:val="right"/>
              <w:ind w:right="46"/>
              <w:spacing w:after="0" w:line="102" w:lineRule="exact"/>
              <w:rPr>
                <w:sz w:val="20"/>
                <w:szCs w:val="20"/>
                <w:color w:val="auto"/>
              </w:rPr>
            </w:pPr>
            <w:r>
              <w:rPr>
                <w:rFonts w:ascii="Arial" w:cs="Arial" w:eastAsia="Arial" w:hAnsi="Arial"/>
                <w:sz w:val="11"/>
                <w:szCs w:val="11"/>
                <w:b w:val="1"/>
                <w:bCs w:val="1"/>
                <w:color w:val="auto"/>
                <w:w w:val="80"/>
              </w:rPr>
              <w:t>$44,449</w:t>
            </w: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20" w:type="dxa"/>
            <w:vAlign w:val="bottom"/>
            <w:tcBorders>
              <w:top w:val="single" w:sz="8" w:color="auto"/>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648,277</w:t>
            </w: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gridSpan w:val="2"/>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jc w:val="right"/>
              <w:ind w:right="110"/>
              <w:spacing w:after="0" w:line="102" w:lineRule="exact"/>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jc w:val="right"/>
              <w:ind w:right="110"/>
              <w:spacing w:after="0" w:line="102" w:lineRule="exact"/>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gridSpan w:val="2"/>
            <w:shd w:val="clear" w:color="auto" w:fill="CCEEFF"/>
          </w:tcPr>
          <w:p>
            <w:pPr>
              <w:jc w:val="right"/>
              <w:ind w:right="4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gridSpan w:val="2"/>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1,826</w:t>
            </w:r>
          </w:p>
        </w:tc>
        <w:tc>
          <w:tcPr>
            <w:tcW w:w="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gridSpan w:val="2"/>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(56,938)</w:t>
            </w:r>
          </w:p>
        </w:tc>
        <w:tc>
          <w:tcPr>
            <w:tcW w:w="120" w:type="dxa"/>
            <w:vAlign w:val="bottom"/>
            <w:tcBorders>
              <w:top w:val="single" w:sz="8" w:color="CCEEFF"/>
            </w:tcBorders>
            <w:gridSpan w:val="2"/>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gridSpan w:val="2"/>
            <w:shd w:val="clear" w:color="auto" w:fill="CCEEFF"/>
          </w:tcPr>
          <w:p>
            <w:pPr>
              <w:jc w:val="right"/>
              <w:ind w:right="20"/>
              <w:spacing w:after="0" w:line="102" w:lineRule="exact"/>
              <w:rPr>
                <w:sz w:val="20"/>
                <w:szCs w:val="20"/>
                <w:color w:val="auto"/>
              </w:rPr>
            </w:pPr>
            <w:r>
              <w:rPr>
                <w:rFonts w:ascii="Arial" w:cs="Arial" w:eastAsia="Arial" w:hAnsi="Arial"/>
                <w:sz w:val="11"/>
                <w:szCs w:val="11"/>
                <w:b w:val="1"/>
                <w:bCs w:val="1"/>
                <w:color w:val="auto"/>
              </w:rPr>
              <w:t>(55,111)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Issuance of Convertible Preferred Stock, net of issuance costs of $9</w:t>
            </w:r>
          </w:p>
        </w:tc>
        <w:tc>
          <w:tcPr>
            <w:tcW w:w="6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5,864,197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w w:val="87"/>
              </w:rPr>
              <w:t>8,634</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Accretion of Convertible Preferred Stock</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w w:val="87"/>
              </w:rPr>
              <w:t>3,510</w:t>
            </w: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(2,012)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(1,498)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(3,510)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tcBorders>
              <w:left w:val="single" w:sz="8" w:color="CCEEFF"/>
            </w:tcBorders>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(16,469)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(16,469)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87"/>
              </w:rPr>
              <w:t>50,414,427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right w:val="single" w:sz="8" w:color="CCEEFF"/>
            </w:tcBorders>
            <w:gridSpan w:val="2"/>
            <w:shd w:val="clear" w:color="auto" w:fill="CCEEFF"/>
          </w:tcPr>
          <w:p>
            <w:pPr>
              <w:jc w:val="right"/>
              <w:ind w:right="46"/>
              <w:spacing w:after="0" w:line="115" w:lineRule="exact"/>
              <w:rPr>
                <w:sz w:val="20"/>
                <w:szCs w:val="20"/>
                <w:color w:val="auto"/>
              </w:rPr>
            </w:pPr>
            <w:r>
              <w:rPr>
                <w:rFonts w:ascii="Arial" w:cs="Arial" w:eastAsia="Arial" w:hAnsi="Arial"/>
                <w:sz w:val="11"/>
                <w:szCs w:val="11"/>
                <w:b w:val="1"/>
                <w:bCs w:val="1"/>
                <w:u w:val="single" w:color="auto"/>
                <w:color w:val="auto"/>
                <w:w w:val="80"/>
              </w:rPr>
              <w:t>$</w:t>
            </w:r>
            <w:r>
              <w:rPr>
                <w:rFonts w:ascii="Arial" w:cs="Arial" w:eastAsia="Arial" w:hAnsi="Arial"/>
                <w:sz w:val="11"/>
                <w:szCs w:val="11"/>
                <w:b w:val="1"/>
                <w:bCs w:val="1"/>
                <w:color w:val="auto"/>
                <w:w w:val="80"/>
              </w:rPr>
              <w:t>56,593</w:t>
            </w: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520" w:type="dxa"/>
            <w:vAlign w:val="bottom"/>
            <w:tcBorders>
              <w:top w:val="single" w:sz="8" w:color="auto"/>
              <w:left w:val="single" w:sz="8" w:color="CCEEFF"/>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648,679</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(74,905)</w:t>
            </w:r>
          </w:p>
        </w:tc>
        <w:tc>
          <w:tcPr>
            <w:tcW w:w="12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b w:val="1"/>
                <w:bCs w:val="1"/>
                <w:color w:val="auto"/>
              </w:rPr>
              <w:t>(74,904)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940"/>
          </w:cols>
          <w:pgMar w:left="1220" w:top="517" w:right="7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Nine Months Ended</w:t>
      </w:r>
    </w:p>
    <w:p>
      <w:pPr>
        <w:ind w:left="7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(15,768)</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loss on (forgiveness)/early extinguishment of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Gain on revaluation of revenue interest obligation and other</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 recorded as Convertible Preferred Stock</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Operating expense satisfied through Convertible Preferred Stock issuance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Obligations to tissue suppliers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Proceeds from issuance of Convertible Promissory Note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Proceeds from Convertible Preferred Stock issuance, net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stock option exercises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Repayments of long-term debt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Proceeds from sales of common stock through Employee Stock Purchase Plan</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(16,906)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39,532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22,626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Supplemental Cash Flow and Non-Cash Financing Activities Disclosures: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3,788</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Conversion of Convertible Promissory Note to Convertible Preferred Stock</w:t>
            </w:r>
          </w:p>
        </w:tc>
        <w:tc>
          <w:tcPr>
            <w:tcW w:w="6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SBA PPP loan</w:t>
            </w:r>
          </w:p>
        </w:tc>
        <w:tc>
          <w:tcPr>
            <w:tcW w:w="6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Stock Split and Initial Public Offering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condensed consolidated financial statements and the accompanying notes has been retroactively adjusted for all periods presented to give effect to the reverse stock split.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October 13, 2020, in connection with the Company’s initial public offering ("IPO"), the Company issued and sold 2,941,176 shares of common stock, consisting of 2,205,882 shares of Class A common stock and 735,294 shares of Class B common stock, at a price to the public of $17.00 per share, resulting in net proceeds to the Company of approximately $43.0 million, after deducting the underwriting discount of approximately $3.5 million and offering expenses of approximately $3.5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2020. The financial information as of September 30, 2021 and for the three and nine months ended September 30, 2021 and 2020 is unaudited, but in the opinion of management, all adjustments considered necessary for a fair statement of the results for these interim periods have been included. The condensed consolidated balance sheet data as of December 31, 2020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the Company has evaluated whether there are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events, considered in the aggregate, that raise substantial doubt about the Company’s ability to continue as a going concern within one year after the date that the consolidated financial statements are issued. For the three and nine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months ended September 30, 2021, the Company incurred net losses of $8.3 million and $15.8 million, respectively, and as of September 30, 2021, the Company had an accumulated deficit of $96.0 million.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spacing w:after="0" w:line="16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further described in Note 6, the Company’s Term Debt Facility (“Term Debt”) and Revolving Line of Credit (the “Revolver”) include monthly revenue covenants, the non-compliance of which would permit our lenders to accelerate the repayment of these outstanding borrowings. In October 2021, the Company was informed by Medtronic that they would no longer be distributing cellular bone products such as FiberCel and, as such, the two companies are working towards a mutual termination of the associated FiberCel distribution agreement (“FiberCel Agreement”). Such termination will follow the suspension of all FiberCel purchases by Medtronic after Aziyo’s voluntary recall pertaining to a single donor lot of FiberCel in June 2021. Given the associated revenues derived from the FiberCel Agreement, its suspension and then termination may negatively affect the Company’s future revenues. As such, while Aziyo is currently in compliance with all revenue covenants, the Company’s ability to comply with these covenants in the future is uncertain. Additionally, in August 2021, the Company commenced the principal repayment of its Term Debt with such repayments totaling approximately $556,000 per month.</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the Company may seek to raise capital through the issuance of common stock and to either refinance or restructure its Term Debt and Revolver. However, the Company may not be able to raise additional equity or refinance its Term Debt and Revolver on acceptable terms, or at all. As such, based on its current operating plans, the Company believes there is uncertainty as to whether its future cash flows along with its existing cash, availability under its Revolver and cash generated from expected future sales will be sufficient to meet the Company’s anticipated operating needs through twelve months from the financial statement issuance date. Due to these factors, there is substantial doubt about Aziyo’s ability to continue as a going concern within one year after the issuance of the financial statements.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condensed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three and nine months ended September 30, 2020 along with the line items in the condensed consolidated statement of operations that were impacted (in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Increase (Decrease) From Previously Reported Amounts</w:t>
            </w: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right"/>
              <w:ind w:right="240"/>
              <w:spacing w:after="0" w:line="119" w:lineRule="exact"/>
              <w:rPr>
                <w:sz w:val="20"/>
                <w:szCs w:val="20"/>
                <w:color w:val="auto"/>
              </w:rPr>
            </w:pPr>
            <w:r>
              <w:rPr>
                <w:rFonts w:ascii="Arial" w:cs="Arial" w:eastAsia="Arial" w:hAnsi="Arial"/>
                <w:sz w:val="13"/>
                <w:szCs w:val="13"/>
                <w:b w:val="1"/>
                <w:bCs w:val="1"/>
                <w:color w:val="auto"/>
              </w:rPr>
              <w:t>Nine Months Ended</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8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These reclassifications did not impact the Company’s consolidated earnings or assets for the three and nine months ended September 30,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amounts of revenues and expenses during the reporting period. Estimates and assumptions relating to inventory, receivables, long-lived assets, the valuation of stock-based awards, the valuation of the preferred stock warrant liability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continues to closely monitor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and the access of Aziyo’s sales representatives to the associated healthcare facilities has been curtailed, all of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participating securities. The Convertible Preferred Stock was considered a participating security through the completion of the IPO.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two-class method, the net loss attributable to common stockholders is not allocated to the Convertible Preferred Stock as the holders of the preferred stock do not have a contractual obligation to share in losses.</w:t>
      </w:r>
    </w:p>
    <w:p>
      <w:pPr>
        <w:spacing w:after="0" w:line="17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Under the provisions of the Revolving Credit Facility (see Note 6),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condensed consolidated balance sheets. The following table provides a reconciliation of cash and restricted cash included in the condensed consolidated balance sheets to the amounts included in the statements of cash flows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22,626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Inventory,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90"/>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jc w:val="center"/>
              <w:ind w:left="1710"/>
              <w:spacing w:after="0"/>
              <w:rPr>
                <w:sz w:val="20"/>
                <w:szCs w:val="20"/>
                <w:color w:val="auto"/>
              </w:rPr>
            </w:pPr>
            <w:r>
              <w:rPr>
                <w:rFonts w:ascii="Arial" w:cs="Arial" w:eastAsia="Arial" w:hAnsi="Arial"/>
                <w:sz w:val="18"/>
                <w:szCs w:val="18"/>
                <w:color w:val="auto"/>
                <w:w w:val="89"/>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jc w:val="center"/>
              <w:ind w:left="1730"/>
              <w:spacing w:after="0"/>
              <w:rPr>
                <w:sz w:val="20"/>
                <w:szCs w:val="20"/>
                <w:color w:val="auto"/>
              </w:rPr>
            </w:pPr>
            <w:r>
              <w:rPr>
                <w:rFonts w:ascii="Arial" w:cs="Arial" w:eastAsia="Arial" w:hAnsi="Arial"/>
                <w:sz w:val="18"/>
                <w:szCs w:val="18"/>
                <w:color w:val="auto"/>
                <w:w w:val="84"/>
              </w:rPr>
              <w:t>3 years</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nine months ended September 30, 2021 or 2020.</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Company’s revenue is generated from contracts with customers in accordance with Financial Accounting Standards Board (FASB) Accounting Standards Codification (ASC) No. 606, “Revenue from Contracts with Customers.”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At September 30, 2021, the Company maintained $23.3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sells certain of its products under large contract manufacturing or distribution arrangements. The following table presents percentage of total revenues derived from the Company’s largest customers as well as their respective percentage of total accounts receivable: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2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2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292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89"/>
              </w:rPr>
              <w:t>2021</w:t>
            </w:r>
          </w:p>
        </w:tc>
        <w:tc>
          <w:tcPr>
            <w:tcW w:w="1640" w:type="dxa"/>
            <w:vAlign w:val="bottom"/>
            <w:tcBorders>
              <w:top w:val="single" w:sz="8" w:color="auto"/>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Percent of revenues derived from:</w:t>
            </w:r>
          </w:p>
        </w:tc>
        <w:tc>
          <w:tcPr>
            <w:tcW w:w="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2920" w:type="dxa"/>
            <w:vAlign w:val="bottom"/>
          </w:tcPr>
          <w:p>
            <w:pPr>
              <w:ind w:left="140"/>
              <w:spacing w:after="0"/>
              <w:rPr>
                <w:sz w:val="20"/>
                <w:szCs w:val="20"/>
                <w:color w:val="auto"/>
              </w:rPr>
            </w:pPr>
            <w:r>
              <w:rPr>
                <w:rFonts w:ascii="Arial" w:cs="Arial" w:eastAsia="Arial" w:hAnsi="Arial"/>
                <w:sz w:val="18"/>
                <w:szCs w:val="18"/>
                <w:color w:val="auto"/>
              </w:rPr>
              <w:t>Medtronic Sofamor Danek USA</w:t>
            </w:r>
          </w:p>
        </w:tc>
        <w:tc>
          <w:tcPr>
            <w:tcW w:w="740" w:type="dxa"/>
            <w:vAlign w:val="bottom"/>
          </w:tcPr>
          <w:p>
            <w:pPr>
              <w:jc w:val="center"/>
              <w:ind w:left="379"/>
              <w:spacing w:after="0"/>
              <w:rPr>
                <w:sz w:val="20"/>
                <w:szCs w:val="20"/>
                <w:color w:val="auto"/>
              </w:rPr>
            </w:pPr>
            <w:r>
              <w:rPr>
                <w:rFonts w:ascii="Arial" w:cs="Arial" w:eastAsia="Arial" w:hAnsi="Arial"/>
                <w:sz w:val="18"/>
                <w:szCs w:val="18"/>
                <w:color w:val="auto"/>
                <w:w w:val="92"/>
              </w:rPr>
              <w:t>3%</w:t>
            </w:r>
          </w:p>
        </w:tc>
        <w:tc>
          <w:tcPr>
            <w:tcW w:w="1640" w:type="dxa"/>
            <w:vAlign w:val="bottom"/>
          </w:tcPr>
          <w:p>
            <w:pPr>
              <w:jc w:val="center"/>
              <w:ind w:left="379"/>
              <w:spacing w:after="0"/>
              <w:rPr>
                <w:sz w:val="20"/>
                <w:szCs w:val="20"/>
                <w:color w:val="auto"/>
              </w:rPr>
            </w:pPr>
            <w:r>
              <w:rPr>
                <w:rFonts w:ascii="Arial" w:cs="Arial" w:eastAsia="Arial" w:hAnsi="Arial"/>
                <w:sz w:val="18"/>
                <w:szCs w:val="18"/>
                <w:color w:val="auto"/>
                <w:w w:val="94"/>
              </w:rPr>
              <w:t>18%</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16"/>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Surgalign Holdings</w:t>
            </w:r>
          </w:p>
        </w:tc>
        <w:tc>
          <w:tcPr>
            <w:tcW w:w="74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92"/>
              </w:rPr>
              <w:t>9%</w:t>
            </w:r>
          </w:p>
        </w:tc>
        <w:tc>
          <w:tcPr>
            <w:tcW w:w="1640" w:type="dxa"/>
            <w:vAlign w:val="bottom"/>
            <w:shd w:val="clear" w:color="auto" w:fill="CCEEFF"/>
          </w:tcPr>
          <w:p>
            <w:pPr>
              <w:jc w:val="center"/>
              <w:ind w:left="379"/>
              <w:spacing w:after="0"/>
              <w:rPr>
                <w:sz w:val="20"/>
                <w:szCs w:val="20"/>
                <w:color w:val="auto"/>
              </w:rPr>
            </w:pPr>
            <w:r>
              <w:rPr>
                <w:rFonts w:ascii="Arial" w:cs="Arial" w:eastAsia="Arial" w:hAnsi="Arial"/>
                <w:sz w:val="18"/>
                <w:szCs w:val="18"/>
                <w:color w:val="auto"/>
                <w:w w:val="94"/>
              </w:rPr>
              <w:t>10%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40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September 30, 2021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Percent of accounts receivable derived from:</w:t>
            </w:r>
          </w:p>
        </w:tc>
        <w:tc>
          <w:tcPr>
            <w:tcW w:w="16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4020" w:type="dxa"/>
            <w:vAlign w:val="bottom"/>
          </w:tcPr>
          <w:p>
            <w:pPr>
              <w:ind w:left="140"/>
              <w:spacing w:after="0"/>
              <w:rPr>
                <w:sz w:val="20"/>
                <w:szCs w:val="20"/>
                <w:color w:val="auto"/>
              </w:rPr>
            </w:pPr>
            <w:r>
              <w:rPr>
                <w:rFonts w:ascii="Arial" w:cs="Arial" w:eastAsia="Arial" w:hAnsi="Arial"/>
                <w:sz w:val="18"/>
                <w:szCs w:val="18"/>
                <w:color w:val="auto"/>
              </w:rPr>
              <w:t>Medtronic Sofamor Danek USA</w:t>
            </w:r>
          </w:p>
        </w:tc>
        <w:tc>
          <w:tcPr>
            <w:tcW w:w="1660" w:type="dxa"/>
            <w:vAlign w:val="bottom"/>
          </w:tcPr>
          <w:p>
            <w:pPr>
              <w:jc w:val="right"/>
              <w:ind w:right="616"/>
              <w:spacing w:after="0"/>
              <w:rPr>
                <w:sz w:val="20"/>
                <w:szCs w:val="20"/>
                <w:color w:val="auto"/>
              </w:rPr>
            </w:pPr>
            <w:r>
              <w:rPr>
                <w:rFonts w:ascii="Arial" w:cs="Arial" w:eastAsia="Arial" w:hAnsi="Arial"/>
                <w:sz w:val="18"/>
                <w:szCs w:val="18"/>
                <w:color w:val="auto"/>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34%</w:t>
            </w:r>
          </w:p>
        </w:tc>
      </w:tr>
      <w:tr>
        <w:trPr>
          <w:trHeight w:val="216"/>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Surgalign Holdings</w:t>
            </w:r>
          </w:p>
        </w:tc>
        <w:tc>
          <w:tcPr>
            <w:tcW w:w="16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12%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and nine months ended September 30, 2021 and 2020,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term loan facility and revolving line of credit bear interest based on LIBOR or an alternate rate. Provisions currently provide the Company with the ability to replace LIBOR with a different reference rate in the event that LIBOR ceases to exist.</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which clarifies and simplifies certain aspects of the accounting for income taxes. The standard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years beginning after December 15, 2020, and interim periods within annual periods beginning after December 15, 2020. The adoption of this standard on January 1, 2021 did not have a material impact on the Company’s consolidated financial statements.</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November 2019, the FASB issued ASU 2019-10,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for periods ending after December 15, 2022. While early adoption is permitted, the Company intends to adopt in accordance with the revised timeline provided by the FASB. The Company is evaluating this standard to determine if adoption will have a material impact on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September 30, 2021, the Company had 343,999 shares of Class A common stock available for issuance under the 2020 Plan.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2015 Plan and 2020 Plan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is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13.68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492,017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12.71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(15,915)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15.92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1,390,234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September 30, 2021</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222,652</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48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546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September 30, 2021, there was approximately $7.3 million of total unrecognized compensation expense related to unvested stock options. These costs are expected to be recognized over a weighted-average period of 3.1 years. The weighted average grant date fair value of options granted during the nine months ended September 30, 2021 was $7.31.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 summary of the RSU activity under the Company’s 2020 Plan for the nine months ended September 30, 2021 is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380" w:type="dxa"/>
            <w:vAlign w:val="bottom"/>
            <w:gridSpan w:val="2"/>
          </w:tcPr>
          <w:p>
            <w:pPr>
              <w:jc w:val="center"/>
              <w:ind w:left="1576"/>
              <w:spacing w:after="0" w:line="149" w:lineRule="exact"/>
              <w:rPr>
                <w:sz w:val="20"/>
                <w:szCs w:val="20"/>
                <w:color w:val="auto"/>
              </w:rPr>
            </w:pPr>
            <w:r>
              <w:rPr>
                <w:rFonts w:ascii="Arial" w:cs="Arial" w:eastAsia="Arial" w:hAnsi="Arial"/>
                <w:sz w:val="14"/>
                <w:szCs w:val="14"/>
                <w:b w:val="1"/>
                <w:bCs w:val="1"/>
                <w:color w:val="auto"/>
                <w:w w:val="92"/>
              </w:rPr>
              <w:t>Underlying</w:t>
            </w:r>
          </w:p>
        </w:tc>
        <w:tc>
          <w:tcPr>
            <w:tcW w:w="8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1"/>
        </w:trPr>
        <w:tc>
          <w:tcPr>
            <w:tcW w:w="2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RSUs</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r>
      <w:tr>
        <w:trPr>
          <w:trHeight w:val="209"/>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2020</w:t>
            </w: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91,182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(3,180)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September 30, 2021</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235,885</w:t>
            </w:r>
          </w:p>
        </w:tc>
        <w:tc>
          <w:tcPr>
            <w:tcW w:w="2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total fair value of the RSUs granted during the nine months ended September 30, 2021 of $1.3 million was based on the fair market value of the Company's Class A common stock on the date of grant. The fair value at the time of the grant is amortized to expense on a straight-line basis over the vesting period of three to four years. As of September 30, 2021, $2.8 million of unrecognized compensation costs related to RSUs is expected to be recognized over a weighted average period of 2.6 years.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equal to the lesser of (i) 1% of the total shares of Class A common stock outstanding on the final day of the immediately preceding calendar year; or (ii) a lesser number of shares determined by our board of directors. As of September 30, 2021, the total shares of Class A common stock authorized for issuance under the ESPP was 214,069, of which 186,825 remained available for future issuance. During the nine months ended September 30, 2021, 27,244 shares of Class A common stock were issued under the ESPP.</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Stock-based compensation expense recognized during the three and nine months ended September 30,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 was comprised of the following (in thousands):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488</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ind w:left="100" w:right="79" w:firstLine="603"/>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options during the nine months ended September 30, 2021 and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7"/>
          </w:tcPr>
          <w:p>
            <w:pPr>
              <w:jc w:val="center"/>
              <w:ind w:left="156"/>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48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210"/>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0.96</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r>
      <w:tr>
        <w:trPr>
          <w:trHeight w:val="216"/>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r>
      <w:tr>
        <w:trPr>
          <w:trHeight w:val="230"/>
        </w:trPr>
        <w:tc>
          <w:tcPr>
            <w:tcW w:w="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1"/>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Note 5. Inventory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4"/>
        </w:trPr>
        <w:tc>
          <w:tcPr>
            <w:tcW w:w="5780" w:type="dxa"/>
            <w:vAlign w:val="bottom"/>
            <w:gridSpan w:val="2"/>
          </w:tcPr>
          <w:p>
            <w:pPr>
              <w:ind w:left="640"/>
              <w:spacing w:after="0"/>
              <w:rPr>
                <w:sz w:val="20"/>
                <w:szCs w:val="20"/>
                <w:color w:val="auto"/>
              </w:rPr>
            </w:pPr>
            <w:r>
              <w:rPr>
                <w:rFonts w:ascii="Arial" w:cs="Arial" w:eastAsia="Arial" w:hAnsi="Arial"/>
                <w:sz w:val="18"/>
                <w:szCs w:val="18"/>
                <w:color w:val="auto"/>
              </w:rPr>
              <w:t>Inventory was comprised of the following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gridSpan w:val="6"/>
          </w:tcPr>
          <w:p>
            <w:pPr>
              <w:ind w:left="1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c>
          <w:tcPr>
            <w:tcW w:w="160" w:type="dxa"/>
            <w:vAlign w:val="bottom"/>
            <w:shd w:val="clear" w:color="auto" w:fill="CCEEFF"/>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10,117</w:t>
            </w:r>
          </w:p>
        </w:tc>
        <w:tc>
          <w:tcPr>
            <w:tcW w:w="16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Long-Term Debt</w:t>
      </w:r>
    </w:p>
    <w:p>
      <w:pPr>
        <w:spacing w:after="0" w:line="12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May 31, 2017, in connection with the Company’s acquisition of CorMatrix described in Note 7, Aziyo entered into a $10 million term loan facility (the “Term Loan Facility”) and an $8 million asset-backed revolving line of credit (the “Revolving Credit Facility”), under which the Company’s borrowing capacity is limited by certain qualifying assets, with a financial institution (the “May 2017 Financing”). As of September 30, 2021 and December 31, 2020, the Company’s borrowing capacity under its Revolving Credit Facility was $6.4 million and $8.0 million, respectively. The Term Loan Facility was amended in December 2017, February 2018 and July 2019 (all amendments being considered modifications) such that an additional $1.5 million, $3.0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In January 2021, based on its IPO, the Company exercised its right to extend the interest-only payment period for the Term Loan Facility to August 1, 2021 and, accordingly, interest and equal principal payments of approximately $556,000 per month began on August 1, 2021 and will continue through maturity in July 2024.</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three and nine months ended September 30, 2021 and 2020.</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Both the Term Loan Facility and the Revolving Credit Facility also permit optional prepayments.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agreement governing the Term Loan Facility also includes an exit fee of 6.5% of the aggregate principal amount and prepayment penalties of 2% to 4% if repaid prior to maturity. The weighted average interest rate on Term Loan Facility borrowings was 7.3% and 7.4%, respectively, for the three months ended September 30, 2021 and 2020 and 7.4% and 7.9%, respectively for the nine months ended September 30 2021 and 2020. 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prepayment penalties of 2% to 4% on the $8 million borrowing capacity if terminated by the Company prior to its expiration in July 2024. The weighted average interest rate on Revolving Credit Facility borrowings was 5.0% and 5.1%, respectively, for the three months ended September 30, 2021 and 2020 and 5.1% and 5.5%, respectively, for the nine months ended September 30, 2021 and 2020. Both debt instruments contain events of default, including, most significantly, a failure to timely pay interest or principal, insolvency, or an action by the United States Food and Drug Administration or such other material adverse event impacting the operations of Aziyo. The debt instruments also include a financial covenant based on cumulative minimum net product revenue, as defined, restrictions as to payment of dividends, and are secured by all assets of the Company. As of September 30, 2021, Aziyo was in compliance with this financial covenant and all other covenants. When finalized, the mutual termination of the Company’s Supply Agreement for FiberCel with Medtronic referred to in Note 2 would have triggered an event of default; however, such event of default was waived by the Company’s lenders.</w:t>
      </w:r>
    </w:p>
    <w:p>
      <w:pPr>
        <w:spacing w:after="0" w:line="39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w:t>
      </w:r>
    </w:p>
    <w:p>
      <w:pPr>
        <w:spacing w:after="0" w:line="2" w:lineRule="exact"/>
        <w:rPr>
          <w:sz w:val="20"/>
          <w:szCs w:val="20"/>
          <w:color w:val="auto"/>
        </w:rPr>
      </w:pPr>
    </w:p>
    <w:p>
      <w:pPr>
        <w:jc w:val="both"/>
        <w:ind w:left="60" w:right="59" w:hanging="10"/>
        <w:spacing w:after="0" w:line="253" w:lineRule="auto"/>
        <w:tabs>
          <w:tab w:leader="none" w:pos="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initial public offering of the Company’s common stock. All warrants were exercised in connection with the IPO noted in Note 1. Upon issuance, the Company valued such warrants at $286,267. The recognition of these warrants served to reduce the recorded value of the associated Term Loan Facility borrowings. This resulting debt discount will be recognized as interest expense through the maturity of the Term Loan Facility.</w:t>
      </w:r>
    </w:p>
    <w:p>
      <w:pPr>
        <w:spacing w:after="0" w:line="19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2020. The notes are subordinated in payment to the Term Loan Facility and Revolving Credit Facility and in both 2021 and 2020, the Company’s senior lender restricted payment of the amounts due.</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In June 2021, Aziyo was notified by the U.S. Small Business Administration that the entire balance of the Company’s PPP Loan and all related accrued interest was forgiven. Such forgiveness resulted in a gain to the Company of approximately $3.0 million which has been recorded as other income in the accompanying condensed consolidated statements of operations for the nine months ended September 30,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1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Note to Tissue Supplier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 loan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09"/>
        </w:trPr>
        <w:tc>
          <w:tcPr>
            <w:tcW w:w="69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24,121</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r>
      <w:tr>
        <w:trPr>
          <w:trHeight w:val="209"/>
        </w:trPr>
        <w:tc>
          <w:tcPr>
            <w:tcW w:w="69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17,811</w:t>
            </w: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fair value of all debt instruments, which is based on inputs considered to be Level 2 under the fair value hierarchy, approximates the respective carrying values as of September 30, 2021 and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have anti-infective properties.</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$100.0 million and a second $5.0 million will be due if cumulative sales exceed $300.0 million during the ten-year term of the agreement which expires on May 31, 2027.</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recorded the present value of the estimated total future payments under the Revenue Interest Obligation as a long-term obligation, with the annual minimum payments serving to establish the short-term portion. Total future payments, including contingent milestone payments and estimated sales-based payments, are based on assumptions related to future sales of the acquired products.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nine months ended September 30, 2021 and 2020, and thus, no re-measurement gain or loss was recognized. Interest expense related to the Revenue Interest Obligation was approximately $0.7 million for both the three months ended September 30, 2021 and 2020, respectively, and approximately $2.0 million for both the nine months ended September 30, 2021 and 2020,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At inception, Aziyo was capitalized through the sale of 19.5 million shares of Series A Convertible Preferred Stock, par value $0.001 per share (the “Convertible Preferred Stock”). From inception through the Company’s IPO, the Company issued an additional 30.9 million shares of Convertible Preferred Stock yielding proceeds of approximately $30.4 million, which were used for general corporate purposes and the CorMatrix Acquisition. During the nine months ended September 30, 2020, Convertible Preferred Stock offerings totaled approximately $5.4 million. The Convertible Preferred Stock issued during the nine months ended December 31, 2020 occurred primarily in September 2020 at which time the Company completed the sale of 3.0 million shares of Convertible Preferred Stock for net proceeds of approximately $3.0 million. At the same time, the bridge notes of $2.0 million (issued in April 2020), and related accrued interest, converted into approximately 2.0 million shares of Convertible Preferred Stock.</w:t>
      </w:r>
    </w:p>
    <w:p>
      <w:pPr>
        <w:spacing w:after="0" w:line="18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fair value of the 3.0 million shares of Convertible Preferred Stock described above exceeded the purchase price of the Convertible Preferred Stock by $3.5 million. Such excess was accounted for as a deemed dividend to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Convertible Preferred Stock and was recorded as “Accretion of Convertible Preferred Stock” in the Consolidated Statements of Operations to arrive at “Net Loss Attributable to Common Shareholders” and was included in the numerator of basic Earnings Per Share. With respect to the Consolidated Statements of Changes in Convertible Preferred Stock and Stockholders’ Deficit, these deemed dividends have been recorded such that Additional Paid-in Capital was first eliminated and any residual dividends served to reduce Accumulated Deficit. Additionally, the fair value of the 2.0 million shares of Convertible Preferred Stock issued upon conversion of Convertible Bridge Notes exceeded the face value of the Convertible Bridge Notes by $2.3 million. Such excess has been recorded as Loss on Early Extinguishment of Debt within Other (income) expense, net in the accompanying Consolidated Statements of Operations.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consideration for the advisory services provided to Aziyo in connection with the CorMatrix Acquisition, an agreement was executed between Aziyo and HighCape Partners Management, L.P. whereby upon consummation by Aziyo of a sale transaction, as defined in the Company’s Certificate of Incorporation, or an initial public offering of the Company’s common stock, Aziyo would be required to pay HighCape a fee totaling $0.75 million. In September 2020, the Company’s obligation in respect of this fee was extinguished in connection with the issuance of 375,000 shares of Convertible Preferred Stock. Such Convertible Preferred Stock and the associated expense was recorded at its fair value of approximately $0.8 million.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was approximately $0.3 million for both the three months ended September 30, 2021 and 2020, respectively, and was approximately $0.9 million for both the nine months ended September 30, 2021 and 2020, respectively, and is included as a component of either cost of goods sold or general and administrative expenses.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and nine months ended September 30, 2021 or 2020.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2020 through 2026. Such license payments would accelerate if a change in control, as defined, occurs within Aziyo. The Company, in its sole discretion, can terminate the license agreement at any time.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From time to time, we may be involved in claims and proceedings arising in the course of our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6"/>
          <w:szCs w:val="16"/>
          <w:color w:val="auto"/>
        </w:rPr>
        <w:t>Between June 21, 2021 and November 5, 2021, forty-one lawsuits in Indiana, Delaware, Florida, Maryland, Colorado, Michigan, Ohio, and North Carolina have been filed against Aziyo Biologics Inc., certain Medtronic entities, and others alleging that the plaintiffs contracted tuberculosis and/or suffered substantial symptoms and complications following the implantation of FiberCel during spinal fusion operations. Seventeen lawsuits were filed in Indiana state court, captioned, respectively: (1) John Dukes and Kimberly Smith v. Aziyo Biologics, Inc., et al., Case No. 49D02-2109-CT-032234 (case dismissed without prejudice on 09/16/2021 and re-filed on 09/24/2021); (2) Tamara and Richard Marksberry v. Aziyo Biologics, Inc., et al., Case No. 49D04-2106-CT-021649 (consolidated); (3) Ramon Cabello v. Aziyo Biologics, Inc., et al., Case No. 49D13-2106-CT-021650 (consolidated); (4) Luis Caban v. Aziyo Biologics, Inc., Case No. 49D13-2107-CT-022413 (consolidated); (5) Machell and Samuel Hargrave v. Aziyo Biologics, Inc., et al., Case No. 49D01-2106-CT-021275 (consolidated); (6) Georgia Flinn as Personal Representative of the Estate of Gregory Flinn v. Aziyo Biologics, Inc., et al., Case No. 49D12-2107-CT-024051 (consolidated); (7) Ruth and William Flynn v. v. Aziyo Biologics, Inc., et al., Case No. 49D12-2107-CT-024624 (consolidated); (8) Tracy Warner and Kristin Foate v. v. Aziyo Biologics, Inc., et al., Case No. 49D04-2107-CT-024631 (consolidated); (9) Donna Schilling v. v. Aziyo Biologics, Inc., et al., Case No. 49D04-2107-CT-024443 (consolidated); (10) Robby and Stephanie Anderson v. v. Aziyo Biologics, Inc., et al., Case No. 49D13-2107-CT-025221 (consolidated); (11) Max Shepard v. v. Aziyo Biologics, Inc., et al., Case No. 49D11-2108-CT-025984 (consolidated); (12) Leon Chew v. Aziyo Biologics, Inc., et al., Case No. 49D12-2108-CT-025967 (consolidated); and (13) Candace Kozor, Kenneth Largin and Anthony Young v. Aziyo Biologics, Inc., et al., Case No. 49D04-2107-CT-024626 (consolidated); (14) James and Lauri Ann Jackson v. v. Aziyo Biologics, Inc., et al., Case No. 49D02-2108-CT-028321 (re-filed in state court and consolidated); (15) James and Kathy Shaw v. Aziyo Biologics, Inc., et al, Case No. 49D11-2108-CT-028669 (consolidated); (16) Larry Szynski v. Aziyo Biologics, Inc., et al., Case No. 49D05-2108-CT-029225 (consolidated); (17) Jerrold Jenkins v. Aziyo Biologics, Inc., et al., Case No. 49D03-2108-CT-029367 (consolidated) (collectively, the “Indiana State Complaints”). On September 20, 2021, a motion was granted to consolidate the cases pending in the Marion Superior Court in the State of Indiana for purposes of discovery and pre-trial practice. Fifteen lawsuits were filed in the Superior Court of the State of Delaware, captioned respectively: (1) Richard Williams v. Aziyo, Biologics Inc., et al., C.A. No. N21C-06-166 EMD; (2) Jean and Shante Georges v. Aziyo, Biologics Inc., et al., C.A. No. N21C-06-256-DJB; (3) Marjorie Hitchens v. Aziyo, Biologics Inc., et al., C.A. No. N21C-06-214-DJB; (4) Larry and Joanne Fortner v. Aziyo, Biologics Inc., et al., C.A. No. N21C-06-215-DJB; (5) Nancy and John Smith v. Aziyo, Biologics Inc., et al., C.A. No. N21C-06-219-DJB; (6) Joan Trincia v. Aziyo, Biologics Inc., et al., C.A. No. N21C-06-220-DJB; (7) Bernadette Burgess v. Aziyo, Biologics Inc., et al., C.A. No. N21C-06-264-DJB; (8) Summer Fitzhugh v. Aziyo, Biologics Inc., et al., C.A. No. N21C-06-221-DJB; (9) Linda Shields v. Aziyo, Biologics Inc., et al., C.A. No. N21C-06-166-DJB; and (10) Sharon Riddick v. Aziyo, Biologics Inc., et al., C.A. No. N21C-07-005-EMD; (11) Carl Stevens v. Aziyo, Biologics Inc., et al., C.A. No. N21C-08-149-DJB; (12) Joel and Melissa Stanton v. Aziyo, Biologics Inc., et al., C.A. No. N21C-08-212-AML; (13) Bruce and Beverly Carroll v. Aziyo, Biologics Inc., et al., C.A. No. N21C-08-130-DJB; (14) Margaret Cook v. Aziyo, Biologics Inc., et al., C.A. No. N21C-08-131-DJB; (15) Robert Jr. and Kelly Aspinall v. Aziyo, Biologics Inc., et al., C.A. No. N21C-09-065-DJB (collectively, the “Delaware State Complaints”). One lawsuit has been re-filed in the Circuit Court of Maryland (previously filed on 07/21/2021 and dismissed without prejudice on 08/12/2021 in the U.S. District Court of Maryland), captioned: Diana and James Hanson v. Aziyo Biologics, Inc., et al., Case No. C-02-CV-21-001094 (“Maryland State Complaint”). One lawsuit has been filed in the Court of Common Pleas of Ohio, captioned: Michelle and Charles Weethee v. Aziyo, Biologics Inc., et al., Case No. 2021 CV 03621 (“Ohio State Complaint”). One lawsuit has been filed in the Circuit Court of Michigan, captioned: Ilona and Christian Hildebrandt v. Aziyo Biologics, Inc., Case No. 2021-003804-NP (“Michigan State Complaint”). One lawsuit has been filed in the Superior Court of North Carolina, captioned: Aurelia and Belvin Sherrill v. Aziyo Biologics, Inc., et al., Case No. 21cvs2797 (“North Carolina State Complaint”). One lawsuit has been filed in the U.S. District Court for the Northern District of Florida, captioned Deborah Rice v. Aziyo Biologics, Inc., et al., Case No. 5:21-cv-00135-MW-MJF (“Florida Federal Complaint”). One lawsuit has been filed in the U.S. District Court for the Eastern District of Michigan, captioned: Karrold Dudley v. Aziyo, Biologics Inc., et al., Case No. 2:21-cv-11813-GAD-EAS (“Michigan Federal Complaint”). One lawsuit has been filed in the U.S. District Court for the District of Colorado, captioned Christopher and Julie Buri v. Aziyo Biologics, Inc., et al., Case No. 1:21-cv-02789-SKC (“Colorado Federal Complaint”). Lastly, two lawsuits have been dismissed: (1) in the state court of Maryland, captioned Tracey and Stan Gearhart v. Aziyo Biologics, Inc., et al., Case No. C-02-CV-21-000997(dismissed without prejudice on 09/14/2021), and (2) in the U.S. District Court for the Northern District of Indiana, captioned: David Hahn v. Aziyo Biologics, Inc., et al., Case No. 2:21-cv-00265-PPS-JEM (dismissed without prejudice on 09/30/2021).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 negligence, breach of implied warranty, breach of express warranty, medical monitoring and punitive damages, and two also allege loss of consortium. Plaintiffs in the Delaware State Complaints are seeking economic, consequential, and punitive damages. The Maryland Complaint asserts claims of negligence, breach of implied warranty, breach of express warranty, medical monitoring, and loss of consortium. The Florida Federal Complaint also contains three strict liability claims for defective design, defective manufacture, and failure to warn. A claim for punitive damages is also pled. The Ohio State Complaint alleges causes of action for product liability and negligence, and seeks compensatory damages. The Michigan State Complaint asserts causes of action for product defect and breach of implied warranty, product defect and breach of express warranty, negligence, gross negligence, and possible knowledge of defect, and seeks compensatory and exemplary damages. The Colorado Federal Complaint asserts causes of action for strict product liability, misrepresentation, negligence, breach of express warranty, and breach of implied warranty of merchantability. The Michigan Federal Complaint asserts causes of action for negligence, breach of implied warranty, breach of express warranty, intentional infliction of emotional distress, and liability under the res ipsa loquitur doctrine. The Michigan Federal Complaint seeks compensatory damages and punitive damages. The North Carolina State Complaint alleges causes of action for negligence, defective design, breach of implied warranty, breach of express warranty, and loss of consortium, and seeks both compensatory and punitive damages. In addition to the above, there have been thirty-five claims related to the FiberCel recall, which have not yet resulted in a lawsuit. We refer to all of the aforementioned litigation, or claim notices, collectively as the “FiberCel Litigation.”</w:t>
      </w:r>
    </w:p>
    <w:p>
      <w:pPr>
        <w:spacing w:after="0" w:line="39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reasonably estimate a loss or range of loss for the FiberCel Litigation, the Company must assess a variety of factors, including, (i) what claims, if any, will survive dispositive motion practice, (ii) the extent of the claims, particularly when damages are not specified or are indeterminate, (iii) how the discovery process will affect the litigation,</w:t>
      </w:r>
    </w:p>
    <w:p>
      <w:pPr>
        <w:spacing w:after="0" w:line="2" w:lineRule="exact"/>
        <w:rPr>
          <w:sz w:val="20"/>
          <w:szCs w:val="20"/>
          <w:color w:val="auto"/>
        </w:rPr>
      </w:pPr>
    </w:p>
    <w:p>
      <w:pPr>
        <w:jc w:val="both"/>
        <w:ind w:left="60" w:right="59" w:hanging="10"/>
        <w:spacing w:after="0" w:line="253" w:lineRule="auto"/>
        <w:tabs>
          <w:tab w:leader="none" w:pos="3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settlement posture of the other parties to the litigation and (v) any other factors that may have a material effect on the litigation. At present, it is not possible for Aziyo to estimate a range of probable loss in the FiberCel Litigation; however, while unknown, the probable loss could have a material effect on the Company’s financial position and results of operations.</w:t>
      </w:r>
    </w:p>
    <w:p>
      <w:pPr>
        <w:spacing w:after="0" w:line="19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Should Aziyo be required to pay claims related to the FiberCel Litigation, the Company believes that certain settlements and judgments, as well as legal defense costs, may be covered in whole or in part under our insurance policies with two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19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both September 30, 2021 and December 31, 2020, the Company was not a party to, or aware of, any material legal matters or claims except for the FiberCel Litigation.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Note 10. Net Loss Per Share Attributable to Common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loss attributable to common stockholders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620"/>
        <w:spacing w:after="0" w:line="250" w:lineRule="auto"/>
        <w:rPr>
          <w:sz w:val="20"/>
          <w:szCs w:val="20"/>
          <w:color w:val="auto"/>
        </w:rPr>
      </w:pPr>
      <w:r>
        <w:rPr>
          <w:rFonts w:ascii="Arial" w:cs="Arial" w:eastAsia="Arial" w:hAnsi="Arial"/>
          <w:sz w:val="18"/>
          <w:szCs w:val="18"/>
          <w:color w:val="auto"/>
        </w:rPr>
        <w:t>Weighted average number of common shares, basic and diluted</w:t>
      </w:r>
    </w:p>
    <w:p>
      <w:pPr>
        <w:spacing w:after="0" w:line="1" w:lineRule="exact"/>
        <w:rPr>
          <w:sz w:val="20"/>
          <w:szCs w:val="20"/>
          <w:color w:val="auto"/>
        </w:rPr>
      </w:pPr>
    </w:p>
    <w:p>
      <w:pPr>
        <w:ind w:left="620" w:right="280"/>
        <w:spacing w:after="0" w:line="323" w:lineRule="auto"/>
        <w:rPr>
          <w:sz w:val="20"/>
          <w:szCs w:val="20"/>
          <w:color w:val="auto"/>
        </w:rPr>
      </w:pPr>
      <w:r>
        <w:rPr>
          <w:rFonts w:ascii="Arial" w:cs="Arial" w:eastAsia="Arial" w:hAnsi="Arial"/>
          <w:sz w:val="16"/>
          <w:szCs w:val="16"/>
          <w:color w:val="auto"/>
        </w:rPr>
        <w:t>Net loss per common share attributable to common stockholders, basic and diluted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8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20" w:type="dxa"/>
            <w:vAlign w:val="bottom"/>
          </w:tcPr>
          <w:p>
            <w:pPr>
              <w:spacing w:after="0"/>
              <w:rPr>
                <w:sz w:val="14"/>
                <w:szCs w:val="14"/>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8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r>
      <w:tr>
        <w:trPr>
          <w:trHeight w:val="42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(10,241)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(15,768)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(19,979)</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615"/>
        </w:trPr>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10,235,350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648,436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10,229,974</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648,331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7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r>
              <w:rPr>
                <w:rFonts w:ascii="Arial" w:cs="Arial" w:eastAsia="Arial" w:hAnsi="Arial"/>
                <w:sz w:val="18"/>
                <w:szCs w:val="18"/>
                <w:u w:val="single" w:color="auto"/>
                <w:color w:val="auto"/>
              </w:rPr>
              <w:t>82)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-1010920</wp:posOffset>
            </wp:positionV>
            <wp:extent cx="505777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57775" cy="14541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-719455</wp:posOffset>
            </wp:positionV>
            <wp:extent cx="50577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7775" cy="15430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-290830</wp:posOffset>
            </wp:positionV>
            <wp:extent cx="505777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57775"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920" w:space="320"/>
            <w:col w:w="4779"/>
          </w:cols>
          <w:pgMar w:left="1440" w:top="517" w:right="1440" w:bottom="1440" w:gutter="0" w:footer="0" w:header="0"/>
          <w:type w:val="continuous"/>
        </w:sect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3,612,668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1,390,234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287,996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Common stock warrants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1,626,119</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3,937,342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Prior to the IPO, the Company had a management services agreement with an affiliate of HighCape Partners through which strategic, operational and management consulting services are provided to the Company. During the three and nine months ended September 30, 2020, the Company recorded expenses totaling $0.1 million and $0.2 million, respectively. The management services agreement terminated upon completion of the IPO and all amounts due thereunder were paid as of December 31, 2020.</w:t>
      </w:r>
    </w:p>
    <w:p>
      <w:pPr>
        <w:spacing w:after="0" w:line="18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part of the contribution of assets transacted from Tissue Banks International, now KeraLink International (“KeraLink”),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In May 2021, KeraLink sold Aziyo common shares for proceeds in excess of $550,000, and as such, remitted $550,000 to Aziyo in full satisfaction of the 2018 settlement. Amounts received in connection with this settlement were recorded as other income in the accompanying condensed consolidated statements of operations for the nine months ended September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For the three and nine months ended September 30, 2021 and 2020, the Company’s net sales disaggregated by the major sources - Core Products and Non-Core Products (see Note 1) - were as follows (in thousands):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by product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Core Products</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8,588</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10,345</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29,230</w:t>
            </w:r>
          </w:p>
        </w:tc>
        <w:tc>
          <w:tcPr>
            <w:tcW w:w="200" w:type="dxa"/>
            <w:vAlign w:val="bottom"/>
          </w:tcPr>
          <w:p>
            <w:pPr>
              <w:spacing w:after="0"/>
              <w:rPr>
                <w:sz w:val="18"/>
                <w:szCs w:val="18"/>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Non-Core Products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Total Net Sales</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30,216</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Biotronik,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6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Since inception, we have financed our operations primarily through private placements of our convertible preferred stock, amounts borrowed under our credit facilities, sales of our products and, more recently, with proceeds from our IPO.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September 30, 2021, we had 176 employees, of which 34 were direct sales representatives.</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For the three and nine months ended September 30, 2021, we incurred net losses of $8.3 million and $15.8 million, respectively, and as of September 30, 2021, we had an accumulated deficit of $96.0 million. 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w:t>
      </w:r>
    </w:p>
    <w:p>
      <w:pPr>
        <w:spacing w:after="0" w:line="19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further described in Note 6 to the condensed consolidated financial statements included elsewhere in this Quarterly Report, our Term Debt Facility (“Term Debt”) and Revolving Line of Credit (the “Revolver”) include monthly revenue covenants, the non-compliance of which would permit our lenders to accelerate the repayment of these outstanding borrowings. In October 2021, we were informed by Medtronic that they would no longer be distributing cellular bone products such as FiberCel and, as such, the two companies are working towards a mutual termination of the associated FiberCel distribution agreement (“FiberCel Agreement”). Such termination will follow the suspension of all FiberCel purchases by Medtronic after Aziyo’s voluntary recall pertaining to a single donor lot of FiberCel in June 2021 as described further below. Given the associated revenues derived from the FiberCel Agreement, its suspension and then termination may negatively affect our future revenues. As such, while we are currently in compliance with all revenue covenants, our ability to comply with these covenants in the future is uncertain. Additionally, in August 2021, we commenced the principal repayment of the Term Debt with such repayments totaling approximately $556,000 per month.</w:t>
      </w:r>
    </w:p>
    <w:p>
      <w:pPr>
        <w:spacing w:after="0" w:line="17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mitigate the current and potential future liquidity issues caused by the matters noted above, we may seek to raise capital through the issuance of common stock and to either refinance or restructure the Term Debt and Revolver. However, we may not be able to raise additional equity or refinance the Term Debt and Revolver on acceptable terms, or at all. As such, based on our current operating plans, we believe there is uncertainty as to whether our future cash flows along with our existing cash, availability under the Revolver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continue to closely monitor the impact of the pandemic related to COVID-19 and its variants such as Delta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and the access of our sales representatives to the associated healthcare facilities has been curtailed in order to avoid patient exposure to medical environments and the risk of potential infection with COVID-19, and to focus limited resources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numerous state and local jurisdictions, including those where our facilities are located, imposed, and others in the future may impose or re-impose, “shelter-in-place” orders, quarantines, executive orders and similar government orders and restrictions for their residents to control the spread of COVID-19. Such orders or restrictions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and, as variants of COVID-19 emerge, it is difficult to predict the degree to which this disease will ultimately affect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FiberCel Recall Update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previously reported, we issued a voluntary recall on June 2, 2021 pertaining to a single donor lot of our FiberCel Fiber Viable Bone Matrix after learning of post-surgical infections reported in several patients treated with the product, including some patients that tested positive for tuberculosis.</w:t>
      </w:r>
    </w:p>
    <w:p>
      <w:pPr>
        <w:spacing w:after="0" w:line="184"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Since issuing the recall, we have been working with the U.S. Food and Drug Administration (“FDA”) and the U.S. Centers for Disease Control and Prevention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At this time, we have identified the 154 units comprising the single product lot in question. Based on information from the CDC, 136 units within this product lot were implanted into 113 patients and the remaining 18 units were returned to either us or the CDC. Of these 113 patients, CDC has identified at least 75 patients who have exhibited clinical or diagnostic findings consistent with tuberculosis infection.</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CDC has advised us that the CDC, working with state health agencies, has contacted all patients treated with the recalled lot of FiberCel to help ensure they are directed to appropriate medical treatment and has informed us that all patients were started on standard four-drug treatment for tuberculosis. We have learned from the CDC that eight patients who received the product from the recalled lot have died; however, the cause of death for each patient is still being determined.</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Samples of the recalled product have now undergone PCR analysis by a lab contracted by the CDC and tested positive for the presence of Mycobacterium tuberculosis. Cell culture testing of the recalled product was also conducted by the same lab that showed the presence of Mycobaterium tuberculosis, and this testing corroborated the PCR testing results. Eleven lots of FiberCel produced both before and after the single donor lot at issue have undergone PCR analysis and cell culture testing and have all tested negative for Mycobacterium tuberculosis. Based on these findings, we have no reason to believe that other units of FiberCel have been affected.</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part of our continuing cooperation with the FDA and CDC and our efforts to conduct a prompt and fulsome investigation into this matter, we have reviewed the processes for screening donors and producing FiberCel and have not identified any deviations from our established protocols, which are designed to comply with industry standards established by the American Association of Tissue Banks (“AATB”) as well as applicable FDA requirements and guidelines.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To date, our investigation into the available medical records for the donor at issue indicates: (1) the donor’s emergency department documentation 10 days before his decease reported “Never had TB”; (2) the donor had a negative tuberculosis skin test approximately four months before decease; (3) a Tuberculosis Risk Assessment Questionnaire administered approximately four months before the donor deceased was reported as showing negative for clinical or physical evidence of a tuberculosis infection; (4) multiple chest x-rays taken during a period of approximately 33 months before the donor deceased were all interpreted as negative for tuberculosis; and (5) a CT abdominal scan taken prior to the donor deceasing was interpreted as showing no evidence of swelling of lymph nodes.</w:t>
      </w:r>
    </w:p>
    <w:p>
      <w:pPr>
        <w:spacing w:after="0" w:line="13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To help ensure the safety of future production lots, we are currently evaluating a number of potential safeguards against Mycobacterium tuberculosis that we believe exceed applicable industry standards and currently available FDA-approved testing. We have already implemented additional donor screening procedures to include screening for any donor utilizing hemodialysis for an extended period of time and to request additional background and information on any time spent by the donor outside the United States. In addition, we are actively developing a potential methodology for testing tissue products for Mycobacterium tuberculosis. As far as we are aware, there are no commercially available testing methods authorized by the FDA for detecting the presence of Mycobacterium tuberculosis in donor tissue. For an update on the legal proceedings related to the FiberCel Recall, see Part II, Item 1, “Legal Proceedings” and Note 9 to the condensed consolidated financial statements included elsewhere in this Quarterly Report.</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direct sales and independent sales agents. Our contract manufacturing products are sold directly to corporate customers. Gross to net sales adjustments include sales returns and prompt payment and volume discounts.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advertising and public relations and customer service expenses. We expect sales and marketing expenses to grow commensurate with sales increases and the continued expansion of our CanGaroo direct sales force.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General and administrative (“G&amp;A”) expenses consist primarily of compensation, consulting, legal, human resources, information technology, accounting, insurance and general business expenses. G&amp;A expenses also include any expenses we incur associated with the FiberCel Litigation described in Note 9 to the condensed consolidated financial statements included elsewhere in this Quarterly Report. We expect our G&amp;A expenses to increase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 G&amp;A expenses will also increase to the extent any future costs associated with the FiberCel Litigation are incurred.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anti-infective properties. We also conduct clinical trials to validate the performance characteristics of our products and to capture patient data necessary to support our commercial efforts.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our Richmond, California plant. As follows are the total amounts reclassified for the three and nine months ended September 30, 2020 along with the line items in the condensed consolidated statement of operations that were impacted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54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Increase (Decrease) From Previously Reported Amounts</w:t>
            </w: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Three Months Ended</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4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These reclassifications did not impact our consolidated earnings or assets for the three and nine months ended September 30,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10"/>
          </w:tcPr>
          <w:p>
            <w:pPr>
              <w:jc w:val="right"/>
              <w:ind w:right="670"/>
              <w:spacing w:after="0"/>
              <w:rPr>
                <w:sz w:val="20"/>
                <w:szCs w:val="20"/>
                <w:color w:val="auto"/>
              </w:rPr>
            </w:pPr>
            <w:r>
              <w:rPr>
                <w:rFonts w:ascii="Arial" w:cs="Arial" w:eastAsia="Arial" w:hAnsi="Arial"/>
                <w:sz w:val="14"/>
                <w:szCs w:val="14"/>
                <w:b w:val="1"/>
                <w:bCs w:val="1"/>
                <w:color w:val="auto"/>
              </w:rPr>
              <w:t>Three Months Ended September 30,</w:t>
            </w:r>
          </w:p>
        </w:tc>
        <w:tc>
          <w:tcPr>
            <w:tcW w:w="154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w w:val="92"/>
              </w:rPr>
              <w:t>Change 2020 / 2021</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vMerge w:val="restart"/>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tcBorders>
            <w:vMerge w:val="restart"/>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Sales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11,485</w:t>
            </w:r>
          </w:p>
        </w:tc>
        <w:tc>
          <w:tcPr>
            <w:tcW w:w="16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7,796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52.9 %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6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(1,852)</w:t>
            </w:r>
          </w:p>
        </w:tc>
        <w:tc>
          <w:tcPr>
            <w:tcW w:w="1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81.1 %</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10,665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4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(4,285)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3"/>
          </w:tcPr>
          <w:p>
            <w:pPr>
              <w:jc w:val="right"/>
              <w:ind w:right="67"/>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(2,567)</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60" w:type="dxa"/>
            <w:vAlign w:val="bottom"/>
            <w:vMerge w:val="continue"/>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(1,581)</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(8,316)</w:t>
            </w:r>
          </w:p>
        </w:tc>
        <w:tc>
          <w:tcPr>
            <w:tcW w:w="160" w:type="dxa"/>
            <w:vAlign w:val="bottom"/>
            <w:vMerge w:val="continue"/>
            <w:shd w:val="clear" w:color="auto" w:fill="CCEEFF"/>
          </w:tcPr>
          <w:p>
            <w:pPr>
              <w:spacing w:after="0"/>
              <w:rPr>
                <w:sz w:val="18"/>
                <w:szCs w:val="18"/>
                <w:color w:val="auto"/>
              </w:rPr>
            </w:pPr>
          </w:p>
        </w:tc>
        <w:tc>
          <w:tcPr>
            <w:tcW w:w="7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w:t>
            </w:r>
          </w:p>
        </w:tc>
        <w:tc>
          <w:tcPr>
            <w:tcW w:w="1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(1,585)</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7"/>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(3,510)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Net loss attributable to common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(10,241)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sales decreased $0.3 million, or 2.5%, to $11.5 million in the three months ended September 30, 2021 compared to $11.8 million in the three months ended September 30, 2020. The decline in net sales was due to reductions in the net sales of our Core Products of $1.8 million, partially offset by growth in the net sales of our Non-Core Products of $1.5 million.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3"/>
              </w:rPr>
              <w:t>Three Months Ended 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5"/>
              </w:rPr>
              <w:t>Change 2020 / 2021</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360" w:type="dxa"/>
            <w:vAlign w:val="bottom"/>
            <w:gridSpan w:val="2"/>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tcPr>
          <w:p>
            <w:pPr>
              <w:jc w:val="right"/>
              <w:ind w:right="387"/>
              <w:spacing w:after="0" w:line="142" w:lineRule="exact"/>
              <w:rPr>
                <w:sz w:val="20"/>
                <w:szCs w:val="20"/>
                <w:color w:val="auto"/>
              </w:rPr>
            </w:pPr>
            <w:r>
              <w:rPr>
                <w:rFonts w:ascii="Arial" w:cs="Arial" w:eastAsia="Arial" w:hAnsi="Arial"/>
                <w:sz w:val="14"/>
                <w:szCs w:val="14"/>
                <w:b w:val="1"/>
                <w:bCs w:val="1"/>
                <w:color w:val="auto"/>
              </w:rPr>
              <w:t>Sales</w:t>
            </w: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8,588</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74.8 % $</w:t>
            </w:r>
          </w:p>
        </w:tc>
        <w:tc>
          <w:tcPr>
            <w:tcW w:w="680" w:type="dxa"/>
            <w:vAlign w:val="bottom"/>
          </w:tcPr>
          <w:p>
            <w:pPr>
              <w:jc w:val="right"/>
              <w:spacing w:after="0"/>
              <w:rPr>
                <w:sz w:val="20"/>
                <w:szCs w:val="20"/>
                <w:color w:val="auto"/>
              </w:rPr>
            </w:pPr>
            <w:r>
              <w:rPr>
                <w:rFonts w:ascii="Arial" w:cs="Arial" w:eastAsia="Arial" w:hAnsi="Arial"/>
                <w:sz w:val="18"/>
                <w:szCs w:val="18"/>
                <w:color w:val="auto"/>
              </w:rPr>
              <w:t>10,345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7"/>
              <w:spacing w:after="0"/>
              <w:rPr>
                <w:sz w:val="20"/>
                <w:szCs w:val="20"/>
                <w:color w:val="auto"/>
              </w:rPr>
            </w:pPr>
            <w:r>
              <w:rPr>
                <w:rFonts w:ascii="Arial" w:cs="Arial" w:eastAsia="Arial" w:hAnsi="Arial"/>
                <w:sz w:val="18"/>
                <w:szCs w:val="18"/>
                <w:color w:val="auto"/>
              </w:rPr>
              <w:t>87.9 % $</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(1,757)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102.7 %</w:t>
            </w:r>
          </w:p>
        </w:tc>
        <w:tc>
          <w:tcPr>
            <w:tcW w:w="0" w:type="dxa"/>
            <w:vAlign w:val="bottom"/>
          </w:tcPr>
          <w:p>
            <w:pPr>
              <w:spacing w:after="0"/>
              <w:rPr>
                <w:sz w:val="1"/>
                <w:szCs w:val="1"/>
                <w:color w:val="auto"/>
              </w:rPr>
            </w:pPr>
          </w:p>
        </w:tc>
      </w:tr>
      <w:tr>
        <w:trPr>
          <w:trHeight w:val="209"/>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11,485</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11,774</w:t>
            </w: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sales generated by our Core Products declined $1.8 million, or 17.0%, to $8.6 million in the three months ended September 30, 2021 compared to $10.3 million in the three months ended September 30, 2020. The Core Products net sales reduction can be attributed to the cessation of purchases by Medtronic of FiberCel following our recall of a single lot of FiberCel in June 2021. Excluding the FiberCel sales to Medtronic of $0.4 million and $2.1 million in the three months ended September 30, 2021 and 2020, respectively, net sales of our Core Products were essentially equal at $8.2 and $8.3 million, respectively.</w:t>
      </w:r>
    </w:p>
    <w:p>
      <w:pPr>
        <w:spacing w:after="0" w:line="192"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Net sales generated by our Non-Core Products increased $1.5 million, or 102.7%, to $2.9 million in the three months ended September 30, 2021 compared to $1.4 million in the three months ended September 30, 2020. The Non-Core Products net sales increase was primarily due to revenues associated with new contracts signed in the latter half of 2020 and by one contract manufacturing customer building inventory for a new product launch.</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Cost of goods sold was $7.8 million and $6.2 million in the three months ended September 30, 2021 and 2020, respectively, and included, in each case, $0.8 million of intangible asset amortization expenses. Gross margin in the three months ended September 30, 2021 was 32.1%, a decrease from 47.1% in the corresponding prior year period. Gross margin, excluding intangible asset amortization, in the three months ended September 30, 2021 was 39.5%, a decline from 54.3%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was primarily due to lower yields in our orthopedic and spinal repair product lines related to heightened donor screening criteria ahead of the implementation of enhanced product testing, as well as write-downs of inventory in certain categories. Together these factors negatively impacted gross margins by approximately $1.4 million or 12%. We do not expect these costs to continue at similar levels going forward.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Sales and marketing expenses increased $0.5 million, or 11.2%, to $4.8 million in the three months ended September 30, 2021 compared to $4.3 million in the three months ended September 30, 2020. As a percentage of sales, sales and marketing expenses grew to 41.6% in the three months ended September 30, 2021 from 36.5% in the three months ended September 30, 2020. Along with slightly higher marketing costs, the increase as a percentage of sales was the result of the growth during the third quarter of 2021 of revenues from sales by us directly to the end user as such revenues have higher selling costs than our “business to business” revenues.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increased $0.9 million, or 34.7%, to $3.6 million in the three months ended September 30, 2021 compared to $2.7 million in the three months ended September 30, 2020. As a percentage of net sales, G&amp;A expenses increased to 31.3% in the three months ended September 30, 2021 from 22.7% in the three months ended September 30, 2020. The increase in expense was primarily due to costs of being a public company, most notably increases in directors and officers insurance, legal fees and stock-based compensation.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R&amp;D expenses increased to $2.3 million in the three months ended September 30, 2021 compared to $1.3 million in the three months ended September 30, 2020. We continue to focus our R&amp;D efforts on the development of our pipeline products with the growth in R&amp;D expenses in the three months ended September 30, 2021 largely attributable to the work performed on the development of our CanGaroo anti-infective product.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Interest expense was approximately $1.3 million in the three months ended September 30, 2021 compared to $1.5 million in the three months ended September 30, 2020. The decrease was due to lower draws on our Revolving Credit Agreement and lower outstanding principal on our Term Loan Credit Agreement (as defined below) due to the commencement of principal payments in the third quarter of 2021. See “Credit Facilities” below for further discussion of these debt agreements and Note 7 to the condensed consolidated financial statements included elsewhere in this Quarterly Report for a description of our Revenue Interest Obligation and the interest expense related thereto.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Other (income) expense, net was $2.6 million in the three months ended September 30, 2020 and was primarily attributable to the loss on early extinguishment of debt of $2.3 million. This loss related to the conversion of Convertible Bridge Notes into Convertible Preferred Stock with such stock exceeding the face value of the Convertible Bridge Notes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by $2.3 million. See Note 8 to the condensed consolidated financial statements included elsewhere in this Quarterly Report for further discussion.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10"/>
          </w:tcPr>
          <w:p>
            <w:pPr>
              <w:jc w:val="right"/>
              <w:ind w:right="727"/>
              <w:spacing w:after="0"/>
              <w:rPr>
                <w:sz w:val="20"/>
                <w:szCs w:val="20"/>
                <w:color w:val="auto"/>
              </w:rPr>
            </w:pPr>
            <w:r>
              <w:rPr>
                <w:rFonts w:ascii="Arial" w:cs="Arial" w:eastAsia="Arial" w:hAnsi="Arial"/>
                <w:sz w:val="14"/>
                <w:szCs w:val="14"/>
                <w:b w:val="1"/>
                <w:bCs w:val="1"/>
                <w:color w:val="auto"/>
              </w:rPr>
              <w:t>Nine Months Ended September 30,</w:t>
            </w:r>
          </w:p>
        </w:tc>
        <w:tc>
          <w:tcPr>
            <w:tcW w:w="16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w w:val="91"/>
              </w:rPr>
              <w:t>Change 2020 / 2021</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Sales</w:t>
            </w:r>
          </w:p>
        </w:tc>
        <w:tc>
          <w:tcPr>
            <w:tcW w:w="780" w:type="dxa"/>
            <w:vAlign w:val="bottom"/>
            <w:gridSpan w:val="2"/>
            <w:vMerge w:val="continue"/>
          </w:tcPr>
          <w:p>
            <w:pPr>
              <w:spacing w:after="0"/>
              <w:rPr>
                <w:sz w:val="14"/>
                <w:szCs w:val="14"/>
                <w:color w:val="auto"/>
              </w:rPr>
            </w:pPr>
          </w:p>
        </w:tc>
        <w:tc>
          <w:tcPr>
            <w:tcW w:w="860" w:type="dxa"/>
            <w:vAlign w:val="bottom"/>
            <w:gridSpan w:val="3"/>
          </w:tcPr>
          <w:p>
            <w:pPr>
              <w:jc w:val="right"/>
              <w:ind w:right="327"/>
              <w:spacing w:after="0"/>
              <w:rPr>
                <w:sz w:val="20"/>
                <w:szCs w:val="20"/>
                <w:color w:val="auto"/>
              </w:rPr>
            </w:pPr>
            <w:r>
              <w:rPr>
                <w:rFonts w:ascii="Arial" w:cs="Arial" w:eastAsia="Arial" w:hAnsi="Arial"/>
                <w:sz w:val="14"/>
                <w:szCs w:val="14"/>
                <w:b w:val="1"/>
                <w:bCs w:val="1"/>
                <w:color w:val="auto"/>
              </w:rPr>
              <w:t>Sales</w:t>
            </w: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20,897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57.2 %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15,676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51.9 %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5,221</w:t>
            </w:r>
          </w:p>
        </w:tc>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14,285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12,845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5,890</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(15,270)</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(5,634)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(6,146)</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(15,725)</w:t>
            </w:r>
          </w:p>
        </w:tc>
        <w:tc>
          <w:tcPr>
            <w:tcW w:w="1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(16,451)</w:t>
            </w:r>
          </w:p>
        </w:tc>
        <w:tc>
          <w:tcPr>
            <w:tcW w:w="1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138.9 %</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(15,768)</w:t>
            </w:r>
          </w:p>
        </w:tc>
        <w:tc>
          <w:tcPr>
            <w:tcW w:w="1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(16,469)</w:t>
            </w:r>
          </w:p>
        </w:tc>
        <w:tc>
          <w:tcPr>
            <w:tcW w:w="1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(3,510)</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7"/>
              </w:rPr>
              <w:t>Net loss attributable to common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(15,768)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(19,979)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59" w:firstLine="693"/>
        <w:spacing w:after="0" w:line="311" w:lineRule="auto"/>
        <w:rPr>
          <w:sz w:val="20"/>
          <w:szCs w:val="20"/>
          <w:color w:val="auto"/>
        </w:rPr>
      </w:pPr>
      <w:r>
        <w:rPr>
          <w:rFonts w:ascii="Arial" w:cs="Arial" w:eastAsia="Arial" w:hAnsi="Arial"/>
          <w:sz w:val="16"/>
          <w:szCs w:val="16"/>
          <w:color w:val="auto"/>
        </w:rPr>
        <w:t>Net sales grew $6.3 million, or 20.9%, to $36.5 million in the nine months ended September 30, 2021 compared to $30.2 million in the nine months ended September 30, 2020. The increase in net sales was due to growth in both the net sales of our Core Products and of our Non-Core Products, which grew $3.3 million and $3.0 million, respectively.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4"/>
              </w:rPr>
              <w:t>Change 2020 / 2021</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340" w:type="dxa"/>
            <w:vAlign w:val="bottom"/>
            <w:gridSpan w:val="2"/>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Sales</w:t>
            </w: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Sales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Core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29,230</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80.0 % $</w:t>
            </w:r>
          </w:p>
        </w:tc>
        <w:tc>
          <w:tcPr>
            <w:tcW w:w="640" w:type="dxa"/>
            <w:vAlign w:val="bottom"/>
          </w:tcPr>
          <w:p>
            <w:pPr>
              <w:jc w:val="right"/>
              <w:spacing w:after="0"/>
              <w:rPr>
                <w:sz w:val="20"/>
                <w:szCs w:val="20"/>
                <w:color w:val="auto"/>
              </w:rPr>
            </w:pPr>
            <w:r>
              <w:rPr>
                <w:rFonts w:ascii="Arial" w:cs="Arial" w:eastAsia="Arial" w:hAnsi="Arial"/>
                <w:sz w:val="18"/>
                <w:szCs w:val="18"/>
                <w:color w:val="auto"/>
              </w:rPr>
              <w:t>25,956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85.9 % $</w:t>
            </w:r>
          </w:p>
        </w:tc>
        <w:tc>
          <w:tcPr>
            <w:tcW w:w="600" w:type="dxa"/>
            <w:vAlign w:val="bottom"/>
          </w:tcPr>
          <w:p>
            <w:pPr>
              <w:jc w:val="right"/>
              <w:spacing w:after="0"/>
              <w:rPr>
                <w:sz w:val="20"/>
                <w:szCs w:val="20"/>
                <w:color w:val="auto"/>
              </w:rPr>
            </w:pPr>
            <w:r>
              <w:rPr>
                <w:rFonts w:ascii="Arial" w:cs="Arial" w:eastAsia="Arial" w:hAnsi="Arial"/>
                <w:sz w:val="18"/>
                <w:szCs w:val="18"/>
                <w:color w:val="auto"/>
              </w:rPr>
              <w:t>3,274</w:t>
            </w:r>
          </w:p>
        </w:tc>
        <w:tc>
          <w:tcPr>
            <w:tcW w:w="20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Non-Core Products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71.3 %</w:t>
            </w:r>
          </w:p>
        </w:tc>
        <w:tc>
          <w:tcPr>
            <w:tcW w:w="0" w:type="dxa"/>
            <w:vAlign w:val="bottom"/>
          </w:tcPr>
          <w:p>
            <w:pPr>
              <w:spacing w:after="0"/>
              <w:rPr>
                <w:sz w:val="1"/>
                <w:szCs w:val="1"/>
                <w:color w:val="auto"/>
              </w:rPr>
            </w:pPr>
          </w:p>
        </w:tc>
      </w:tr>
      <w:tr>
        <w:trPr>
          <w:trHeight w:val="210"/>
        </w:trPr>
        <w:tc>
          <w:tcPr>
            <w:tcW w:w="33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36,529</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30,216</w:t>
            </w: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6,313</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84.0</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Net sales generated by our Core Products grew $3.3 million, or 12.6%, to $29.2 million in the nine months ended September 30, 2021 compared to $26.0 million in the nine months ended September 30, 2020. The Core Products net sales growth can be largely attributed to the volume growth in all of our Core Product categories due to increased market demand along with the lessened revenue impact of COVID-19 in the nine months ended September 30, 2021 versus such impact in the nine months ended September 30. 2020. As noted above, in June 2021, Medtronic ceased the purchasing of FiberCel following our recall of a single lot of FiberCel in June 2021. Our sales of FiberCel to Medtronic were nearly equal during the nine months ended September 30, 2021 as compared to the nine months ended September 30, 2020.</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sales generated by our Non-Core Products increased $3.0 million, or 71.3%, to $7.3 million in the nine months ended September 30, 2021 compared to $4.3 million in the nine months ended September 30, 2020. The Non-Core Products net sales increase was primarily due to revenues associated with new contracts signed in the latter half of 2020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by one contract manufacturing customer building inventory for a new product launch, along with the lessened revenue impact of COVID-19 in the nine months ended September 30, 2021 versus such impact in the nine months ended September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Cost of goods sold was $20.9 million and $15.7 million in the nine months ended September 30, 2021 and 2020, respectively, and included, in each case, $2.5 million of intangible asset amortization expenses. Gross margin in the nine months ended September 30, 2021 was 42.8%, a decrease from 48.1% in the corresponding prior year period. Gross margin, excluding intangible asset amortization, in the nine months ended September 30, 2021 was 49.8%, a decline from 56.6%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decrease in gross margin was primarily due to lower yields in our orthopedic and spinal repair product lines related to heightened donor screening criteria ahead of the implementation of enhanced product testing, as well as write-downs of inventory in certain categories during the third quarter of 2021. Together these factors negatively impacted gross margins by approximately $1.4 million or 4%. We do not expect these costs to continue at similar levels going forward.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Sales and marketing expenses increased $1.4 million, or 11.2%, to $14.3 million in the nine months ended September 30, 2021 compared to $12.8 million in the nine months ended September 30, 2020. As a percentage of sales, sales and marketing expenses fell to 39.1% in the nine months ended September 30, 2021 from 42.5% in the nine months ended September 30, 2020. Along with slightly lower marketing costs, the decrease as a percentage of sales is the result of the growth in our “business to business” orthopedic and spinal repair revenues during the nine months ended September 30, 2021, as such revenues have limited associated selling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increased $3.4 million, or 45.9%, to $10.7 million in the nine months ended September 30, 2021 compared to $7.4 million in the nine months ended September 30, 2020. As a percentage of net sales, G&amp;A expenses increased to 29.4% in the nine months ended September 30, 2021 from 24.3% in the nine months ended September 30, 2020. The dollar increase was primarily due to costs of being a public company, most notably increases in directors and officers insurance, legal fees and stock-based compensation.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R&amp;D expenses increased to $5.9 million in the nine months ended September 30, 2021 compared to $4.0 million in the nine months ended September 30, 2020. We continue to focus our R&amp;D efforts on the development of our pipeline products with the growth in R&amp;D expenses in the nine months ended September 30, 2021 largely attributable to the work performed on the development of our CanGaroo anti-infective product which achieved its next development milestone in the nine months ended September 30, 2021 with the completion of manufacturing validation.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Interest expense was approximately $4.0 million and $4.2 million in the nine months ended September 30, 2021 and 2020, respectively. The decrease was due to lower draws on our Revolving Credit Agreement during the nine months ended September 30, 2021 and lower outstanding principal on our Term Loan Credit Agreement due to the commencement of principal payments in the third quarter of 2021. See “Credit Facilities” below for further discussion of these debt agreements and Note 7 to the condensed consolidated financial statements included elsewhere in this Quarterly Report for a description of our Revenue Interest Obligation and the interest expense related thereto.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Other (income) expense, net was approximately $3.6 million of income in the nine months ended September 30, 2021. Such other income relates to the forgiveness of our PPP Loan totaling approximately $3.0 million and our receipt of $550,000 in satisfaction of a 2018 settlement with KeraLink. For further discussion on these items, see Notes 6 and 11 to the condensed consolidated financial statements included elsewhere in this Quarterly Report. Other (income) expense, net was $2.6 million in the nine months ended September 30, 2020 and was primarily attributable to the loss on early extinguishment of debt of $2.3 million. This loss related to the conversion of Convertible Bridge Notes into Convertible Preferred Stock during the 2020 period with such stock exceeding the face value of the Convertible Bridge Notes by $2.3 million. See Note 8 to the condensed consolidated financial statements included elsewhere in this Quarterly Report for additional discussion.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and nine months ended September 30, 2021 and 2020.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and nine months ended September 30, 2021 and 2020 to the most directly comparable GAAP financial measure, which is our GAAP gross margin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11,774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$ 36,529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excluding intangible asset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$ 18,180</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$ 17,088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32.1</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47.1</w:t>
            </w:r>
          </w:p>
        </w:tc>
        <w:tc>
          <w:tcPr>
            <w:tcW w:w="24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42.8</w:t>
            </w:r>
          </w:p>
        </w:tc>
        <w:tc>
          <w:tcPr>
            <w:tcW w:w="24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48.1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excluding intangible asset amortization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As of September 30, 2021, we had cash and restricted cash of approximately $28.4 million and availability under our Revolving Credit Facility of $5.1 million. We have historically financed our operations primarily through private placements of our convertible preferred stock, amounts borrowed under our credit facilities and sales of our products and, more recently, with proceeds from our IPO.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September 30, 2021, our accumulated deficit was $96.0 million.</w:t>
      </w:r>
    </w:p>
    <w:p>
      <w:pPr>
        <w:spacing w:after="0" w:line="16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As discussed below under “— Funding Requirements,” we may need additional funding to support our continuing operations and pursue our growth strategy.</w:t>
      </w:r>
    </w:p>
    <w:p>
      <w:pPr>
        <w:spacing w:after="0" w:line="17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further described in Note 6, our Term Debt Facility (“Term Debt”) and Revolving Line of Credit (the “Revolver”) include monthly revenue covenants, the non-compliance of which would permit our lenders to accelerate the repayment of these outstanding borrowings. In October 2021, we were informed by Medtronic that they would no longer be distributing cellular bone products such as FiberCel and, as such, the two companies are working towards a mutual termination of the associated FiberCel distribution agreement (“FiberCel Agreement”). Such termination will follow the suspension of all FiberCel purchases by Medtronic after Aziyo’s voluntary recall pertaining to a single donor lot of FiberCel in June 2021. Given the associated revenues derived from the FiberCel Agreement, its suspension and then termination may negatively affect our future revenues. As such, while Aziyo is currently in compliance with all revenue covenants, our ability to comply with these covenants in the future is uncertain. Additionally, in August 2021, we commenced the principal repayment of our Term Debt with such repayments totaling approximately $556,000 per month.</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mitigate the current and potential future liquidity issues caused by the matters noted above, we may seek to raise capital through the issuance of common stock and to either refinance or restructure its Term Debt and Revolver. However, we may not be able to raise additional equity or refinance our Term Debt and Revolver on acceptable terms, or at all. As such, based on our current operating plans, we believe there is uncertainty as to whether our future cash flows along with our existing cash, availability under our Revolver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Nine Months Ended September 30, 2021 and 2020</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(9,059)</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(16,906)</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for the nine months ended September 30, 2021 was $9.1 million compared to $8.3 million for the nine months ended September 30, 2020. The year-over-year change was primarily due to a higher net loss (after adjustment for non-cash charges and gains) offset by improved working capital performance, particularly as it relates to our management of inventory levels.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2021 was $0.3 million and approximately $0.5 million for the nine months ended September 30, 2020. In both periods, the use of cash related to the purchase of property and equipment, the majority of which are used in the production activities of our Richmond, California facility.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Net cash used in financing activities for the nine months ended September 30, 2021 totaled $7.5 million compared to $7.8 million of cash provided by financing activities for the nine months ended September 30, 2020. The year-over-year net increase of $15.3 million was primarily due to the capital raises in the 2020 period totaling approximately $7.1 million necessary to fund our operations prior to the IPO in contrast to only the net repayments of $4.6 million on our Revolving Credit Facility and $1.1 million on our Term Loan Credit Agreement during the 2021 (post-IPO) period.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 of Term Loan Tranche 5 terminated without being borrowed on September 30, 2020. We refer to Term Loan Tranche 1, Term Loan Tranche 2, Term Loan Tranche 3 and Term Loan Tranche 4 collectively as the Term Loan Facility.</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6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September 30, 2021, we had $18.7 million of indebtedness outstanding under our Term Loan Facility (net of $0.2 million of unamortized discount and deferred financing costs), and $2.0 million outstanding under our Revolving Credit Facility (with $4.5 million of additional borrowings available thereunder).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 The amount available for borrowing under the Revolving Credit Facility may also be reduced by certain reserve amounts that may be established by the administrative agent from time to time</w:t>
      </w:r>
      <w:r>
        <w:rPr>
          <w:rFonts w:ascii="Arial" w:cs="Arial" w:eastAsia="Arial" w:hAnsi="Arial"/>
          <w:sz w:val="18"/>
          <w:szCs w:val="18"/>
          <w:i w:val="1"/>
          <w:iCs w:val="1"/>
          <w:color w:val="auto"/>
        </w:rPr>
        <w:t>.</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nine months ended September 30, 2021 and 2020.</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equal to the amount prepaid multiplied by, in the case of Term Loan Tranche 1, Term Loan Tranche 2 or Term Loan Tranche 3, 3.0% until July 15, 2021 and 2.0% thereafter, and, in the case of Term Loan Tranche 4, 4.0% until November 21, 2020, 3.0% until November 21, 2021 and 2.0% thereafter. The “Exit Fee” is defined as an amount equal to 6.50% multiplied by the aggregate principal amount of all borrowings advanced to the Borrowers under the Term Loan Facility.</w:t>
      </w:r>
    </w:p>
    <w:p>
      <w:pPr>
        <w:spacing w:after="0" w:line="17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Borrowers may prepay the Revolving Credit Facility in whole or in part at any time, provided, however, that any such partial prepayment shall be in an amount equal to $100,000 or a higher integral multiple of $25,000.</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commenced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Outstanding borrowings under the Revolving Credit Facility do not amortize and are due and payable on July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 As of September 30, 2021, Aziyo was in compliance with the financial covenant and all other covenants. When finalized, the mutual agreement to terminate our Supply Agreement for FiberCel with Medtronic, as described above, would have triggered an event of default under the Term Loan Credit Agreement; however, such event of default was waived by our lenders.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May 2020, we entered into a promissory note with Silicon Valley Bank, or SVB, under the Paycheck Protection Program of the CARES Act pursuant to which SVB agreed to make a loan to us in the amount of approximately $3.0 million. The PPP Loan bears interest at a rate of 1.0% per annum with monthly principal and interest payments beginning in March 2021 and ending on the maturity date of May 7, 2022; however such repayment commencement was deferred by the U.S. Small Business Administration while they evaluated our forgiveness application. In June 2021, we were notified by the U.S. Small Business Administration that the entire balance of our PPP Loan and all related accrued interest was forgiven. Such forgiveness resulted in a gain to us of approximately $3.0 million which has been recorded as other income in the accompanying condensed consolidated statements of operations for the nine months ended September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 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noted above under “—Liquidity and Capital Resources,” without additional capital, there is substantial doubt about Aziyo’s ability to continue as going concern within one year after the issuance of the financial statements. As such, we may seek to raise additional capital through equity offerings, debt financings, collaborations or licensing arrangements.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92"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225"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defending against or the damages payable (to the extent above the applicable insurance coverage), for example, in connection with claims involving the recall of FiberCel;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on any of the above of the current COVID-19 pandemic, including variants of the disease,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September 30, 2021, we did not have any off-balance sheet arrangements, as defined under SEC Regulation S-K Item 303(a)(4)(ii).</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Not applicable as permitted based on our classification as a “smaller reporting company” as defined in Rule 12b-2 of the Exchange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Refer to Note 2, “Summary of Significant Accounting Policies,” to our condensed consolidated financial statements included elsewhere in this Quarterly Report for information regarding our critical accounting estimates and policies.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1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September 30, 2021 would not have had a material effect on our financial statements. We do not currently engage in hedging transactions to manage our exposure to interest rate risk.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September 30, 2021,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September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nine months ended September 30, 2021 and 2020.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September 30,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nine months ended September 30, 2021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9 to the condensed consolidated financial statements included elsewhere in this Quarterly Report.</w:t>
      </w:r>
    </w:p>
    <w:p>
      <w:pPr>
        <w:spacing w:after="0" w:line="39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Our business, financial condition and operating results can be affected by a number of factors, whether currently known or unknown, including but not limited to those described as risk factors, any one or more of which could, directly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as updated and supplemented by the risk factors below. Any of these factors, in whole or in part, could materially and adversely affect our business, financial condition, operating results and the price of our common stock.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success depends on our ability to maintain the value and reputation of the Aziyo name.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believe that the “Aziyo” name is important to attracting and retaining customers, and enhancing our name depends largely on our ability to provide high-quality and safe products. Our name could be harmed if we fail to achieve these objectives or if our public image were to be tarnished by events yielding negative perceptions and publicity. For example, on June 2, 2021, we issued a voluntary recall pertaining to a single donor lot of our FiberCel Fiber Viable Bone Matrix (“FiberCel”), a bone repair product made from human tissue that is used in various orthopedic and spinal procedures. Notice of the voluntary recall was issued to hospitals that received products from this specific lot, following our learning of post-surgical infections in patients treated with FiberCel, including some patients who tested positive for tuberculosis, including eight cases that resulted in fatalities (the “FiberCel Recall”). Following the public announcement of our voluntary recall, there has been various media coverage surrounding the recall and patients impacted, as well as lawsuits filed against Aziyo, which are described in Part II, Item 1, “Legal Proceedings” and Note 9 to the condensed consolidated financial statements included elsewhere in this Quarterly Report. Such negative publicity related to the perceived quality and safety of our products could affect our brand image, decrease confidence in our products or have an adverse effect on our ability to retain existing and attract new customers, suppliers and distribution partners, any one of which could result in decreased revenue, having an adverse effect on our business, financial condition and operating results.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substantial portion of our net sales is generated through our commercial partners and independent sales agents, which subjects us to various risks.</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As a result, the impairment or termination of these relationships for any reason, or the failure of these parties to diligently sell our products and comply with applicable laws and regulations, could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result in flat or declining sales in that territory, harm to the reputation of our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feel is underperforming.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increase our sales, particularly with respect to our Core Products,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and our business, financial condition and results of operations could be materially and adversely affected.</w:t>
      </w:r>
    </w:p>
    <w:p>
      <w:pPr>
        <w:spacing w:after="0" w:line="15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certain of our commercial partners may, from time to time, account for a significant portion of our net sales and/or accounts receivable. Sales to Surgalign Spine Technologies, one of our commercial partners, accounted for 10% of our net sales during the nine months ended September 30, 2021 and represented 12% of our accounts receivable as of September 30, 2021. Sales to Medtronic accounted for 14% of our net sales during the nine months ended September 30, 2021 and represented none of our accounts receivable as of September 30, 2021. As more fully described elsewhere in this Quarterly Report, we issued a voluntary recall on June 2, 2021 pertaining to a single donor lot of our FiberCel product after learning of post-surgical infections in several patients treated with the product, including some of whom tested positive for tuberculosis, and eight of whom suffered a fatal outcome. FiberCel is distributed by Medtronic and, in June 2021, Medtronic notified us that sales of FiberCel as well as all such other Non-Core products supplied to Medtronic would be suspended until further notice. In October 2021, we were informed by Medtronic that they would no longer be distributing cellular bone products such as FiberCel and, as such, the two companies are working towards a mutual termination of the associated FiberCel distribution agreement.</w:t>
      </w:r>
    </w:p>
    <w:p>
      <w:pPr>
        <w:spacing w:after="0" w:line="13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loss of one or more significant commercial partners, a material reduction in their purchases of our products, such as what we are currently experiencing with Medtronic, or their inability to perform their contractual obligations, including, for example, committed purchase requirements, could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1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since our inception, expect to continue to incur significant expenses and operating losses in the future, and may not be able to achieve or sustain profitability.</w:t>
      </w:r>
    </w:p>
    <w:p>
      <w:pPr>
        <w:spacing w:after="0" w:line="143"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incurred net losses since our inception in 2015. For the nine months ended September 30, 2021, we had net losses of $15.8 million and as of September 30, 2021, we had an accumulated deficit of $96.0 million. To date, we have financed our operations primarily through private placements of our convertible preferred stock, amounts borrowed under our credit facilities and sales of our products and, more recently, with proceeds from our IPO. We have devoted the majority of our resources to acquisition and integration, manufacturing costs, research and development, clinical activity and investing in our commercial infrastructure through our direct sales force and commercial partners in order to expand our presence and to promote awareness and adoption of our products.</w:t>
      </w:r>
    </w:p>
    <w:p>
      <w:pPr>
        <w:spacing w:after="0" w:line="13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that our operating expenses will continue to increase as we grow our sales organization, expand our product development and clinical and research activities, and incur additional costs associated with being a public company. Sales of our products or meaningful reductions or suspensions of such sales, such as the suspension of sales of FiberCel, may not offset our operating expenses As a result, we expect to continue to incur operating losses in the future and may never achieve profitability. Furthermore, even if we do achieve profitability, we may not be able to sustain or increase profitability on an ongoing basis. If we do not achieve or sustain profitability, it will be more difficult for us to finance our business and accomplish our strategic objectives, either of which would have a material adverse effect on our business, financial condition and results of operations and cause the market price of our Class A common stock to decline. In addition, failure of our products to significantly penetrate existing or new markets would negatively affect our business, financial condition and results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have identified conditions and events that raise substantial doubt about our ability to continue as a going concern.</w:t>
      </w:r>
    </w:p>
    <w:p>
      <w:pPr>
        <w:spacing w:after="0" w:line="233"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anticipate our operating losses to continue for the foreseeable future due to, among other things, costs related to research and development of our product candidates, sales and marketing costs, and our administrative organization. We will require substantial additional financing to fund our operations and to continue to execute our strategy, and we will pursue a range of options to secure additional capital. As described in Note 2 to the condensed consolidated financial statements included elsewhere in this Quarterly Report, without additional capital, there is substantial doubt about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ability to continue as going concern within one year after the issuance of the financial statements included in this Quarterly Report. We will need to raise additional capital to fund our future operations and remain as a going concern. There can be no assurance that we will be able to obtain additional funding on acceptable terms, if at all. To the extent that we raise additional capital through future equity offerings, the ownership interest of common stockholders will be diluted, which dilution may be significant. However, we cannot guarantee that we will be able to obtain any or sufficient additional funding or that such funding, if available, will be obtainable on terms satisfactory to us. In the event we are unable to obtain any or sufficient additional funding, there can be no assurance that we will be able to continue as going concern.</w:t>
      </w:r>
    </w:p>
    <w:p>
      <w:pPr>
        <w:spacing w:after="0" w:line="13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3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educational programs and online medical educational materials, among other things. We also produce marketing materials, including materials outlining our products, for our sales teams using printed, video and multimedia formats. However, our efforts to educate physicians, surgeons and other healthcare professionals regarding our products may not be successful, particularly with respect to our Bone Repair products in light of the recent events involving the FiberCel Recall, and in markets where we rely exclusively on the efforts of our commercial partners and independent sales agents. If we do not adequately educate physicians, surgeons and other healthcare professionals about our products, as well as any adverse events involving these products, our products may not gain or maintain market acceptance, which may adversely affect our business, financial condition and results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success depends on the continued and future acceptance of our products by the medical community.</w:t>
      </w:r>
    </w:p>
    <w:p>
      <w:pPr>
        <w:spacing w:after="0" w:line="21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In light of the events surrounding the FiberCel Recall, described in Part II, Item 1, “Legal Proceedings” and Note 9 to the condensed consolidated financial statements included elsewhere in this Quarterly Report, such positive evaluation of our Bone Repair products may become more challenging.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26"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their lack of experience using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lack of evidence supporting additional patient benefits from use of our products over conventional methods;</w:t>
      </w:r>
    </w:p>
    <w:p>
      <w:pPr>
        <w:spacing w:after="0" w:line="221" w:lineRule="exact"/>
        <w:rPr>
          <w:rFonts w:ascii="Arial" w:cs="Arial" w:eastAsia="Arial" w:hAnsi="Arial"/>
          <w:sz w:val="16"/>
          <w:szCs w:val="16"/>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third-party payors;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that must be dedicated to learning how to use our products.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degree of market acceptance of our products will continue to depend on a number of factors, some of which are outside of our control, including, among other things:</w:t>
      </w:r>
    </w:p>
    <w:p>
      <w:pPr>
        <w:spacing w:after="0" w:line="143"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actual and perceived safety and efficacy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European Union or other regulatory authorities, including any limitations or warnings contained in approved labeling;</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43"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and the reputation of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patients experience involving our products;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shelf life of our products and our ability to manage the logistics of the end-user supply chain; and</w:t>
      </w:r>
    </w:p>
    <w:p>
      <w:pPr>
        <w:spacing w:after="0" w:line="19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 for procedures incorporating our products.</w:t>
      </w:r>
    </w:p>
    <w:p>
      <w:pPr>
        <w:spacing w:after="0" w:line="13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14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43"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3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share and other resources to set prices at a level below that which is profitable for us. These companies may also enjoy other competitive advantages, including, without limitation:</w:t>
      </w:r>
    </w:p>
    <w:p>
      <w:pPr>
        <w:spacing w:after="0" w:line="143"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company, product and brand recognition;</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quality and greater volume of clinical data;</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effective marketing to and education of physicians and other healthcare professionals;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control of key intellectual property and more expansive portfolios of intellectual property rights;</w:t>
      </w:r>
    </w:p>
    <w:p>
      <w:pPr>
        <w:spacing w:after="0" w:line="19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experience in obtaining and maintaining regulatory clearances or approvals for products and product enhancements;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established relationships with hospitals and other healthcare providers, physicians, suppliers, customers and third-party payors;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product support and service;</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superior reliability, durability and product safety, with such product safety particularly in light of the events involving the FiberCel Recall;</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effective pricing and revenue strategies;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effective clinical training programs.</w:t>
      </w:r>
    </w:p>
    <w:p>
      <w:pPr>
        <w:spacing w:after="0" w:line="19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1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3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such as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inventory, customer returns and, in some cases, recalls, with consequential damage to our reputation and customer relationships and the risk of product liability.</w:t>
      </w:r>
    </w:p>
    <w:p>
      <w:pPr>
        <w:spacing w:after="0" w:line="15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For example, on June 2,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that tested positive for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tuberculosis. The lot consisted of 154 units of FiberCel, all derived from a single donor, that were shipped to facilities in 20 states. We have investigated the source of the infections in coordination with our distributor, the FDA and the U.S. Centers for Disease Control and Prevention (“CDC”). The FDA inspected our Richmond, California production facility, and this inspection did not result in any Form-483 observations. Additionally, multiple product liability lawsuits have been filed against Aziyo. See </w:t>
      </w:r>
      <w:r>
        <w:rPr>
          <w:rFonts w:ascii="Arial" w:cs="Arial" w:eastAsia="Arial" w:hAnsi="Arial"/>
          <w:sz w:val="17"/>
          <w:szCs w:val="17"/>
          <w:color w:val="565C63"/>
        </w:rPr>
        <w:t>“</w:t>
      </w:r>
      <w:r>
        <w:rPr>
          <w:rFonts w:ascii="Arial" w:cs="Arial" w:eastAsia="Arial" w:hAnsi="Arial"/>
          <w:sz w:val="17"/>
          <w:szCs w:val="17"/>
          <w:i w:val="1"/>
          <w:iCs w:val="1"/>
          <w:color w:val="auto"/>
        </w:rPr>
        <w:t>We face the risk of product liability claims and may not be able to obtain or maintain adequate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liability insurance</w:t>
      </w:r>
      <w:r>
        <w:rPr>
          <w:rFonts w:ascii="Arial" w:cs="Arial" w:eastAsia="Arial" w:hAnsi="Arial"/>
          <w:sz w:val="17"/>
          <w:szCs w:val="17"/>
          <w:i w:val="1"/>
          <w:iCs w:val="1"/>
          <w:color w:val="565C63"/>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additional information about these product liability lawsuits.</w:t>
      </w:r>
    </w:p>
    <w:p>
      <w:pPr>
        <w:spacing w:after="0" w:line="15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This investigation,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2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3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business exposes us to the risk of product liability claims that are inherent in the manufacturing, processing, investigating and marketing of medical devices and human and animal tissue products. For example, since the voluntary recall pertaining to a single donor lot of our FiberCel Fiber Viable Bone Matrix was issued, we have received notice of 41 separate lawsuits alleging that the plaintiffs contracted tuberculosis and/or suffered substantial symptoms and complications following the implantation of FiberCel during spinal fusion operations. We have notified our insurers of the known lawsuits and claims and a defense has been tendered to us (with reservation of rights), and counsel has been retained to defend us in the litigation.</w:t>
      </w:r>
    </w:p>
    <w:p>
      <w:pPr>
        <w:spacing w:after="0" w:line="16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For example, the Company and certain Medtronic entities have been named in complaints alleging that plaintiffs contracted tuberculosis following the implantation of FiberCel during spinal fusion operations and seeking unspecified compensatory and punitive damages and medical monitoring. See Part II, Item 1, “Legal Proceedings” and Note 9 to the condensed consolidated financial statements included elsewhere in this Quarterly Report.</w:t>
      </w:r>
    </w:p>
    <w:p>
      <w:pPr>
        <w:spacing w:after="0" w:line="14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Arial" w:cs="Arial" w:eastAsia="Arial" w:hAnsi="Arial"/>
          <w:sz w:val="16"/>
          <w:szCs w:val="16"/>
          <w:i w:val="1"/>
          <w:iCs w:val="1"/>
          <w:color w:val="auto"/>
        </w:rPr>
        <w:t>The misuse</w:t>
      </w:r>
      <w:r>
        <w:rPr>
          <w:rFonts w:ascii="Arial" w:cs="Arial" w:eastAsia="Arial" w:hAnsi="Arial"/>
          <w:sz w:val="16"/>
          <w:szCs w:val="16"/>
          <w:color w:val="auto"/>
        </w:rPr>
        <w:t xml:space="preserve"> </w:t>
      </w:r>
      <w:r>
        <w:rPr>
          <w:rFonts w:ascii="Arial" w:cs="Arial" w:eastAsia="Arial" w:hAnsi="Arial"/>
          <w:sz w:val="16"/>
          <w:szCs w:val="16"/>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Arial" w:cs="Arial" w:eastAsia="Arial" w:hAnsi="Arial"/>
          <w:sz w:val="16"/>
          <w:szCs w:val="16"/>
          <w:color w:val="auto"/>
        </w:rPr>
        <w:t>” included in our Annual Report on Form 10-K.</w:t>
      </w:r>
    </w:p>
    <w:p>
      <w:pPr>
        <w:spacing w:after="0" w:line="12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30"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9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product liability insurance is subject to deductibles and coverage limitations, and we may not be able to maintain this insurance. It is also possible that claims could exceed the limits of, or be excluded from, coverage under our policy, and claims against us could also increase the cost of maintaining our coverage.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 In addition, we have been, and in the future could be, subject to costs related to product recalls, and we could incur significant costs to correct any defects, warranty claims or other problems. Any such events could adversely affect our business, financial condition and results of operations.</w:t>
      </w:r>
    </w:p>
    <w:p>
      <w:pPr>
        <w:spacing w:after="0" w:line="15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4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European Union and similar foreign agencies. Compliance with these regulatory requirements, including but not limited to the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European Union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2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FDA and foreign regulatory authorities may also require post-market testing and surveillance to monitor the performance of approved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our products do not function as designed, or are designed improperly, we or the third-party manufacturer of such products may withdraw such products from the market, whether by choice or as a result of regulatory requirements. In August 2019, we recalled and discarded certain production lots of CanGaroo from the market due to suture breakage. In January 2018, we recalled five of our allograft tissue implants because a pre-sterilized donor culture should have been disqualified, each of which had a negative effect on our business, financial condition and results of operations. Furthermore,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Any product recall we or a third-party manufacturer may conduct in the future, whether voluntary or required, may also negatively affect our business, financial condition and results of operations, and this effect may be material.</w:t>
      </w:r>
    </w:p>
    <w:p>
      <w:pPr>
        <w:spacing w:after="0" w:line="13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significant litigation related to FiberCel.</w:t>
      </w:r>
    </w:p>
    <w:p>
      <w:pPr>
        <w:spacing w:after="0" w:line="19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have been named in several lawsuits alleging that the plaintiffs contracted tuberculosis and are suffering substantial adverse symptoms following the implantation of FiberCel during spinal fusion operations. See Part II, Item 1, “Legal Proceedings” and Note 9 to the condensed consolidated financial statements included elsewhere in this Quarterly Report. We have incurred and will continue to incur costs to defend these lawsuits and are not currently able to estimate damage amounts, if any, that we may be required to pay in connection with these lawsuits. Furthermore, these proceedings are still expected to continue for the reasonably foreseeable future, and we cannot predict the course the proceedings will take or their ultimate outcome. Given the inherent difficulty of predicting the outcome of litigation and costs involved to defend against the claims, we are currently unable to reasonably estimate the possible loss or range of loss with respect to these lawsuits. Any unfavorable outcome that results in the payment of substantial damages could have a material adverse effect on our business, cash flow, results of operations, financial position and prospects.</w:t>
      </w:r>
    </w:p>
    <w:p>
      <w:pPr>
        <w:spacing w:after="0" w:line="12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0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of September 30, 2021, we had $22.1 million of indebtedness outstanding, consisting of $18.7 million outstanding under our Term Loan Facility (net of $0.2 million of unamortized discount and deferred financing costs), $2.0 million outstanding under our Revolving Credit Facility (with $4.5 million of additional borrowings available thereunder), and a $1.4 million promissory note payable to one of our suppliers. In addition,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Note 7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4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the agreements governing our Term Loan Facility and Revolving Credit Facility contain,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46"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our assets;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 or modify our governing documents;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 and</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these covenants, the agreements governing our Term Loan Facility and Revolving Credit Facility also contain a financial covenant, which is tested on a monthly basis, and requires us to achieve a specified minimum net product revenue (as defined therein) for the preceding 12-month period. While we were in compliance with all covenants under these agreements as of September 30, 2021, we have had past breaches requiring waivers and there can be no guarantee that we will not breach these covenants in the future. To this end, when finalized, the mutual termination of our Supply Agreement for FiberCel with Medtronic referred to in Note 2 to the condensed consolidated financial statements included elsewhere in this Quarterly Report would have triggered an event of default; however, such event of default was waived by our lenders. Furthermore, the Supply Agreement’s termination may negatively affect future revenues and as such, Aziyo’s ability to comply with the revenue covenants in the future is uncertain.</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collateral granted to them to collateralize such indebtedness. The occurrence of any of these events could have a material adverse effect on our business, financial condition and results of operations.</w:t>
      </w:r>
    </w:p>
    <w:p>
      <w:pPr>
        <w:spacing w:after="0" w:line="143"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we may be able to incur significant additional indebtedness in the future. Although the agreements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Various events permit the lender under the Term Loan Facility and Revolving Credit Facility to terminate the agreement, following a cure period. Such events include, without limitation, legal proceedings which could be implicated based on the facts involving the FiberCel Recall and the FiberCel Litigation. If the lender were to terminate either the Term Loan Facility or the Revolving Credit Facility, the lender may declare all or any portion of these obligations to become immediately due and payable.</w:t>
      </w:r>
    </w:p>
    <w:p>
      <w:pPr>
        <w:spacing w:after="0" w:line="14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funds in the future, and such funds may not be available on acceptable terms or at all.</w:t>
      </w:r>
    </w:p>
    <w:p>
      <w:pPr>
        <w:spacing w:after="0" w:line="14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future capital needs are uncertain and, as such, we may seek to raise additional capital through equity offerings, debt financings, collaborations or licensing arrangements. Any future funding requirements will depend on many factors, including, among other things:</w:t>
      </w:r>
    </w:p>
    <w:p>
      <w:pPr>
        <w:spacing w:after="0" w:line="184"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of commercializing new products or technologies;</w:t>
      </w:r>
    </w:p>
    <w:p>
      <w:pPr>
        <w:spacing w:after="0" w:line="143"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defending against or damages payable (to the extent above the applicable insurance coverage), for example, in connection with claims involving the FiberCel Recall;</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on any of the above of the COVID-19 pandemic, including due to variants thereof, or any other pandemic, epidemic or outbreak of infectious disease.</w:t>
      </w:r>
    </w:p>
    <w:p>
      <w:pPr>
        <w:spacing w:after="0" w:line="13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4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licensing arrangements with third parties, it may be necessary to relinquish some rights to our technologies or our products, or grant licenses on terms that are not favorable to us.</w:t>
      </w:r>
    </w:p>
    <w:p>
      <w:pPr>
        <w:spacing w:after="0" w:line="14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121"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6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15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additional issues associated with the voluntary recall of the single donor lot of FiberCel if we are unable to show that we initiated a timely recall and recalled all deficient lots.</w:t>
      </w:r>
    </w:p>
    <w:p>
      <w:pPr>
        <w:spacing w:after="0" w:line="13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June 2, 2021, we issued a voluntary recall pertaining to a single donor lot of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who tested positive for tuberculosis. We investigated the source of the infections in coordination with our distributor of the product, the FDA and the CDC. The FDA has since inspected our Richmond, California production facility and this did not result in any Form-483 observations. At this time, we have identified the 154 units comprising the single product lot in question. Based on information from the CDC, 136 units within this product lot were implanted into 113 patients and the remaining 18 units were returned to either us or the CDC. Of these 113 patients, CDC has identified at least 75 patients who have exhibited clinical or diagnostic findings consistent with tuberculosis infection. The CDC has advised us that the CDC, working with state health agencies,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has contacted all patients treated with the recalled lot of FiberCel to help ensure they are directed to appropriate medical treatment and has informed us that all patients were started on standard four-drug treatment for tuberculosis. If it is determined that there are other lots that are similarly affected or we experience the same or similar circumstances in the future, this could adversely affect our ability to generate revenue and have an adverse effect on our financial condition and results of operations. Moreover, we may face additional issues associated with our voluntary recall if we are unable to show that we initiated a timely recall.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4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Some of our marketed products are subject to Medical Device Reporting (“MDR”) obligations, which require that we report to the FDA or the Competent Authorities of the European Union,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European Union,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FDA, the Competent Authorities of the European Union,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for a medical device must be based on a finding that there is reasonable probability that the device could cause serious injury or death. With respect to human cells, tissues, and cellular and tissue-based products (“HCT/Ps”), the FDA may also require a recall where the conditions of manufacture of the HCT/P do not provide adequate protections against risks of communicable disease transmission, or where the HCT/P is infected or contaminated so as to be a source of dangerous infections to humans.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4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43"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30"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and timing of sales of our products;</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related to the COVID-19 pandemic;</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for, and market new and enhanced products on a timely basis;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liability claims or damages related thereto, including those related to FiberCel described in this Quarterly Report, as well as other litigation or regulatory investigations;</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129"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30" w:lineRule="exact"/>
        <w:rPr>
          <w:rFonts w:ascii="Arial" w:cs="Arial" w:eastAsia="Arial" w:hAnsi="Arial"/>
          <w:sz w:val="17"/>
          <w:szCs w:val="17"/>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in reimbursement;</w:t>
      </w:r>
    </w:p>
    <w:p>
      <w:pPr>
        <w:spacing w:after="0" w:line="184"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43"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Class A common stock;</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pacing w:after="0" w:line="129"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discussed in Part II, Item 1A. “Risk Factors” of this Quarterly Report and Part I, Item 1A, “Risk Factors” of our Annual Report.</w:t>
      </w:r>
    </w:p>
    <w:p>
      <w:pPr>
        <w:spacing w:after="0" w:line="13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recent years, the stock markets generally have experienced extreme price and volume fluctuations that have often been unrelated or disproportionate to the operating performance of those companies, including, as a result of the pandemic related to COVID-19 and variants such as Delta. Broad market and industry factors may significantly affect the market price of our Class A common stock, regardless of our actual operating performance. If the market price of shares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our Class A common stock does not ever exceed the price you paid for your shares, you may not realize any return on your investment in us and may lose some or all of your investment.</w:t>
      </w:r>
    </w:p>
    <w:p>
      <w:pPr>
        <w:spacing w:after="0" w:line="14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1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Stock Market LLC (“Nasdaq”) and, as a result, qualify for, and may rely on, exemptions from certain corporate governance requirements.</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Affiliates of HighCape Partners control a majority of our outstanding Class A common stock. As a result, we qualify as a “controlled company” within the meaning of Nasdaq’s corporate governance standards. A company of which more than 50% of the voting power for the election of directors is held by an individual, a group or another company is a “controlled company” within the meaning of Nasdaq’s rules and may elect not to comply with certain corporate governance requirements of Nasdaq, including, among others:</w:t>
      </w:r>
    </w:p>
    <w:p>
      <w:pPr>
        <w:spacing w:after="0" w:line="161"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requirement that we have a nominating and corporate governance committee that is comprised entirely of independent directors with a written charter addressing the committee’s purpose and responsibilities;</w:t>
      </w:r>
    </w:p>
    <w:p>
      <w:pPr>
        <w:spacing w:after="0" w:line="8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comprised entirely of independent directors with a written charter addressing the committee’s purpose and responsibilities;</w:t>
      </w:r>
    </w:p>
    <w:p>
      <w:pPr>
        <w:spacing w:after="0" w:line="14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3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For so long as we remain a controlled company, we may at any time and from time to time, utilize any or all of these exemptions. As a result, our board of directors and those committees may have more directors who do not meet Nasdaq’s independence standards than they would if those standards were to apply. The independence standards are intended to ensure that directors who meet those standards are free of any conflicting interest that could influence their actions as directors. Accordingly, you may not have the same protections afforded to shareholders of companies that are subject to all of the corporate governance requirements of Nasdaq.</w:t>
      </w:r>
    </w:p>
    <w:p>
      <w:pPr>
        <w:spacing w:after="0" w:line="34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42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b w:val="1"/>
                <w:bCs w:val="1"/>
                <w:color w:val="auto"/>
              </w:rPr>
              <w:t>File</w:t>
            </w: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88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Form</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No.</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420" w:type="dxa"/>
            <w:vAlign w:val="bottom"/>
            <w:gridSpan w:val="2"/>
            <w:vMerge w:val="restart"/>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Restated Certificate of Incorporation of Aziyo Biologics, Inc.</w:t>
              </w:r>
            </w:hyperlink>
          </w:p>
        </w:tc>
        <w:tc>
          <w:tcPr>
            <w:tcW w:w="880" w:type="dxa"/>
            <w:vAlign w:val="bottom"/>
            <w:vMerge w:val="restart"/>
          </w:tcPr>
          <w:p>
            <w:pPr>
              <w:jc w:val="center"/>
              <w:ind w:left="310"/>
              <w:spacing w:after="0"/>
              <w:rPr>
                <w:sz w:val="20"/>
                <w:szCs w:val="20"/>
                <w:color w:val="auto"/>
              </w:rPr>
            </w:pPr>
            <w:r>
              <w:rPr>
                <w:rFonts w:ascii="Arial" w:cs="Arial" w:eastAsia="Arial" w:hAnsi="Arial"/>
                <w:sz w:val="18"/>
                <w:szCs w:val="18"/>
                <w:color w:val="auto"/>
                <w:w w:val="99"/>
              </w:rPr>
              <w:t>8-K</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4420" w:type="dxa"/>
            <w:vAlign w:val="bottom"/>
            <w:tcBorders>
              <w:bottom w:val="single" w:sz="8" w:color="0000EE"/>
            </w:tcBorders>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39577</w:t>
            </w: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40" w:type="dxa"/>
            <w:vAlign w:val="bottom"/>
            <w:vMerge w:val="restart"/>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Amended and Restated Bylaws of Aziyo Biologics, Inc.</w:t>
              </w:r>
            </w:hyperlink>
          </w:p>
        </w:tc>
        <w:tc>
          <w:tcPr>
            <w:tcW w:w="380" w:type="dxa"/>
            <w:vAlign w:val="bottom"/>
          </w:tcPr>
          <w:p>
            <w:pPr>
              <w:spacing w:after="0"/>
              <w:rPr>
                <w:sz w:val="24"/>
                <w:szCs w:val="24"/>
                <w:color w:val="auto"/>
              </w:rPr>
            </w:pPr>
          </w:p>
        </w:tc>
        <w:tc>
          <w:tcPr>
            <w:tcW w:w="880" w:type="dxa"/>
            <w:vAlign w:val="bottom"/>
            <w:vMerge w:val="restart"/>
          </w:tcPr>
          <w:p>
            <w:pPr>
              <w:jc w:val="center"/>
              <w:ind w:left="310"/>
              <w:spacing w:after="0"/>
              <w:rPr>
                <w:sz w:val="20"/>
                <w:szCs w:val="20"/>
                <w:color w:val="auto"/>
              </w:rPr>
            </w:pPr>
            <w:r>
              <w:rPr>
                <w:rFonts w:ascii="Arial" w:cs="Arial" w:eastAsia="Arial" w:hAnsi="Arial"/>
                <w:sz w:val="18"/>
                <w:szCs w:val="18"/>
                <w:color w:val="auto"/>
                <w:w w:val="99"/>
              </w:rPr>
              <w:t>8-K</w:t>
            </w:r>
          </w:p>
        </w:tc>
        <w:tc>
          <w:tcPr>
            <w:tcW w:w="50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60" w:type="dxa"/>
            <w:vAlign w:val="bottom"/>
          </w:tcPr>
          <w:p>
            <w:pPr>
              <w:spacing w:after="0"/>
              <w:rPr>
                <w:sz w:val="7"/>
                <w:szCs w:val="7"/>
                <w:color w:val="auto"/>
              </w:rPr>
            </w:pPr>
          </w:p>
        </w:tc>
        <w:tc>
          <w:tcPr>
            <w:tcW w:w="4040" w:type="dxa"/>
            <w:vAlign w:val="bottom"/>
            <w:tcBorders>
              <w:bottom w:val="single" w:sz="8" w:color="0000EE"/>
            </w:tcBorders>
            <w:vMerge w:val="continue"/>
          </w:tcPr>
          <w:p>
            <w:pPr>
              <w:spacing w:after="0"/>
              <w:rPr>
                <w:sz w:val="7"/>
                <w:szCs w:val="7"/>
                <w:color w:val="auto"/>
              </w:rPr>
            </w:pPr>
          </w:p>
        </w:tc>
        <w:tc>
          <w:tcPr>
            <w:tcW w:w="380" w:type="dxa"/>
            <w:vAlign w:val="bottom"/>
            <w:vMerge w:val="restart"/>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39577</w:t>
            </w: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4820" w:type="dxa"/>
            <w:vAlign w:val="bottom"/>
            <w:gridSpan w:val="10"/>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Second Amended and Restated Investor Rights Agreement, dated</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as of September 14, 2020, among the Registrant and the investors</w:t>
              </w:r>
            </w:hyperlink>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named therein</w:t>
              </w:r>
            </w:hyperlink>
          </w:p>
        </w:tc>
        <w:tc>
          <w:tcPr>
            <w:tcW w:w="3780" w:type="dxa"/>
            <w:vAlign w:val="bottom"/>
            <w:gridSpan w:val="8"/>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Specimen stock certificate evidencing the shares of Class A</w:t>
              </w:r>
            </w:hyperlink>
          </w:p>
        </w:tc>
        <w:tc>
          <w:tcPr>
            <w:tcW w:w="500" w:type="dxa"/>
            <w:vAlign w:val="bottom"/>
            <w:gridSpan w:val="5"/>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4300" w:type="dxa"/>
            <w:vAlign w:val="bottom"/>
            <w:tcBorders>
              <w:bottom w:val="single" w:sz="8" w:color="0000EE"/>
            </w:tcBorders>
            <w:gridSpan w:val="4"/>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Specimen stock certificate evidencing the shares of Class B</w:t>
              </w:r>
            </w:hyperlink>
          </w:p>
        </w:tc>
        <w:tc>
          <w:tcPr>
            <w:tcW w:w="52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common stock</w:t>
              </w:r>
            </w:hyperlink>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8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Executive Officer Pursuant to Rules 13a-</w:t>
              </w:r>
            </w:hyperlink>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14(a) and 15d-14(a) under the Securities Exchange Act of 1934, as</w:t>
              </w:r>
            </w:hyperlink>
          </w:p>
        </w:tc>
      </w:tr>
      <w:tr>
        <w:trPr>
          <w:trHeight w:val="196"/>
        </w:trPr>
        <w:tc>
          <w:tcPr>
            <w:tcW w:w="860" w:type="dxa"/>
            <w:vAlign w:val="bottom"/>
          </w:tcPr>
          <w:p>
            <w:pPr>
              <w:spacing w:after="0"/>
              <w:rPr>
                <w:sz w:val="17"/>
                <w:szCs w:val="17"/>
                <w:color w:val="auto"/>
              </w:rPr>
            </w:pPr>
          </w:p>
        </w:tc>
        <w:tc>
          <w:tcPr>
            <w:tcW w:w="4820" w:type="dxa"/>
            <w:vAlign w:val="bottom"/>
            <w:gridSpan w:val="10"/>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Adopted Pursuant to Section 302 of the Sarbanes-Oxley Act of</w:t>
              </w:r>
            </w:hyperlink>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2002.</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820" w:type="dxa"/>
            <w:vAlign w:val="bottom"/>
            <w:gridSpan w:val="10"/>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Certification of Principal Financial Officer Pursuant to Rules 13a-</w:t>
              </w:r>
            </w:hyperlink>
          </w:p>
        </w:tc>
      </w:tr>
      <w:tr>
        <w:trPr>
          <w:trHeight w:val="20"/>
        </w:trPr>
        <w:tc>
          <w:tcPr>
            <w:tcW w:w="860" w:type="dxa"/>
            <w:vAlign w:val="bottom"/>
          </w:tcPr>
          <w:p>
            <w:pPr>
              <w:spacing w:after="0" w:line="20" w:lineRule="exact"/>
              <w:rPr>
                <w:sz w:val="1"/>
                <w:szCs w:val="1"/>
                <w:color w:val="auto"/>
              </w:rPr>
            </w:pPr>
          </w:p>
        </w:tc>
        <w:tc>
          <w:tcPr>
            <w:tcW w:w="47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14(a) and 15d-14(a) under the Securities Exchange Act of 1934, as</w:t>
              </w:r>
            </w:hyperlink>
          </w:p>
        </w:tc>
      </w:tr>
    </w:tbl>
    <w:p>
      <w:pPr>
        <w:spacing w:after="0" w:line="13" w:lineRule="exact"/>
        <w:rPr>
          <w:sz w:val="20"/>
          <w:szCs w:val="20"/>
          <w:color w:val="auto"/>
        </w:rPr>
      </w:pPr>
    </w:p>
    <w:p>
      <w:pPr>
        <w:ind w:left="920" w:right="280"/>
        <w:spacing w:after="0" w:line="277"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2002.</w:t>
        </w:r>
      </w:hyperlink>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333-</w:t>
      </w:r>
    </w:p>
    <w:p>
      <w:pPr>
        <w:spacing w:after="0"/>
        <w:tabs>
          <w:tab w:leader="none" w:pos="1040" w:val="left"/>
          <w:tab w:leader="none" w:pos="144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4.1</w:t>
      </w:r>
      <w:r>
        <w:rPr>
          <w:sz w:val="20"/>
          <w:szCs w:val="20"/>
          <w:color w:val="auto"/>
        </w:rPr>
        <w:tab/>
      </w:r>
      <w:r>
        <w:rPr>
          <w:rFonts w:ascii="Arial" w:cs="Arial" w:eastAsia="Arial" w:hAnsi="Arial"/>
          <w:sz w:val="16"/>
          <w:szCs w:val="16"/>
          <w:color w:val="auto"/>
        </w:rPr>
        <w:t>09/14/2020</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333-</w:t>
      </w:r>
    </w:p>
    <w:p>
      <w:pPr>
        <w:spacing w:after="0"/>
        <w:tabs>
          <w:tab w:leader="none" w:pos="1040" w:val="left"/>
          <w:tab w:leader="none" w:pos="1440" w:val="left"/>
        </w:tabs>
        <w:rPr>
          <w:sz w:val="20"/>
          <w:szCs w:val="20"/>
          <w:color w:val="auto"/>
        </w:rPr>
      </w:pPr>
      <w:r>
        <w:rPr>
          <w:rFonts w:ascii="Arial" w:cs="Arial" w:eastAsia="Arial" w:hAnsi="Arial"/>
          <w:sz w:val="18"/>
          <w:szCs w:val="18"/>
          <w:color w:val="auto"/>
        </w:rPr>
        <w:t xml:space="preserve">S-1 </w:t>
      </w:r>
      <w:r>
        <w:rPr>
          <w:rFonts w:ascii="Arial" w:cs="Arial" w:eastAsia="Arial" w:hAnsi="Arial"/>
          <w:sz w:val="35"/>
          <w:szCs w:val="35"/>
          <w:color w:val="auto"/>
          <w:vertAlign w:val="subscript"/>
        </w:rPr>
        <w:t>248788</w:t>
      </w:r>
      <w:r>
        <w:rPr>
          <w:rFonts w:ascii="Arial" w:cs="Arial" w:eastAsia="Arial" w:hAnsi="Arial"/>
          <w:sz w:val="18"/>
          <w:szCs w:val="18"/>
          <w:color w:val="auto"/>
        </w:rPr>
        <w:tab/>
        <w:t>4.2</w:t>
      </w:r>
      <w:r>
        <w:rPr>
          <w:sz w:val="20"/>
          <w:szCs w:val="20"/>
          <w:color w:val="auto"/>
        </w:rPr>
        <w:tab/>
      </w:r>
      <w:r>
        <w:rPr>
          <w:rFonts w:ascii="Arial" w:cs="Arial" w:eastAsia="Arial" w:hAnsi="Arial"/>
          <w:sz w:val="16"/>
          <w:szCs w:val="16"/>
          <w:color w:val="auto"/>
        </w:rPr>
        <w:t>09/14/2020</w:t>
      </w:r>
    </w:p>
    <w:p>
      <w:pPr>
        <w:spacing w:after="0" w:line="202" w:lineRule="exact"/>
        <w:rPr>
          <w:sz w:val="20"/>
          <w:szCs w:val="20"/>
          <w:color w:val="auto"/>
        </w:rPr>
      </w:pPr>
    </w:p>
    <w:p>
      <w:pPr>
        <w:ind w:left="340" w:hanging="430"/>
        <w:spacing w:after="0"/>
        <w:rPr>
          <w:sz w:val="20"/>
          <w:szCs w:val="20"/>
          <w:color w:val="auto"/>
        </w:rPr>
      </w:pPr>
      <w:r>
        <w:rPr>
          <w:rFonts w:ascii="Arial" w:cs="Arial" w:eastAsia="Arial" w:hAnsi="Arial"/>
          <w:sz w:val="18"/>
          <w:szCs w:val="18"/>
          <w:color w:val="auto"/>
        </w:rPr>
        <w:t xml:space="preserve">S-1/A </w:t>
      </w:r>
      <w:r>
        <w:rPr>
          <w:rFonts w:ascii="Arial" w:cs="Arial" w:eastAsia="Arial" w:hAnsi="Arial"/>
          <w:sz w:val="35"/>
          <w:szCs w:val="35"/>
          <w:color w:val="auto"/>
          <w:vertAlign w:val="superscript"/>
        </w:rPr>
        <w:t>333-</w:t>
      </w:r>
      <w:r>
        <w:rPr>
          <w:sz w:val="20"/>
          <w:szCs w:val="20"/>
          <w:color w:val="auto"/>
        </w:rPr>
        <w:t xml:space="preserve"> </w:t>
      </w:r>
      <w:r>
        <w:rPr>
          <w:rFonts w:ascii="Arial" w:cs="Arial" w:eastAsia="Arial" w:hAnsi="Arial"/>
          <w:sz w:val="18"/>
          <w:szCs w:val="18"/>
          <w:color w:val="auto"/>
        </w:rPr>
        <w:t>4.3 09/30/2020 248788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31" w:lineRule="exact"/>
        <w:rPr>
          <w:sz w:val="20"/>
          <w:szCs w:val="20"/>
          <w:color w:val="auto"/>
        </w:rPr>
      </w:pPr>
    </w:p>
    <w:p>
      <w:pPr>
        <w:sectPr>
          <w:pgSz w:w="11900" w:h="16838" w:orient="portrait"/>
          <w:cols w:equalWidth="0" w:num="3">
            <w:col w:w="5740" w:space="120"/>
            <w:col w:w="2280" w:space="360"/>
            <w:col w:w="51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6180" w:type="dxa"/>
            <w:vAlign w:val="bottom"/>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 of Principal Executive Officer Pursuant to 18 U.S.C.</w:t>
              </w:r>
            </w:hyperlink>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Section 1350, as Adopted Pursuant to Section 906 of the Sarbanes-</w:t>
              </w:r>
            </w:hyperlink>
          </w:p>
        </w:tc>
        <w:tc>
          <w:tcPr>
            <w:tcW w:w="134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Oxley Act of 2002.</w:t>
              </w:r>
            </w:hyperlink>
          </w:p>
        </w:tc>
        <w:tc>
          <w:tcPr>
            <w:tcW w:w="478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47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of Principal Financial Officer Pursuant to 18 U.S.C.</w:t>
              </w:r>
            </w:hyperlink>
          </w:p>
        </w:tc>
        <w:tc>
          <w:tcPr>
            <w:tcW w:w="144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Section 1350, as Adopted Pursuant to Section 906 of the Sarbanes-</w:t>
              </w:r>
            </w:hyperlink>
          </w:p>
        </w:tc>
        <w:tc>
          <w:tcPr>
            <w:tcW w:w="1340" w:type="dxa"/>
            <w:vAlign w:val="bottom"/>
          </w:tcPr>
          <w:p>
            <w:pPr>
              <w:spacing w:after="0"/>
              <w:rPr>
                <w:sz w:val="17"/>
                <w:szCs w:val="17"/>
                <w:color w:val="auto"/>
              </w:rPr>
            </w:pPr>
          </w:p>
        </w:tc>
        <w:tc>
          <w:tcPr>
            <w:tcW w:w="1540" w:type="dxa"/>
            <w:vAlign w:val="bottom"/>
          </w:tcPr>
          <w:p>
            <w:pPr>
              <w:jc w:val="center"/>
              <w:ind w:left="127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Oxley Act of 2002.</w:t>
              </w:r>
            </w:hyperlink>
          </w:p>
        </w:tc>
        <w:tc>
          <w:tcPr>
            <w:tcW w:w="4780" w:type="dxa"/>
            <w:vAlign w:val="bottom"/>
            <w:gridSpan w:val="3"/>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540" w:type="dxa"/>
            <w:vAlign w:val="bottom"/>
            <w:vMerge w:val="restart"/>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6180" w:type="dxa"/>
            <w:vAlign w:val="bottom"/>
            <w:gridSpan w:val="4"/>
            <w:vMerge w:val="restart"/>
          </w:tcPr>
          <w:p>
            <w:pPr>
              <w:spacing w:after="0"/>
              <w:rPr>
                <w:sz w:val="20"/>
                <w:szCs w:val="20"/>
                <w:color w:val="auto"/>
              </w:rPr>
            </w:pPr>
            <w:r>
              <w:rPr>
                <w:rFonts w:ascii="Arial" w:cs="Arial" w:eastAsia="Arial" w:hAnsi="Arial"/>
                <w:sz w:val="18"/>
                <w:szCs w:val="18"/>
                <w:color w:val="auto"/>
              </w:rPr>
              <w:t>Document</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6180" w:type="dxa"/>
            <w:vAlign w:val="bottom"/>
            <w:gridSpan w:val="4"/>
            <w:vMerge w:val="continue"/>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1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540" w:type="dxa"/>
            <w:vAlign w:val="bottom"/>
          </w:tcPr>
          <w:p>
            <w:pPr>
              <w:jc w:val="center"/>
              <w:ind w:left="1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20" w:right="2700" w:hanging="863"/>
        <w:spacing w:after="0" w:line="277" w:lineRule="auto"/>
        <w:tabs>
          <w:tab w:leader="none" w:pos="900" w:val="left"/>
        </w:tabs>
        <w:rPr>
          <w:sz w:val="20"/>
          <w:szCs w:val="20"/>
          <w:color w:val="auto"/>
        </w:rPr>
      </w:pPr>
      <w:r>
        <w:rPr>
          <w:rFonts w:ascii="Arial" w:cs="Arial" w:eastAsia="Arial" w:hAnsi="Arial"/>
          <w:sz w:val="18"/>
          <w:szCs w:val="18"/>
          <w:color w:val="auto"/>
        </w:rPr>
        <w:t>101.PRE</w:t>
        <w:tab/>
        <w:t>Inline XBRL Taxonomy Extension Presentation Linkbase Document</w:t>
      </w:r>
    </w:p>
    <w:p>
      <w:pPr>
        <w:spacing w:after="0" w:line="170" w:lineRule="exact"/>
        <w:rPr>
          <w:sz w:val="20"/>
          <w:szCs w:val="20"/>
          <w:color w:val="auto"/>
        </w:rPr>
      </w:pPr>
    </w:p>
    <w:p>
      <w:pPr>
        <w:ind w:left="920" w:right="2220" w:hanging="870"/>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920" w:hanging="222"/>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-438785</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780" w:space="720"/>
            <w:col w:w="5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940"/>
              <w:spacing w:after="0"/>
              <w:rPr>
                <w:sz w:val="20"/>
                <w:szCs w:val="20"/>
                <w:color w:val="auto"/>
              </w:rPr>
            </w:pPr>
            <w:r>
              <w:rPr>
                <w:rFonts w:ascii="Arial" w:cs="Arial" w:eastAsia="Arial" w:hAnsi="Arial"/>
                <w:sz w:val="18"/>
                <w:szCs w:val="18"/>
                <w:color w:val="auto"/>
              </w:rPr>
              <w:t>AZIYO BIOLOGICS,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10, 2021</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Ronald Lloyd</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10, 2021</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Lloyd, certify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Aziyo Biologics, Inc.;</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2021 of Aziyo Biologics, Inc.;</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connection with the Quarterly Report of Aziyo Biologics, Inc. (the “Company”) on Form 10-Q for the quarterly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as filed with the Securities and Exchange Commission on the date hereof (the “Report”), I certify, pursuant to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September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lowerRoman"/>
      <w:start w:val="4"/>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04"/>
    </w:lvl>
    <w:lvl w:ilvl="1">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79" Type="http://schemas.openxmlformats.org/officeDocument/2006/relationships/hyperlink" Target="https://www.sec.gov/Archives/edgar/data/1708527/000110465920114535/tm2023171d18_ex3-1.htm" TargetMode="External"/><Relationship Id="rId80" Type="http://schemas.openxmlformats.org/officeDocument/2006/relationships/hyperlink" Target="https://www.sec.gov/Archives/edgar/data/1708527/000110465920114535/tm2023171d18_8k.htm" TargetMode="External"/><Relationship Id="rId81" Type="http://schemas.openxmlformats.org/officeDocument/2006/relationships/hyperlink" Target="https://www.sec.gov/Archives/edgar/data/1708527/000110465920104884/tm2023171d8_ex4-1.htm" TargetMode="External"/><Relationship Id="rId82" Type="http://schemas.openxmlformats.org/officeDocument/2006/relationships/hyperlink" Target="https://www.sec.gov/Archives/edgar/data/1708527/000110465920104884/tm2023171d8_ex4-2.htm" TargetMode="External"/><Relationship Id="rId83" Type="http://schemas.openxmlformats.org/officeDocument/2006/relationships/hyperlink" Target="https://www.sec.gov/Archives/edgar/data/1708527/000110465920110107/tm2023171d1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2021-11-10T15:42:45Z</dcterms:created>
  <dcterms:modified xsi:type="dcterms:W3CDTF">2021-11-10T15:42:45Z</dcterms:modified>
</cp:coreProperties>
</file>