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pPr>
      <w:bookmarkStart w:id="0" w:name="elut-20261105x8k.htm"/>
      <w:bookmarkStart w:id="1" w:name="kselut20261105x8k"/>
      <w:bookmarkEnd w:id="0"/>
      <w:bookmarkEnd w:id="1"/>
      <w:r>
        <w:t>​</w:t>
      </w:r>
    </w:p>
    <w:p>
      <w:pPr>
        <w:pStyle w:val="TextBody"/>
        <w:pBdr>
          <w:top w:val="single" w:sz="24" w:space="1" w:color="000000"/>
          <w:bottom w:val="single" w:sz="2" w:space="1" w:color="000000"/>
        </w:pBdr>
        <w:bidi w:val="0"/>
        <w:spacing w:lineRule="atLeast" w:line="142" w:before="0" w:after="0"/>
        <w:ind w:left="0" w:right="0" w:hanging="0"/>
        <w:jc w:val="center"/>
      </w:pPr>
      <w:r>
        <w:t>​</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34"/>
        </w:rPr>
      </w:pPr>
      <w:bookmarkStart w:id="2" w:name="_995ef82e_723c_4d56_b0f4_c49c8b61a774"/>
      <w:bookmarkEnd w:id="2"/>
      <w:r>
        <w:rPr>
          <w:rFonts w:ascii="Times New Roman;Times;serif" w:hAnsi="Times New Roman;Times;serif"/>
          <w:b/>
          <w:sz w:val="34"/>
        </w:rPr>
        <w:t>UNITED STATES</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SECURITIES AND EXCHANGE COMMISSION</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bidi w:val="0"/>
        <w:spacing w:before="0" w:after="0"/>
        <w:ind w:left="0" w:right="0" w:hanging="0"/>
        <w:jc w:val="center"/>
      </w:pPr>
      <w:r>
        <w:t>​</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34"/>
        </w:rPr>
      </w:pPr>
      <w:r>
        <w:rPr>
          <w:rFonts w:ascii="Times New Roman;Times;serif" w:hAnsi="Times New Roman;Times;serif"/>
          <w:b/>
          <w:sz w:val="34"/>
        </w:rPr>
        <w:t>FORM 8-K</w:t>
      </w:r>
    </w:p>
    <w:p>
      <w:pPr>
        <w:pStyle w:val="TextBody"/>
        <w:bidi w:val="0"/>
        <w:spacing w:before="0" w:after="0"/>
        <w:ind w:left="0" w:right="0" w:hanging="0"/>
        <w:jc w:val="center"/>
      </w:pPr>
      <w:r>
        <w:t>​</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CURRENT REPORT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Pursuant to Section 13 or 15(d)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of the Securities Exchange Act of 1934</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 of report (Date of earliest event reported): November 5, 2026</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46"/>
        </w:rPr>
      </w:pPr>
      <w:r>
        <w:rPr>
          <w:rFonts w:ascii="Times New Roman;Times;serif" w:hAnsi="Times New Roman;Times;serif"/>
          <w:b/>
          <w:sz w:val="46"/>
        </w:rPr>
        <w:t>ELUTIA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TextBody"/>
        <w:bidi w:val="0"/>
        <w:spacing w:before="0" w:after="0"/>
        <w:ind w:left="0" w:right="0" w:hanging="0"/>
        <w:jc w:val="center"/>
      </w:pPr>
      <w:r>
        <w:t>​</w:t>
      </w:r>
    </w:p>
    <w:p>
      <w:pPr>
        <w:pStyle w:val="TextBody"/>
        <w:bidi w:val="0"/>
        <w:spacing w:before="0" w:after="0"/>
        <w:ind w:left="0" w:right="0" w:hanging="0"/>
        <w:jc w:val="center"/>
      </w:pPr>
      <w:r>
        <w:t>​</w:t>
      </w:r>
    </w:p>
    <w:p>
      <w:pPr>
        <w:pStyle w:val="Normal"/>
        <w:bidi w:val="0"/>
        <w:spacing w:before="0" w:after="0"/>
        <w:jc w:val="left"/>
        <w:rPr>
          <w:sz w:val="4"/>
          <w:szCs w:val="4"/>
        </w:rPr>
      </w:pPr>
      <w:r>
        <w:rPr>
          <w:sz w:val="4"/>
          <w:szCs w:val="4"/>
        </w:rPr>
      </w:r>
      <w:bookmarkStart w:id="3" w:name="Tc_10F-u__FWUO1-6k5QI7NFw_2_2"/>
      <w:bookmarkStart w:id="4" w:name="Tc_Dqb1AiS4oEqzh25oZOAXLA_2_1"/>
      <w:bookmarkStart w:id="5" w:name="Tc_pJ2m88UO_kOm2wWlKEA-OQ_2_0"/>
      <w:bookmarkStart w:id="6" w:name="_ac5c1675_33a8_4643_a438_0b6b1f58cae7"/>
      <w:bookmarkStart w:id="7" w:name="Tc_10F-u__FWUO1-6k5QI7NFw_2_2"/>
      <w:bookmarkStart w:id="8" w:name="Tc_Dqb1AiS4oEqzh25oZOAXLA_2_1"/>
      <w:bookmarkStart w:id="9" w:name="Tc_pJ2m88UO_kOm2wWlKEA-OQ_2_0"/>
      <w:bookmarkStart w:id="10" w:name="_ac5c1675_33a8_4643_a438_0b6b1f58cae7"/>
      <w:bookmarkEnd w:id="7"/>
      <w:bookmarkEnd w:id="8"/>
      <w:bookmarkEnd w:id="9"/>
      <w:bookmarkEnd w:id="10"/>
    </w:p>
    <w:tbl>
      <w:tblPr>
        <w:tblW w:w="4848" w:type="dxa"/>
        <w:jc w:val="left"/>
        <w:tblInd w:w="0" w:type="dxa"/>
        <w:tblLayout w:type="fixed"/>
        <w:tblCellMar>
          <w:top w:w="0" w:type="dxa"/>
          <w:left w:w="0" w:type="dxa"/>
          <w:bottom w:w="0" w:type="dxa"/>
          <w:right w:w="0" w:type="dxa"/>
        </w:tblCellMar>
      </w:tblPr>
      <w:tblGrid>
        <w:gridCol w:w="2161"/>
        <w:gridCol w:w="1126"/>
        <w:gridCol w:w="1561"/>
      </w:tblGrid>
      <w:tr>
        <w:tc>
          <w:tcPr>
            <w:tcW w:w="2161" w:type="dxa"/>
            <w:tcBorders/>
            <w:vAlign w:val="center"/>
          </w:tcPr>
          <w:p>
            <w:pPr>
              <w:pStyle w:val="TableContents"/>
              <w:bidi w:val="0"/>
              <w:spacing w:before="0" w:after="283"/>
              <w:ind w:left="0" w:right="0" w:hanging="0"/>
              <w:jc w:val="left"/>
              <w:rPr>
                <w:sz w:val="4"/>
                <w:szCs w:val="4"/>
              </w:rPr>
            </w:pPr>
            <w:r>
              <w:rPr>
                <w:sz w:val="4"/>
                <w:szCs w:val="4"/>
              </w:rPr>
            </w:r>
          </w:p>
        </w:tc>
        <w:tc>
          <w:tcPr>
            <w:tcW w:w="112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r>
      <w:tr>
        <w:tc>
          <w:tcPr>
            <w:tcW w:w="21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001-39577</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47-4790334</w:t>
            </w:r>
          </w:p>
        </w:tc>
      </w:tr>
      <w:tr>
        <w:tc>
          <w:tcPr>
            <w:tcW w:w="21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w:t>
              <w:br/>
              <w:t>of incorporation)</w:t>
            </w:r>
          </w:p>
        </w:tc>
        <w:tc>
          <w:tcPr>
            <w:tcW w:w="112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w:t>
              <w:br/>
              <w:t>File Number)</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br/>
              <w:t>Identification No.)</w:t>
            </w:r>
          </w:p>
        </w:tc>
      </w:tr>
    </w:tbl>
    <w:p>
      <w:pPr>
        <w:pStyle w:val="TextBody"/>
        <w:bidi w:val="0"/>
        <w:spacing w:before="0" w:after="0"/>
        <w:ind w:left="0" w:right="0" w:hanging="0"/>
        <w:jc w:val="left"/>
      </w:pPr>
      <w:r>
        <w:t>​</w:t>
      </w:r>
    </w:p>
    <w:p>
      <w:pPr>
        <w:pStyle w:val="TextBody"/>
        <w:bidi w:val="0"/>
        <w:spacing w:before="0" w:after="0"/>
        <w:ind w:left="0" w:right="0" w:hanging="0"/>
        <w:jc w:val="center"/>
        <w:rPr>
          <w:rFonts w:ascii="Times New Roman;Times;serif" w:hAnsi="Times New Roman;Times;serif"/>
          <w:sz w:val="20"/>
        </w:rPr>
      </w:pPr>
      <w:bookmarkStart w:id="11" w:name="Narr_rxxCCCglc0q-ouFEWbI6Hg"/>
      <w:bookmarkEnd w:id="11"/>
      <w:r>
        <w:rPr>
          <w:rFonts w:ascii="Times New Roman;Times;serif" w:hAnsi="Times New Roman;Times;serif"/>
          <w:b/>
          <w:sz w:val="18"/>
        </w:rPr>
        <w:t>20 Firstfield Road</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Gaithersburg, MD</w:t>
      </w:r>
      <w:r>
        <w:rPr>
          <w:rFonts w:ascii="Times New Roman;Times;serif" w:hAnsi="Times New Roman;Times;serif"/>
          <w:sz w:val="20"/>
        </w:rPr>
        <w:t xml:space="preserve"> </w:t>
      </w:r>
      <w:r>
        <w:rPr>
          <w:rFonts w:ascii="Times New Roman;Times;serif" w:hAnsi="Times New Roman;Times;serif"/>
          <w:b/>
          <w:sz w:val="18"/>
        </w:rPr>
        <w:t>20878</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 (Zip Code)</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(240) 247-1170</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(Registrant’s telephone number, include area code)</w:t>
      </w:r>
    </w:p>
    <w:p>
      <w:pPr>
        <w:pStyle w:val="TextBody"/>
        <w:bidi w:val="0"/>
        <w:spacing w:before="0" w:after="0"/>
        <w:ind w:left="0" w:right="0" w:hanging="0"/>
        <w:jc w:val="center"/>
      </w:pPr>
      <w: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(Former name or former address, if changed since last report)</w:t>
      </w:r>
    </w:p>
    <w:p>
      <w:pPr>
        <w:pStyle w:val="TextBody"/>
        <w:bidi w:val="0"/>
        <w:spacing w:before="0" w:after="0"/>
        <w:ind w:left="0" w:right="0" w:hanging="0"/>
        <w:jc w:val="center"/>
      </w:pPr>
      <w:r>
        <w:t>​</w:t>
      </w:r>
    </w:p>
    <w:p>
      <w:pPr>
        <w:pStyle w:val="TextBody"/>
        <w:bidi w:val="0"/>
        <w:spacing w:before="0" w:after="0"/>
        <w:ind w:left="0" w:right="0" w:hanging="0"/>
        <w:jc w:val="center"/>
      </w:pPr>
      <w: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12" w:name="Tc_IandM3plCUSiaVzznuKQ6g_1_1"/>
      <w:bookmarkStart w:id="13" w:name="_25c73d1d_9874_4846_a76b_38e8765fadac"/>
      <w:bookmarkStart w:id="14" w:name="Tc_IandM3plCUSiaVzznuKQ6g_1_1"/>
      <w:bookmarkStart w:id="15" w:name="_25c73d1d_9874_4846_a76b_38e8765fadac"/>
      <w:bookmarkEnd w:id="14"/>
      <w:bookmarkEnd w:id="15"/>
    </w:p>
    <w:tbl>
      <w:tblPr>
        <w:tblW w:w="6887" w:type="dxa"/>
        <w:jc w:val="left"/>
        <w:tblInd w:w="0" w:type="dxa"/>
        <w:tblLayout w:type="fixed"/>
        <w:tblCellMar>
          <w:top w:w="0" w:type="dxa"/>
          <w:left w:w="0" w:type="dxa"/>
          <w:bottom w:w="0" w:type="dxa"/>
          <w:right w:w="0" w:type="dxa"/>
        </w:tblCellMar>
      </w:tblPr>
      <w:tblGrid>
        <w:gridCol w:w="331"/>
        <w:gridCol w:w="6556"/>
      </w:tblGrid>
      <w:t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0185" cy="29210"/>
                      <wp:effectExtent l="0" t="0" r="0" b="0"/>
                      <wp:wrapNone/>
                      <wp:docPr id="1" name="Frame1"/>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4163060" cy="29210"/>
                      <wp:effectExtent l="0" t="0" r="0" b="0"/>
                      <wp:wrapNone/>
                      <wp:docPr id="2" name="Frame2"/>
                      <a:graphic xmlns:a="http://schemas.openxmlformats.org/drawingml/2006/main">
                        <a:graphicData uri="http://schemas.microsoft.com/office/word/2010/wordprocessingShape">
                          <wps:wsp>
                            <wps:cNvSpPr txBox="1"/>
                            <wps:spPr>
                              <a:xfrm>
                                <a:off x="0" y="0"/>
                                <a:ext cx="4163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331" w:type="dxa"/>
            <w:tcBorders/>
            <w:vAlign w:val="center"/>
          </w:tcPr>
          <w:p>
            <w:pPr>
              <w:pStyle w:val="TableContents"/>
              <w:bidi w:val="0"/>
              <w:spacing w:before="0" w:after="0"/>
              <w:ind w:left="0" w:right="0" w:hanging="0"/>
              <w:jc w:val="left"/>
            </w:pPr>
            <w:r>
              <w:t>☐</w:t>
            </w:r>
          </w:p>
        </w:tc>
        <w:tc>
          <w:tcPr>
            <w:tcW w:w="65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 xml:space="preserve">Written communications pursuant to Rule 425 under the Securities Act (17 CFR 230.425) </w:t>
            </w:r>
          </w:p>
        </w:tc>
      </w:tr>
    </w:tbl>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16" w:name="Tc_J0U-G3Hy6UGASpovTRJdWQ_1_1"/>
      <w:bookmarkStart w:id="17" w:name="_9717c8e3_5e6a_4302_865f_bedc511f862c"/>
      <w:bookmarkStart w:id="18" w:name="Tc_J0U-G3Hy6UGASpovTRJdWQ_1_1"/>
      <w:bookmarkStart w:id="19" w:name="_9717c8e3_5e6a_4302_865f_bedc511f862c"/>
      <w:bookmarkEnd w:id="18"/>
      <w:bookmarkEnd w:id="19"/>
    </w:p>
    <w:tbl>
      <w:tblPr>
        <w:tblW w:w="6887" w:type="dxa"/>
        <w:jc w:val="left"/>
        <w:tblInd w:w="0" w:type="dxa"/>
        <w:tblLayout w:type="fixed"/>
        <w:tblCellMar>
          <w:top w:w="0" w:type="dxa"/>
          <w:left w:w="0" w:type="dxa"/>
          <w:bottom w:w="0" w:type="dxa"/>
          <w:right w:w="0" w:type="dxa"/>
        </w:tblCellMar>
      </w:tblPr>
      <w:tblGrid>
        <w:gridCol w:w="331"/>
        <w:gridCol w:w="6556"/>
      </w:tblGrid>
      <w:t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10185" cy="29210"/>
                      <wp:effectExtent l="0" t="0" r="0" b="0"/>
                      <wp:wrapNone/>
                      <wp:docPr id="3" name="Frame3"/>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163060" cy="29210"/>
                      <wp:effectExtent l="0" t="0" r="0" b="0"/>
                      <wp:wrapNone/>
                      <wp:docPr id="4" name="Frame4"/>
                      <a:graphic xmlns:a="http://schemas.openxmlformats.org/drawingml/2006/main">
                        <a:graphicData uri="http://schemas.microsoft.com/office/word/2010/wordprocessingShape">
                          <wps:wsp>
                            <wps:cNvSpPr txBox="1"/>
                            <wps:spPr>
                              <a:xfrm>
                                <a:off x="0" y="0"/>
                                <a:ext cx="41630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331" w:type="dxa"/>
            <w:tcBorders/>
            <w:vAlign w:val="center"/>
          </w:tcPr>
          <w:p>
            <w:pPr>
              <w:pStyle w:val="TableContents"/>
              <w:bidi w:val="0"/>
              <w:spacing w:before="0" w:after="0"/>
              <w:ind w:left="0" w:right="0" w:hanging="0"/>
              <w:jc w:val="left"/>
            </w:pPr>
            <w:r>
              <w:t>☐</w:t>
            </w:r>
          </w:p>
        </w:tc>
        <w:tc>
          <w:tcPr>
            <w:tcW w:w="65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Soliciting material pursuant to Rule 14a-12 under the Exchange Act (17 CFR 240.14a-12) </w:t>
            </w:r>
          </w:p>
        </w:tc>
      </w:tr>
    </w:tbl>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20" w:name="Tc_ZHm0EMXIr0uYBcdvx5EeUw_1_1"/>
      <w:bookmarkStart w:id="21" w:name="_1aa53a83_7957_49a4_bbb8_1d8b89f4883a"/>
      <w:bookmarkStart w:id="22" w:name="Tc_ZHm0EMXIr0uYBcdvx5EeUw_1_1"/>
      <w:bookmarkStart w:id="23" w:name="_1aa53a83_7957_49a4_bbb8_1d8b89f4883a"/>
      <w:bookmarkEnd w:id="22"/>
      <w:bookmarkEnd w:id="23"/>
    </w:p>
    <w:tbl>
      <w:tblPr>
        <w:tblW w:w="8477" w:type="dxa"/>
        <w:jc w:val="left"/>
        <w:tblInd w:w="0" w:type="dxa"/>
        <w:tblLayout w:type="fixed"/>
        <w:tblCellMar>
          <w:top w:w="0" w:type="dxa"/>
          <w:left w:w="0" w:type="dxa"/>
          <w:bottom w:w="0" w:type="dxa"/>
          <w:right w:w="0" w:type="dxa"/>
        </w:tblCellMar>
      </w:tblPr>
      <w:tblGrid>
        <w:gridCol w:w="331"/>
        <w:gridCol w:w="8146"/>
      </w:tblGrid>
      <w:t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0185" cy="29210"/>
                      <wp:effectExtent l="0" t="0" r="0" b="0"/>
                      <wp:wrapNone/>
                      <wp:docPr id="5" name="Frame5"/>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172710" cy="29210"/>
                      <wp:effectExtent l="0" t="0" r="0" b="0"/>
                      <wp:wrapNone/>
                      <wp:docPr id="6" name="Frame6"/>
                      <a:graphic xmlns:a="http://schemas.openxmlformats.org/drawingml/2006/main">
                        <a:graphicData uri="http://schemas.microsoft.com/office/word/2010/wordprocessingShape">
                          <wps:wsp>
                            <wps:cNvSpPr txBox="1"/>
                            <wps:spPr>
                              <a:xfrm>
                                <a:off x="0" y="0"/>
                                <a:ext cx="517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331" w:type="dxa"/>
            <w:tcBorders/>
            <w:vAlign w:val="center"/>
          </w:tcPr>
          <w:p>
            <w:pPr>
              <w:pStyle w:val="TableContents"/>
              <w:bidi w:val="0"/>
              <w:spacing w:before="0" w:after="0"/>
              <w:ind w:left="0" w:right="0" w:hanging="0"/>
              <w:jc w:val="left"/>
            </w:pPr>
            <w:r>
              <w:t>☐</w:t>
            </w:r>
          </w:p>
        </w:tc>
        <w:tc>
          <w:tcPr>
            <w:tcW w:w="814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Pre-commencement communications pursuant to Rule 14d-2(b) under the Exchange Act (17 CFR 240.14d-2(b)) </w:t>
            </w:r>
          </w:p>
        </w:tc>
      </w:tr>
    </w:tbl>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24" w:name="Tc_y5yGE0dziUeI8LsTCh_bBA_1_1"/>
      <w:bookmarkStart w:id="25" w:name="_cd75ab8b_a273_45bf_a2d0_ce2120262987"/>
      <w:bookmarkStart w:id="26" w:name="Tc_y5yGE0dziUeI8LsTCh_bBA_1_1"/>
      <w:bookmarkStart w:id="27" w:name="_cd75ab8b_a273_45bf_a2d0_ce2120262987"/>
      <w:bookmarkEnd w:id="26"/>
      <w:bookmarkEnd w:id="27"/>
    </w:p>
    <w:tbl>
      <w:tblPr>
        <w:tblW w:w="8417" w:type="dxa"/>
        <w:jc w:val="left"/>
        <w:tblInd w:w="0" w:type="dxa"/>
        <w:tblLayout w:type="fixed"/>
        <w:tblCellMar>
          <w:top w:w="0" w:type="dxa"/>
          <w:left w:w="0" w:type="dxa"/>
          <w:bottom w:w="0" w:type="dxa"/>
          <w:right w:w="0" w:type="dxa"/>
        </w:tblCellMar>
      </w:tblPr>
      <w:tblGrid>
        <w:gridCol w:w="331"/>
        <w:gridCol w:w="8086"/>
      </w:tblGrid>
      <w:tr>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0185" cy="29210"/>
                      <wp:effectExtent l="0" t="0" r="0" b="0"/>
                      <wp:wrapNone/>
                      <wp:docPr id="7" name="Frame7"/>
                      <a:graphic xmlns:a="http://schemas.openxmlformats.org/drawingml/2006/main">
                        <a:graphicData uri="http://schemas.microsoft.com/office/word/2010/wordprocessingShape">
                          <wps:wsp>
                            <wps:cNvSpPr txBox="1"/>
                            <wps:spPr>
                              <a:xfrm>
                                <a:off x="0" y="0"/>
                                <a:ext cx="210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0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134610" cy="29210"/>
                      <wp:effectExtent l="0" t="0" r="0" b="0"/>
                      <wp:wrapNone/>
                      <wp:docPr id="8" name="Frame8"/>
                      <a:graphic xmlns:a="http://schemas.openxmlformats.org/drawingml/2006/main">
                        <a:graphicData uri="http://schemas.microsoft.com/office/word/2010/wordprocessingShape">
                          <wps:wsp>
                            <wps:cNvSpPr txBox="1"/>
                            <wps:spPr>
                              <a:xfrm>
                                <a:off x="0" y="0"/>
                                <a:ext cx="5134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331" w:type="dxa"/>
            <w:tcBorders/>
            <w:vAlign w:val="center"/>
          </w:tcPr>
          <w:p>
            <w:pPr>
              <w:pStyle w:val="TableContents"/>
              <w:bidi w:val="0"/>
              <w:spacing w:before="0" w:after="0"/>
              <w:ind w:left="0" w:right="0" w:hanging="0"/>
              <w:jc w:val="left"/>
            </w:pPr>
            <w:r>
              <w:t>☐</w:t>
            </w:r>
          </w:p>
        </w:tc>
        <w:tc>
          <w:tcPr>
            <w:tcW w:w="808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Pre-commencement communications pursuant to Rule 13e-4(c) under the Exchange Act (17 CFR 240.13e-4(c)) </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0"/>
        <w:ind w:left="0" w:right="0" w:hanging="0"/>
        <w:jc w:val="left"/>
      </w:pPr>
      <w:r>
        <w:t>​</w:t>
      </w:r>
    </w:p>
    <w:p>
      <w:pPr>
        <w:pStyle w:val="Normal"/>
        <w:bidi w:val="0"/>
        <w:spacing w:before="0" w:after="0"/>
        <w:jc w:val="left"/>
        <w:rPr>
          <w:sz w:val="4"/>
          <w:szCs w:val="4"/>
        </w:rPr>
      </w:pPr>
      <w:r>
        <w:rPr>
          <w:sz w:val="4"/>
          <w:szCs w:val="4"/>
        </w:rPr>
      </w:r>
      <w:bookmarkStart w:id="28" w:name="Tc_xq3uWQZ8HEWuIaTSaZpVvg_2_4"/>
      <w:bookmarkStart w:id="29" w:name="Tc_3bnf_vn3FEKmtjoKs4Y2DA_1_4"/>
      <w:bookmarkStart w:id="30" w:name="Tc_URbRVinccEuMSbz4Pa8SBg_1_2"/>
      <w:bookmarkStart w:id="31" w:name="Tc_TZ6YKezglUqBqU-AwKS4cA_1_0"/>
      <w:bookmarkStart w:id="32" w:name="_35485c5a_d0be_41c5_bcf6_62e3f89fa978"/>
      <w:bookmarkStart w:id="33" w:name="Tc_xq3uWQZ8HEWuIaTSaZpVvg_2_4"/>
      <w:bookmarkStart w:id="34" w:name="Tc_3bnf_vn3FEKmtjoKs4Y2DA_1_4"/>
      <w:bookmarkStart w:id="35" w:name="Tc_URbRVinccEuMSbz4Pa8SBg_1_2"/>
      <w:bookmarkStart w:id="36" w:name="Tc_TZ6YKezglUqBqU-AwKS4cA_1_0"/>
      <w:bookmarkStart w:id="37" w:name="_35485c5a_d0be_41c5_bcf6_62e3f89fa978"/>
      <w:bookmarkEnd w:id="33"/>
      <w:bookmarkEnd w:id="34"/>
      <w:bookmarkEnd w:id="35"/>
      <w:bookmarkEnd w:id="36"/>
      <w:bookmarkEnd w:id="37"/>
    </w:p>
    <w:tbl>
      <w:tblPr>
        <w:tblW w:w="8045" w:type="dxa"/>
        <w:jc w:val="left"/>
        <w:tblInd w:w="0" w:type="dxa"/>
        <w:tblLayout w:type="fixed"/>
        <w:tblCellMar>
          <w:top w:w="0" w:type="dxa"/>
          <w:left w:w="0" w:type="dxa"/>
          <w:bottom w:w="0" w:type="dxa"/>
          <w:right w:w="0" w:type="dxa"/>
        </w:tblCellMar>
      </w:tblPr>
      <w:tblGrid>
        <w:gridCol w:w="3811"/>
        <w:gridCol w:w="346"/>
        <w:gridCol w:w="1441"/>
        <w:gridCol w:w="346"/>
        <w:gridCol w:w="2101"/>
      </w:tblGrid>
      <w:t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419985" cy="29210"/>
                      <wp:effectExtent l="0" t="0" r="0" b="0"/>
                      <wp:wrapNone/>
                      <wp:docPr id="9" name="Frame9"/>
                      <a:graphic xmlns:a="http://schemas.openxmlformats.org/drawingml/2006/main">
                        <a:graphicData uri="http://schemas.microsoft.com/office/word/2010/wordprocessingShape">
                          <wps:wsp>
                            <wps:cNvSpPr txBox="1"/>
                            <wps:spPr>
                              <a:xfrm>
                                <a:off x="0" y="0"/>
                                <a:ext cx="2419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29210"/>
                      <wp:effectExtent l="0" t="0" r="0" b="0"/>
                      <wp:wrapNone/>
                      <wp:docPr id="10" name="Frame1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15035" cy="29210"/>
                      <wp:effectExtent l="0" t="0" r="0" b="0"/>
                      <wp:wrapNone/>
                      <wp:docPr id="11" name="Frame11"/>
                      <a:graphic xmlns:a="http://schemas.openxmlformats.org/drawingml/2006/main">
                        <a:graphicData uri="http://schemas.microsoft.com/office/word/2010/wordprocessingShape">
                          <wps:wsp>
                            <wps:cNvSpPr txBox="1"/>
                            <wps:spPr>
                              <a:xfrm>
                                <a:off x="0" y="0"/>
                                <a:ext cx="915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29210"/>
                      <wp:effectExtent l="0" t="0" r="0" b="0"/>
                      <wp:wrapNone/>
                      <wp:docPr id="12" name="Frame1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4135" cy="29210"/>
                      <wp:effectExtent l="0" t="0" r="0" b="0"/>
                      <wp:wrapNone/>
                      <wp:docPr id="13" name="Frame13"/>
                      <a:graphic xmlns:a="http://schemas.openxmlformats.org/drawingml/2006/main">
                        <a:graphicData uri="http://schemas.microsoft.com/office/word/2010/wordprocessingShape">
                          <wps:wsp>
                            <wps:cNvSpPr txBox="1"/>
                            <wps:spPr>
                              <a:xfrm>
                                <a:off x="0" y="0"/>
                                <a:ext cx="1334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c>
          <w:tcPr>
            <w:tcW w:w="3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pPr>
            <w:r>
              <w:t>  ​ ​ ​</w:t>
            </w:r>
          </w:p>
        </w:tc>
        <w:tc>
          <w:tcPr>
            <w:tcW w:w="21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w:t>
              <w:br/>
              <w:t>on which registered</w:t>
            </w:r>
          </w:p>
        </w:tc>
      </w:tr>
      <w:tr>
        <w:tc>
          <w:tcPr>
            <w:tcW w:w="38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Class A Common Stock, $0.001 par value per share</w:t>
            </w:r>
          </w:p>
        </w:tc>
        <w:tc>
          <w:tcPr>
            <w:tcW w:w="346" w:type="dxa"/>
            <w:tcBorders/>
            <w:vAlign w:val="center"/>
          </w:tcPr>
          <w:p>
            <w:pPr>
              <w:pStyle w:val="TableContents"/>
              <w:bidi w:val="0"/>
              <w:spacing w:before="0" w:after="0"/>
              <w:ind w:left="0" w:right="0" w:hanging="0"/>
              <w:jc w:val="left"/>
            </w:pPr>
            <w:r>
              <w:t> </w:t>
            </w:r>
          </w:p>
        </w:tc>
        <w:tc>
          <w:tcPr>
            <w:tcW w:w="14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ELUT</w:t>
            </w:r>
          </w:p>
        </w:tc>
        <w:tc>
          <w:tcPr>
            <w:tcW w:w="346" w:type="dxa"/>
            <w:tcBorders/>
            <w:vAlign w:val="center"/>
          </w:tcPr>
          <w:p>
            <w:pPr>
              <w:pStyle w:val="TableContents"/>
              <w:bidi w:val="0"/>
              <w:spacing w:before="0" w:after="0"/>
              <w:ind w:left="0" w:right="0" w:hanging="0"/>
              <w:jc w:val="left"/>
            </w:pPr>
            <w:r>
              <w:t> </w:t>
            </w:r>
          </w:p>
        </w:tc>
        <w:tc>
          <w:tcPr>
            <w:tcW w:w="210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8"/>
              </w:rPr>
              <w:t>The Nasdaq</w:t>
            </w:r>
            <w:r>
              <w:rPr>
                <w:rFonts w:ascii="Times New Roman;Times;serif" w:hAnsi="Times New Roman;Times;serif"/>
                <w:sz w:val="20"/>
              </w:rPr>
              <w:t xml:space="preserve"> </w:t>
            </w:r>
            <w:r>
              <w:rPr>
                <w:rFonts w:ascii="Times New Roman;Times;serif" w:hAnsi="Times New Roman;Times;serif"/>
                <w:sz w:val="18"/>
              </w:rPr>
              <w:t>Capital Market</w:t>
            </w:r>
          </w:p>
        </w:tc>
      </w:tr>
    </w:tbl>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extBody"/>
        <w:bidi w:val="0"/>
        <w:spacing w:before="0" w:after="0"/>
        <w:ind w:left="0" w:right="0" w:hanging="0"/>
        <w:jc w:val="left"/>
      </w:pPr>
      <w: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pPr>
      <w:r>
        <w:t>​</w:t>
      </w:r>
    </w:p>
    <w:p>
      <w:pPr>
        <w:pStyle w:val="TextBody"/>
        <w:pBdr>
          <w:top w:val="single" w:sz="2" w:space="1" w:color="000000"/>
          <w:bottom w:val="single" w:sz="24" w:space="1" w:color="000000"/>
        </w:pBdr>
        <w:bidi w:val="0"/>
        <w:spacing w:lineRule="atLeast" w:line="142" w:before="0" w:after="0"/>
        <w:ind w:left="0" w:right="0" w:hanging="0"/>
        <w:jc w:val="center"/>
      </w:pPr>
      <w:r>
        <w:t>​</w:t>
      </w:r>
    </w:p>
    <w:p>
      <w:pPr>
        <w:pStyle w:val="TextBody"/>
        <w:bidi w:val="0"/>
        <w:spacing w:before="0" w:after="0"/>
        <w:ind w:left="0" w:right="0" w:hanging="0"/>
        <w:jc w:val="left"/>
      </w:pPr>
      <w:r>
        <w:t>​</w:t>
      </w:r>
    </w:p>
    <w:p>
      <w:pPr>
        <w:pStyle w:val="TextBody"/>
        <w:bidi w:val="0"/>
        <w:spacing w:before="0" w:after="0"/>
        <w:ind w:left="0" w:right="0" w:hanging="0"/>
        <w:jc w:val="left"/>
      </w:pPr>
      <w:r>
        <w:t>​</w:t>
      </w:r>
    </w:p>
    <w:p>
      <w:pPr>
        <w:pStyle w:val="Normal"/>
        <w:bidi w:val="0"/>
        <w:spacing w:before="0" w:after="0"/>
        <w:ind w:left="600" w:right="600" w:hanging="0"/>
        <w:jc w:val="left"/>
        <w:rPr>
          <w:sz w:val="4"/>
          <w:szCs w:val="4"/>
        </w:rPr>
      </w:pPr>
      <w:r>
        <w:rPr>
          <w:sz w:val="4"/>
          <w:szCs w:val="4"/>
        </w:rPr>
      </w:r>
      <w:bookmarkStart w:id="38" w:name="_317e1f83_3cef_41e0_9802_7553ecc16e02"/>
      <w:bookmarkStart w:id="39" w:name="_317e1f83_3cef_41e0_9802_7553ecc16e02"/>
      <w:bookmarkEnd w:id="39"/>
    </w:p>
    <w:tbl>
      <w:tblPr>
        <w:tblW w:w="5432" w:type="dxa"/>
        <w:jc w:val="left"/>
        <w:tblInd w:w="0" w:type="dxa"/>
        <w:tblLayout w:type="fixed"/>
        <w:tblCellMar>
          <w:top w:w="0" w:type="dxa"/>
          <w:left w:w="0" w:type="dxa"/>
          <w:bottom w:w="0" w:type="dxa"/>
          <w:right w:w="0" w:type="dxa"/>
        </w:tblCellMar>
      </w:tblPr>
      <w:tblGrid>
        <w:gridCol w:w="976"/>
        <w:gridCol w:w="4456"/>
      </w:tblGrid>
      <w:tr>
        <w:tc>
          <w:tcPr>
            <w:tcW w:w="976" w:type="dxa"/>
            <w:tcBorders/>
            <w:vAlign w:val="center"/>
          </w:tcPr>
          <w:p>
            <w:pPr>
              <w:pStyle w:val="TableContents"/>
              <w:bidi w:val="0"/>
              <w:spacing w:before="0" w:after="240"/>
              <w:jc w:val="both"/>
              <w:rPr>
                <w:rFonts w:ascii="Times New Roman;Times;serif" w:hAnsi="Times New Roman;Times;serif"/>
                <w:b/>
                <w:sz w:val="21"/>
              </w:rPr>
            </w:pPr>
            <w:r>
              <w:rPr>
                <w:rFonts w:ascii="Times New Roman;Times;serif" w:hAnsi="Times New Roman;Times;serif"/>
                <w:b/>
                <w:sz w:val="21"/>
              </w:rPr>
              <w:t>Item 2.02</w:t>
            </w:r>
          </w:p>
        </w:tc>
        <w:tc>
          <w:tcPr>
            <w:tcW w:w="4456" w:type="dxa"/>
            <w:tcBorders/>
            <w:vAlign w:val="center"/>
          </w:tcPr>
          <w:p>
            <w:pPr>
              <w:pStyle w:val="TableContents"/>
              <w:bidi w:val="0"/>
              <w:spacing w:before="0" w:after="240"/>
              <w:jc w:val="both"/>
              <w:rPr>
                <w:rFonts w:ascii="Times New Roman;Times;serif" w:hAnsi="Times New Roman;Times;serif"/>
                <w:b/>
                <w:sz w:val="21"/>
              </w:rPr>
            </w:pPr>
            <w:r>
              <w:rPr>
                <w:rFonts w:ascii="Times New Roman;Times;serif" w:hAnsi="Times New Roman;Times;serif"/>
                <w:b/>
                <w:sz w:val="21"/>
              </w:rPr>
              <w:t>Results of Operations and Financial Condition.</w:t>
            </w:r>
          </w:p>
        </w:tc>
      </w:tr>
    </w:tbl>
    <w:p>
      <w:pPr>
        <w:pStyle w:val="TextBody"/>
        <w:bidi w:val="0"/>
        <w:spacing w:before="0" w:after="0"/>
        <w:ind w:left="0" w:right="0" w:firstLine="720"/>
        <w:jc w:val="both"/>
        <w:rPr>
          <w:rFonts w:ascii="Times New Roman;Times;serif" w:hAnsi="Times New Roman;Times;serif"/>
          <w:sz w:val="21"/>
        </w:rPr>
      </w:pPr>
      <w:r>
        <w:rPr>
          <w:rFonts w:ascii="Times New Roman;Times;serif" w:hAnsi="Times New Roman;Times;serif"/>
          <w:sz w:val="21"/>
        </w:rPr>
        <w:t>On November 5, 2026, Elutia Inc. (the “Company” or “Elutia”) issued a press release announcing its results for the third quarter ended September 30, 2026. A copy of the Company’s press release is furnished as Exhibit 99.1 to this Current Report on Form 8-K and is incorporated herein by reference.</w:t>
      </w:r>
    </w:p>
    <w:p>
      <w:pPr>
        <w:pStyle w:val="TextBody"/>
        <w:bidi w:val="0"/>
        <w:spacing w:before="0" w:after="0"/>
        <w:ind w:left="0" w:right="0" w:firstLine="720"/>
        <w:jc w:val="both"/>
      </w:pPr>
      <w:r>
        <w:t>​</w:t>
      </w:r>
    </w:p>
    <w:p>
      <w:pPr>
        <w:pStyle w:val="TextBody"/>
        <w:bidi w:val="0"/>
        <w:spacing w:before="0" w:after="240"/>
        <w:ind w:left="0" w:right="0" w:firstLine="720"/>
        <w:jc w:val="both"/>
        <w:rPr>
          <w:rFonts w:ascii="Times New Roman;Times;serif" w:hAnsi="Times New Roman;Times;serif"/>
          <w:sz w:val="21"/>
        </w:rPr>
      </w:pPr>
      <w:r>
        <w:rPr>
          <w:rFonts w:ascii="Times New Roman;Times;serif" w:hAnsi="Times New Roman;Times;serif"/>
          <w:sz w:val="21"/>
        </w:rPr>
        <w:t>The information in this Item 2.02 of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tbl>
      <w:tblPr>
        <w:tblW w:w="4322" w:type="dxa"/>
        <w:jc w:val="left"/>
        <w:tblInd w:w="0" w:type="dxa"/>
        <w:tblLayout w:type="fixed"/>
        <w:tblCellMar>
          <w:top w:w="0" w:type="dxa"/>
          <w:left w:w="0" w:type="dxa"/>
          <w:bottom w:w="0" w:type="dxa"/>
          <w:right w:w="0" w:type="dxa"/>
        </w:tblCellMar>
      </w:tblPr>
      <w:tblGrid>
        <w:gridCol w:w="976"/>
        <w:gridCol w:w="3346"/>
      </w:tblGrid>
      <w:tr>
        <w:tc>
          <w:tcPr>
            <w:tcW w:w="976" w:type="dxa"/>
            <w:tcBorders/>
            <w:vAlign w:val="center"/>
          </w:tcPr>
          <w:p>
            <w:pPr>
              <w:pStyle w:val="TableContents"/>
              <w:bidi w:val="0"/>
              <w:spacing w:before="0" w:after="240"/>
              <w:jc w:val="both"/>
              <w:rPr>
                <w:rFonts w:ascii="Times New Roman;Times;serif" w:hAnsi="Times New Roman;Times;serif"/>
                <w:b/>
                <w:sz w:val="21"/>
              </w:rPr>
            </w:pPr>
            <w:r>
              <w:rPr>
                <w:rFonts w:ascii="Times New Roman;Times;serif" w:hAnsi="Times New Roman;Times;serif"/>
                <w:b/>
                <w:sz w:val="21"/>
              </w:rPr>
              <w:t>Item 9.01</w:t>
            </w:r>
          </w:p>
        </w:tc>
        <w:tc>
          <w:tcPr>
            <w:tcW w:w="3346" w:type="dxa"/>
            <w:tcBorders/>
            <w:vAlign w:val="center"/>
          </w:tcPr>
          <w:p>
            <w:pPr>
              <w:pStyle w:val="TableContents"/>
              <w:bidi w:val="0"/>
              <w:spacing w:before="0" w:after="240"/>
              <w:jc w:val="both"/>
              <w:rPr>
                <w:rFonts w:ascii="Times New Roman;Times;serif" w:hAnsi="Times New Roman;Times;serif"/>
                <w:b/>
                <w:sz w:val="21"/>
              </w:rPr>
            </w:pPr>
            <w:r>
              <w:rPr>
                <w:rFonts w:ascii="Times New Roman;Times;serif" w:hAnsi="Times New Roman;Times;serif"/>
                <w:b/>
                <w:sz w:val="21"/>
              </w:rPr>
              <w:t>Financial Statements and Exhibits.</w:t>
            </w:r>
          </w:p>
        </w:tc>
      </w:tr>
    </w:tbl>
    <w:tbl>
      <w:tblPr>
        <w:tblW w:w="1292" w:type="dxa"/>
        <w:jc w:val="left"/>
        <w:tblInd w:w="0" w:type="dxa"/>
        <w:tblLayout w:type="fixed"/>
        <w:tblCellMar>
          <w:top w:w="0" w:type="dxa"/>
          <w:left w:w="0" w:type="dxa"/>
          <w:bottom w:w="0" w:type="dxa"/>
          <w:right w:w="0" w:type="dxa"/>
        </w:tblCellMar>
      </w:tblPr>
      <w:tblGrid>
        <w:gridCol w:w="376"/>
        <w:gridCol w:w="916"/>
      </w:tblGrid>
      <w:tr>
        <w:tc>
          <w:tcPr>
            <w:tcW w:w="376" w:type="dxa"/>
            <w:tcBorders/>
            <w:vAlign w:val="center"/>
          </w:tcPr>
          <w:p>
            <w:pPr>
              <w:pStyle w:val="TableContents"/>
              <w:bidi w:val="0"/>
              <w:spacing w:before="0" w:after="240"/>
              <w:jc w:val="both"/>
              <w:rPr>
                <w:rFonts w:ascii="Times New Roman;Times;serif" w:hAnsi="Times New Roman;Times;serif"/>
                <w:sz w:val="21"/>
              </w:rPr>
            </w:pPr>
            <w:r>
              <w:rPr>
                <w:rFonts w:ascii="Times New Roman;Times;serif" w:hAnsi="Times New Roman;Times;serif"/>
                <w:sz w:val="21"/>
              </w:rPr>
              <w:t>(d)</w:t>
            </w:r>
          </w:p>
        </w:tc>
        <w:tc>
          <w:tcPr>
            <w:tcW w:w="916" w:type="dxa"/>
            <w:tcBorders/>
            <w:vAlign w:val="center"/>
          </w:tcPr>
          <w:p>
            <w:pPr>
              <w:pStyle w:val="TableContents"/>
              <w:bidi w:val="0"/>
              <w:spacing w:before="0" w:after="240"/>
              <w:jc w:val="both"/>
              <w:rPr>
                <w:rFonts w:ascii="Times New Roman;Times;serif" w:hAnsi="Times New Roman;Times;serif"/>
                <w:sz w:val="21"/>
              </w:rPr>
            </w:pPr>
            <w:r>
              <w:rPr>
                <w:rFonts w:ascii="Times New Roman;Times;serif" w:hAnsi="Times New Roman;Times;serif"/>
                <w:sz w:val="21"/>
              </w:rPr>
              <w:t>Exhibits.</w:t>
            </w:r>
          </w:p>
        </w:tc>
      </w:tr>
    </w:tbl>
    <w:tbl>
      <w:tblPr>
        <w:tblW w:w="7521" w:type="dxa"/>
        <w:jc w:val="left"/>
        <w:tblInd w:w="0" w:type="dxa"/>
        <w:tblLayout w:type="fixed"/>
        <w:tblCellMar>
          <w:top w:w="0" w:type="dxa"/>
          <w:left w:w="0" w:type="dxa"/>
          <w:bottom w:w="0" w:type="dxa"/>
          <w:right w:w="0" w:type="dxa"/>
        </w:tblCellMar>
      </w:tblPr>
      <w:tblGrid>
        <w:gridCol w:w="1171"/>
        <w:gridCol w:w="109"/>
        <w:gridCol w:w="6241"/>
      </w:tblGrid>
      <w:tr>
        <w:tc>
          <w:tcPr>
            <w:tcW w:w="1171" w:type="dxa"/>
            <w:tcBorders/>
            <w:vAlign w:val="center"/>
          </w:tcPr>
          <w:p>
            <w:pPr>
              <w:pStyle w:val="TableContents"/>
              <w:bidi w:val="0"/>
              <w:spacing w:before="0" w:after="0"/>
              <w:ind w:left="0" w:right="0" w:hanging="0"/>
              <w:jc w:val="both"/>
              <w:rPr>
                <w:rFonts w:ascii="Times New Roman;Times;serif" w:hAnsi="Times New Roman;Times;serif"/>
                <w:b/>
                <w:sz w:val="21"/>
              </w:rPr>
            </w:pPr>
            <w:r>
              <w:rPr>
                <w:rFonts w:ascii="Times New Roman;Times;serif" w:hAnsi="Times New Roman;Times;serif"/>
                <w:b/>
                <w:sz w:val="21"/>
              </w:rPr>
              <w:t>Exhibit No.</w:t>
            </w:r>
          </w:p>
        </w:tc>
        <w:tc>
          <w:tcPr>
            <w:tcW w:w="109" w:type="dxa"/>
            <w:tcBorders/>
            <w:vAlign w:val="center"/>
          </w:tcPr>
          <w:p>
            <w:pPr>
              <w:pStyle w:val="TableContents"/>
              <w:bidi w:val="0"/>
              <w:spacing w:before="0" w:after="0"/>
              <w:ind w:left="0" w:right="0" w:hanging="0"/>
              <w:jc w:val="both"/>
            </w:pPr>
            <w:r>
              <w:t>​</w:t>
            </w:r>
          </w:p>
        </w:tc>
        <w:tc>
          <w:tcPr>
            <w:tcW w:w="6241" w:type="dxa"/>
            <w:tcBorders/>
            <w:vAlign w:val="center"/>
          </w:tcPr>
          <w:p>
            <w:pPr>
              <w:pStyle w:val="TableContents"/>
              <w:bidi w:val="0"/>
              <w:spacing w:before="0" w:after="0"/>
              <w:ind w:left="0" w:right="0" w:hanging="0"/>
              <w:jc w:val="both"/>
              <w:rPr>
                <w:rFonts w:ascii="Times New Roman;Times;serif" w:hAnsi="Times New Roman;Times;serif"/>
                <w:b/>
                <w:sz w:val="21"/>
              </w:rPr>
            </w:pPr>
            <w:r>
              <w:rPr>
                <w:rFonts w:ascii="Times New Roman;Times;serif" w:hAnsi="Times New Roman;Times;serif"/>
                <w:b/>
                <w:sz w:val="21"/>
              </w:rPr>
              <w:t>Exhibit Description</w:t>
            </w:r>
          </w:p>
        </w:tc>
      </w:tr>
      <w:tr>
        <w:tc>
          <w:tcPr>
            <w:tcW w:w="1171" w:type="dxa"/>
            <w:tcBorders/>
            <w:vAlign w:val="center"/>
          </w:tcPr>
          <w:p>
            <w:pPr>
              <w:pStyle w:val="TableContents"/>
              <w:bidi w:val="0"/>
              <w:spacing w:before="0" w:after="0"/>
              <w:ind w:left="0" w:right="0" w:hanging="0"/>
              <w:jc w:val="both"/>
            </w:pPr>
            <w:r>
              <w:t>​</w:t>
            </w:r>
          </w:p>
        </w:tc>
        <w:tc>
          <w:tcPr>
            <w:tcW w:w="109" w:type="dxa"/>
            <w:tcBorders/>
            <w:vAlign w:val="center"/>
          </w:tcPr>
          <w:p>
            <w:pPr>
              <w:pStyle w:val="TableContents"/>
              <w:bidi w:val="0"/>
              <w:spacing w:before="0" w:after="0"/>
              <w:ind w:left="0" w:right="0" w:hanging="0"/>
              <w:jc w:val="both"/>
            </w:pPr>
            <w:r>
              <w:t>​</w:t>
            </w:r>
          </w:p>
        </w:tc>
        <w:tc>
          <w:tcPr>
            <w:tcW w:w="6241" w:type="dxa"/>
            <w:tcBorders/>
            <w:vAlign w:val="center"/>
          </w:tcPr>
          <w:p>
            <w:pPr>
              <w:pStyle w:val="TableContents"/>
              <w:bidi w:val="0"/>
              <w:spacing w:before="0" w:after="0"/>
              <w:ind w:left="0" w:right="0" w:hanging="0"/>
              <w:jc w:val="both"/>
            </w:pPr>
            <w:r>
              <w:t>​</w:t>
            </w:r>
          </w:p>
        </w:tc>
      </w:tr>
      <w:tr>
        <w:tc>
          <w:tcPr>
            <w:tcW w:w="1171"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99.1</w:t>
            </w:r>
          </w:p>
        </w:tc>
        <w:tc>
          <w:tcPr>
            <w:tcW w:w="109" w:type="dxa"/>
            <w:tcBorders/>
            <w:vAlign w:val="center"/>
          </w:tcPr>
          <w:p>
            <w:pPr>
              <w:pStyle w:val="TableContents"/>
              <w:bidi w:val="0"/>
              <w:spacing w:before="0" w:after="0"/>
              <w:ind w:left="0" w:right="0" w:hanging="0"/>
              <w:jc w:val="both"/>
            </w:pPr>
            <w:r>
              <w:t>​</w:t>
            </w:r>
          </w:p>
        </w:tc>
        <w:tc>
          <w:tcPr>
            <w:tcW w:w="6241" w:type="dxa"/>
            <w:tcBorders/>
            <w:vAlign w:val="center"/>
          </w:tcPr>
          <w:p>
            <w:pPr>
              <w:pStyle w:val="TableContents"/>
              <w:bidi w:val="0"/>
              <w:spacing w:before="0" w:after="0"/>
              <w:ind w:left="0" w:right="0" w:hanging="0"/>
              <w:jc w:val="both"/>
            </w:pPr>
            <w:hyperlink w:anchor="elut-ex99d1.htm">
              <w:r>
                <w:rPr>
                  <w:rStyle w:val="InternetLink"/>
                  <w:rFonts w:ascii="Times New Roman;Times;serif" w:hAnsi="Times New Roman;Times;serif"/>
                  <w:b w:val="false"/>
                  <w:i w:val="false"/>
                  <w:caps w:val="false"/>
                  <w:smallCaps w:val="false"/>
                  <w:sz w:val="20"/>
                </w:rPr>
                <w:t>Press Release of Elutia Inc. dated November 5, 2026</w:t>
              </w:r>
            </w:hyperlink>
          </w:p>
        </w:tc>
      </w:tr>
      <w:tr>
        <w:tc>
          <w:tcPr>
            <w:tcW w:w="1171" w:type="dxa"/>
            <w:tcBorders/>
            <w:vAlign w:val="center"/>
          </w:tcPr>
          <w:p>
            <w:pPr>
              <w:pStyle w:val="TableContents"/>
              <w:bidi w:val="0"/>
              <w:spacing w:before="0" w:after="0"/>
              <w:ind w:left="0" w:right="0" w:hanging="0"/>
              <w:jc w:val="both"/>
            </w:pPr>
            <w:r>
              <w:t>​</w:t>
            </w:r>
          </w:p>
        </w:tc>
        <w:tc>
          <w:tcPr>
            <w:tcW w:w="109" w:type="dxa"/>
            <w:tcBorders/>
            <w:vAlign w:val="center"/>
          </w:tcPr>
          <w:p>
            <w:pPr>
              <w:pStyle w:val="TableContents"/>
              <w:bidi w:val="0"/>
              <w:spacing w:before="0" w:after="0"/>
              <w:ind w:left="0" w:right="0" w:hanging="0"/>
              <w:jc w:val="both"/>
            </w:pPr>
            <w:r>
              <w:t>​</w:t>
            </w:r>
          </w:p>
        </w:tc>
        <w:tc>
          <w:tcPr>
            <w:tcW w:w="6241" w:type="dxa"/>
            <w:tcBorders/>
            <w:vAlign w:val="center"/>
          </w:tcPr>
          <w:p>
            <w:pPr>
              <w:pStyle w:val="TableContents"/>
              <w:bidi w:val="0"/>
              <w:spacing w:before="0" w:after="0"/>
              <w:ind w:left="0" w:right="0" w:hanging="0"/>
              <w:jc w:val="both"/>
            </w:pPr>
            <w:r>
              <w:t>​</w:t>
            </w:r>
          </w:p>
        </w:tc>
      </w:tr>
      <w:tr>
        <w:tc>
          <w:tcPr>
            <w:tcW w:w="1171"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104</w:t>
            </w:r>
          </w:p>
        </w:tc>
        <w:tc>
          <w:tcPr>
            <w:tcW w:w="109" w:type="dxa"/>
            <w:tcBorders/>
            <w:vAlign w:val="center"/>
          </w:tcPr>
          <w:p>
            <w:pPr>
              <w:pStyle w:val="TableContents"/>
              <w:bidi w:val="0"/>
              <w:spacing w:before="0" w:after="0"/>
              <w:ind w:left="0" w:right="0" w:hanging="0"/>
              <w:jc w:val="both"/>
            </w:pPr>
            <w:r>
              <w:t>​</w:t>
            </w:r>
          </w:p>
        </w:tc>
        <w:tc>
          <w:tcPr>
            <w:tcW w:w="6241" w:type="dxa"/>
            <w:tcBorders/>
            <w:vAlign w:val="center"/>
          </w:tcPr>
          <w:p>
            <w:pPr>
              <w:pStyle w:val="TableContents"/>
              <w:bidi w:val="0"/>
              <w:spacing w:before="0" w:after="0"/>
              <w:ind w:left="0" w:right="0" w:hanging="0"/>
              <w:jc w:val="both"/>
              <w:rPr>
                <w:rFonts w:ascii="Times New Roman;Times;serif" w:hAnsi="Times New Roman;Times;serif"/>
                <w:sz w:val="21"/>
              </w:rPr>
            </w:pPr>
            <w:r>
              <w:rPr>
                <w:rFonts w:ascii="Times New Roman;Times;serif" w:hAnsi="Times New Roman;Times;serif"/>
                <w:sz w:val="21"/>
              </w:rPr>
              <w:t>Cover Page Interactive Data File (formatted as Inline XBRL document)</w:t>
            </w:r>
          </w:p>
        </w:tc>
      </w:tr>
    </w:tbl>
    <w:p>
      <w:pPr>
        <w:pStyle w:val="TextBody"/>
        <w:bidi w:val="0"/>
        <w:spacing w:before="0" w:after="0"/>
        <w:ind w:left="0" w:right="0" w:hanging="0"/>
        <w:jc w:val="left"/>
      </w:pPr>
      <w:r>
        <w:t>​</w:t>
      </w:r>
    </w:p>
    <w:p>
      <w:pPr>
        <w:pStyle w:val="TextBody"/>
        <w:pBdr/>
        <w:bidi w:val="0"/>
        <w:spacing w:before="0" w:after="240"/>
        <w:ind w:left="0" w:right="0" w:hanging="1440"/>
        <w:jc w:val="left"/>
      </w:pPr>
      <w:r>
        <w:t>​</w:t>
      </w:r>
    </w:p>
    <w:p>
      <w:pPr>
        <w:pStyle w:val="TextBody"/>
        <w:bidi w:val="0"/>
        <w:spacing w:before="0" w:after="0"/>
        <w:ind w:left="0" w:right="0" w:hanging="0"/>
        <w:jc w:val="left"/>
      </w:pPr>
      <w:bookmarkStart w:id="40" w:name="_21eb1bc3_3850_4b6a_818b_7765744c1731"/>
      <w:bookmarkEnd w:id="40"/>
      <w: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center"/>
      </w:pPr>
      <w: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pPr>
      <w:r>
        <w:t>​</w:t>
      </w:r>
    </w:p>
    <w:tbl>
      <w:tblPr>
        <w:tblW w:w="4518" w:type="dxa"/>
        <w:jc w:val="left"/>
        <w:tblInd w:w="0" w:type="dxa"/>
        <w:tblLayout w:type="fixed"/>
        <w:tblCellMar>
          <w:top w:w="0" w:type="dxa"/>
          <w:left w:w="0" w:type="dxa"/>
          <w:bottom w:w="0" w:type="dxa"/>
          <w:right w:w="0" w:type="dxa"/>
        </w:tblCellMar>
      </w:tblPr>
      <w:tblGrid>
        <w:gridCol w:w="2101"/>
        <w:gridCol w:w="406"/>
        <w:gridCol w:w="2011"/>
      </w:tblGrid>
      <w:tr>
        <w:tc>
          <w:tcPr>
            <w:tcW w:w="210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r>
      <w:tr>
        <w:tc>
          <w:tcPr>
            <w:tcW w:w="2101" w:type="dxa"/>
            <w:tcBorders/>
            <w:vAlign w:val="center"/>
          </w:tcPr>
          <w:p>
            <w:pPr>
              <w:pStyle w:val="TableContents"/>
              <w:bidi w:val="0"/>
              <w:spacing w:before="0" w:after="0"/>
              <w:ind w:left="0" w:right="0" w:hanging="0"/>
              <w:jc w:val="left"/>
            </w:pPr>
            <w:r>
              <w:t> </w:t>
            </w:r>
          </w:p>
        </w:tc>
        <w:tc>
          <w:tcPr>
            <w:tcW w:w="24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ELUTIA INC.</w:t>
            </w:r>
          </w:p>
        </w:tc>
      </w:tr>
      <w:tr>
        <w:tc>
          <w:tcPr>
            <w:tcW w:w="2101" w:type="dxa"/>
            <w:tcBorders/>
            <w:vAlign w:val="center"/>
          </w:tcPr>
          <w:p>
            <w:pPr>
              <w:pStyle w:val="TableContents"/>
              <w:bidi w:val="0"/>
              <w:spacing w:before="0" w:after="0"/>
              <w:ind w:left="0" w:right="0" w:hanging="0"/>
              <w:jc w:val="left"/>
            </w:pPr>
            <w:r>
              <w:t> </w:t>
            </w:r>
          </w:p>
        </w:tc>
        <w:tc>
          <w:tcPr>
            <w:tcW w:w="406" w:type="dxa"/>
            <w:tcBorders/>
            <w:vAlign w:val="center"/>
          </w:tcPr>
          <w:p>
            <w:pPr>
              <w:pStyle w:val="TableContents"/>
              <w:bidi w:val="0"/>
              <w:spacing w:before="0" w:after="0"/>
              <w:ind w:left="0" w:right="0" w:hanging="0"/>
              <w:jc w:val="left"/>
            </w:pPr>
            <w:r>
              <w:t> </w:t>
            </w:r>
          </w:p>
        </w:tc>
        <w:tc>
          <w:tcPr>
            <w:tcW w:w="2011" w:type="dxa"/>
            <w:tcBorders/>
            <w:vAlign w:val="center"/>
          </w:tcPr>
          <w:p>
            <w:pPr>
              <w:pStyle w:val="TableContents"/>
              <w:bidi w:val="0"/>
              <w:spacing w:before="0" w:after="0"/>
              <w:ind w:left="0" w:right="0" w:hanging="0"/>
              <w:jc w:val="left"/>
            </w:pPr>
            <w:r>
              <w:t> </w:t>
            </w:r>
          </w:p>
        </w:tc>
      </w:tr>
      <w:t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5,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Ferguson</w:t>
            </w:r>
          </w:p>
        </w:tc>
      </w:tr>
      <w:tr>
        <w:tc>
          <w:tcPr>
            <w:tcW w:w="2101" w:type="dxa"/>
            <w:tcBorders/>
            <w:vAlign w:val="center"/>
          </w:tcPr>
          <w:p>
            <w:pPr>
              <w:pStyle w:val="TableContents"/>
              <w:bidi w:val="0"/>
              <w:spacing w:before="0" w:after="0"/>
              <w:ind w:left="0" w:right="0" w:hanging="0"/>
              <w:jc w:val="left"/>
            </w:pPr>
            <w:r>
              <w:t> </w:t>
            </w:r>
          </w:p>
        </w:tc>
        <w:tc>
          <w:tcPr>
            <w:tcW w:w="406" w:type="dxa"/>
            <w:tcBorders/>
            <w:vAlign w:val="center"/>
          </w:tcPr>
          <w:p>
            <w:pPr>
              <w:pStyle w:val="TableContents"/>
              <w:bidi w:val="0"/>
              <w:spacing w:before="0" w:after="0"/>
              <w:ind w:left="0" w:right="0" w:hanging="0"/>
              <w:jc w:val="left"/>
            </w:pPr>
            <w:r>
              <w:t> </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Ferguson</w:t>
            </w:r>
          </w:p>
        </w:tc>
      </w:tr>
      <w:tr>
        <w:tc>
          <w:tcPr>
            <w:tcW w:w="2101" w:type="dxa"/>
            <w:tcBorders/>
            <w:vAlign w:val="center"/>
          </w:tcPr>
          <w:p>
            <w:pPr>
              <w:pStyle w:val="TableContents"/>
              <w:bidi w:val="0"/>
              <w:spacing w:before="0" w:after="0"/>
              <w:ind w:left="0" w:right="0" w:hanging="0"/>
              <w:jc w:val="left"/>
            </w:pPr>
            <w:r>
              <w:t> </w:t>
            </w:r>
          </w:p>
        </w:tc>
        <w:tc>
          <w:tcPr>
            <w:tcW w:w="406" w:type="dxa"/>
            <w:tcBorders/>
            <w:vAlign w:val="center"/>
          </w:tcPr>
          <w:p>
            <w:pPr>
              <w:pStyle w:val="TableContents"/>
              <w:bidi w:val="0"/>
              <w:spacing w:before="0" w:after="0"/>
              <w:ind w:left="0" w:right="0" w:hanging="0"/>
              <w:jc w:val="left"/>
            </w:pPr>
            <w: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pPr>
      <w:r>
        <w:t>​</w:t>
      </w:r>
    </w:p>
    <w:p>
      <w:pPr>
        <w:pStyle w:val="TextBody"/>
        <w:bidi w:val="0"/>
        <w:spacing w:before="0" w:after="0"/>
        <w:ind w:left="0" w:right="0" w:hanging="0"/>
        <w:jc w:val="right"/>
        <w:rPr>
          <w:rFonts w:ascii="Arial;Helvetica;sans-serif" w:hAnsi="Arial;Helvetica;sans-serif"/>
          <w:b/>
          <w:sz w:val="20"/>
        </w:rPr>
      </w:pPr>
      <w:bookmarkStart w:id="41" w:name="elut-ex99d1.htm"/>
      <w:bookmarkStart w:id="42" w:name="kselutex99d1"/>
      <w:bookmarkEnd w:id="41"/>
      <w:bookmarkEnd w:id="42"/>
      <w:r>
        <w:rPr>
          <w:rFonts w:ascii="Arial;Helvetica;sans-serif" w:hAnsi="Arial;Helvetica;sans-serif"/>
          <w:b/>
          <w:sz w:val="20"/>
        </w:rPr>
        <w:t>Exhibit 99.1</w:t>
      </w:r>
      <w:r>
        <w:br w:type="page"/>
      </w:r>
    </w:p>
    <w:p>
      <w:pPr>
        <w:pStyle w:val="TextBody"/>
        <w:bidi w:val="0"/>
        <w:spacing w:before="0" w:after="0"/>
        <w:ind w:left="0" w:right="0" w:hanging="0"/>
        <w:jc w:val="left"/>
      </w:pPr>
      <w:r>
        <w:drawing>
          <wp:inline distT="0" distB="0" distL="0" distR="0">
            <wp:extent cx="1809750" cy="565150"/>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1809750" cy="565150"/>
                    </a:xfrm>
                    <a:prstGeom prst="rect">
                      <a:avLst/>
                    </a:prstGeom>
                  </pic:spPr>
                </pic:pic>
              </a:graphicData>
            </a:graphic>
          </wp:inline>
        </w:drawing>
      </w:r>
    </w:p>
    <w:p>
      <w:pPr>
        <w:pStyle w:val="TextBody"/>
        <w:bidi w:val="0"/>
        <w:spacing w:lineRule="auto" w:line="357" w:before="0" w:after="0"/>
        <w:ind w:left="0" w:right="0" w:hanging="0"/>
        <w:jc w:val="left"/>
        <w:rPr>
          <w:color w:val="8E999D"/>
        </w:rPr>
      </w:pPr>
      <w:r>
        <w:rPr>
          <w:color w:val="8E999D"/>
        </w:rPr>
        <w:t>​</w:t>
      </w:r>
    </w:p>
    <w:p>
      <w:pPr>
        <w:pStyle w:val="TextBody"/>
        <w:bidi w:val="0"/>
        <w:spacing w:before="0" w:after="200"/>
        <w:ind w:left="0" w:right="0" w:hanging="0"/>
        <w:jc w:val="left"/>
        <w:rPr>
          <w:rFonts w:ascii="Arial;Helvetica;sans-serif" w:hAnsi="Arial;Helvetica;sans-serif"/>
          <w:sz w:val="20"/>
        </w:rPr>
      </w:pPr>
      <w:r>
        <w:rPr>
          <w:rFonts w:ascii="Arial;Helvetica;sans-serif" w:hAnsi="Arial;Helvetica;sans-serif"/>
          <w:b/>
          <w:color w:val="1B2E5A"/>
          <w:sz w:val="28"/>
        </w:rPr>
        <w:t xml:space="preserve">Elutia Reports Third Quarter 2026 Results: </w:t>
      </w:r>
      <w:r>
        <w:rPr>
          <w:rFonts w:ascii="Arial;Helvetica;sans-serif" w:hAnsi="Arial;Helvetica;sans-serif"/>
          <w:color w:val="1B2E5A"/>
          <w:sz w:val="28"/>
        </w:rPr>
        <w:t>As Plastic Surgeons Cite Infection Risk in Every Breast Research Session During National Meeting, NXT-41x Heads to FDA This Quarter, Fully Funded Through Launch</w:t>
      </w:r>
    </w:p>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pPr>
            <w:r>
              <w:rPr>
                <w:rFonts w:ascii="Arial;Helvetica;sans-serif" w:hAnsi="Arial;Helvetica;sans-serif"/>
                <w:b/>
                <w:i w:val="false"/>
                <w:caps w:val="false"/>
                <w:smallCaps w:val="false"/>
                <w:color w:val="222222"/>
                <w:sz w:val="20"/>
              </w:rPr>
              <w:t xml:space="preserve">Infection is a Major Unmet Need in Plastic and Reconstructive Surgery: </w:t>
            </w:r>
            <w:r>
              <w:rPr>
                <w:rFonts w:ascii="Arial;Helvetica;sans-serif" w:hAnsi="Arial;Helvetica;sans-serif"/>
                <w:b w:val="false"/>
                <w:i w:val="false"/>
                <w:caps w:val="false"/>
                <w:smallCaps w:val="false"/>
                <w:color w:val="222222"/>
                <w:sz w:val="20"/>
              </w:rPr>
              <w:t>Infection risk was cited in all 11 breast research sessions at the American Society of Plastic Surgeons’ annual meeting, with serious infection rates reported as high as 23%.</w:t>
            </w:r>
          </w:p>
        </w:tc>
      </w:tr>
    </w:tbl>
    <w:p>
      <w:pPr>
        <w:pStyle w:val="TextBody"/>
        <w:bidi w:val="0"/>
        <w:spacing w:before="0" w:after="0"/>
        <w:ind w:left="90" w:right="0" w:hanging="0"/>
        <w:jc w:val="left"/>
        <w:rPr>
          <w:color w:val="222222"/>
        </w:rPr>
      </w:pPr>
      <w:r>
        <w:rPr>
          <w:color w:val="222222"/>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pPr>
            <w:r>
              <w:rPr>
                <w:rFonts w:ascii="Arial;Helvetica;sans-serif" w:hAnsi="Arial;Helvetica;sans-serif"/>
                <w:b/>
                <w:i w:val="false"/>
                <w:caps w:val="false"/>
                <w:smallCaps w:val="false"/>
                <w:color w:val="222222"/>
                <w:sz w:val="20"/>
              </w:rPr>
              <w:t xml:space="preserve">NXT-41x In Vivo Study Supports Planned Q4 2026 FDA Submission: </w:t>
            </w:r>
            <w:r>
              <w:rPr>
                <w:rFonts w:ascii="Arial;Helvetica;sans-serif" w:hAnsi="Arial;Helvetica;sans-serif"/>
                <w:b w:val="false"/>
                <w:i w:val="false"/>
                <w:caps w:val="false"/>
                <w:smallCaps w:val="false"/>
                <w:color w:val="222222"/>
                <w:sz w:val="20"/>
              </w:rPr>
              <w:t>The GLP rabbit antibacterial study achieved its prespecified performance endpoints, with no viable bacteria recovered after either the 8-log MRSA challenges or the 6-log E. coli challenges, demonstrating robust eradication of relevant pathogens.</w:t>
            </w:r>
          </w:p>
        </w:tc>
      </w:tr>
    </w:tbl>
    <w:p>
      <w:pPr>
        <w:pStyle w:val="TextBody"/>
        <w:bidi w:val="0"/>
        <w:spacing w:before="0" w:after="0"/>
        <w:ind w:left="0" w:right="0" w:hanging="0"/>
        <w:jc w:val="left"/>
        <w:rPr>
          <w:color w:val="222222"/>
        </w:rPr>
      </w:pPr>
      <w:r>
        <w:rPr>
          <w:color w:val="222222"/>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pPr>
            <w:r>
              <w:rPr>
                <w:rFonts w:ascii="Arial;Helvetica;sans-serif" w:hAnsi="Arial;Helvetica;sans-serif"/>
                <w:b/>
                <w:i w:val="false"/>
                <w:caps w:val="false"/>
                <w:smallCaps w:val="false"/>
                <w:color w:val="222222"/>
                <w:sz w:val="20"/>
              </w:rPr>
              <w:t>$26 Million in Capital Received:</w:t>
            </w:r>
            <w:r>
              <w:rPr>
                <w:caps w:val="false"/>
                <w:smallCaps w:val="false"/>
                <w:color w:val="222222"/>
              </w:rPr>
              <w:t xml:space="preserve"> </w:t>
            </w:r>
            <w:r>
              <w:rPr>
                <w:rFonts w:ascii="Arial;Helvetica;sans-serif" w:hAnsi="Arial;Helvetica;sans-serif"/>
                <w:b w:val="false"/>
                <w:i w:val="false"/>
                <w:caps w:val="false"/>
                <w:smallCaps w:val="false"/>
                <w:color w:val="222222"/>
                <w:sz w:val="20"/>
              </w:rPr>
              <w:t>Elutia added $26 million without an equity offering, which is expected to fund the company through the anticipated clearance and first full-year of NXT-41x commercialization in 2028.</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pPr>
            <w:r>
              <w:rPr>
                <w:rFonts w:ascii="Arial;Helvetica;sans-serif" w:hAnsi="Arial;Helvetica;sans-serif"/>
                <w:b/>
                <w:i w:val="false"/>
                <w:caps w:val="false"/>
                <w:smallCaps w:val="false"/>
                <w:color w:val="222222"/>
                <w:sz w:val="20"/>
              </w:rPr>
              <w:t>Cardiovascular Revenue Grows 20%:</w:t>
            </w:r>
            <w:r>
              <w:rPr>
                <w:caps w:val="false"/>
                <w:smallCaps w:val="false"/>
                <w:color w:val="222222"/>
              </w:rPr>
              <w:t xml:space="preserve"> </w:t>
            </w:r>
            <w:r>
              <w:rPr>
                <w:rFonts w:ascii="Arial;Helvetica;sans-serif" w:hAnsi="Arial;Helvetica;sans-serif"/>
                <w:b w:val="false"/>
                <w:i w:val="false"/>
                <w:caps w:val="false"/>
                <w:smallCaps w:val="false"/>
                <w:color w:val="222222"/>
                <w:sz w:val="20"/>
              </w:rPr>
              <w:t>Elutia's cardiovascular business delivered 20% year-over-year revenue growth in the third quarter of 2026 and 65% growth for the first nine months of 2026.</w:t>
            </w:r>
          </w:p>
        </w:tc>
      </w:tr>
    </w:tbl>
    <w:p>
      <w:pPr>
        <w:pStyle w:val="TextBody"/>
        <w:bidi w:val="0"/>
        <w:spacing w:before="0" w:after="0"/>
        <w:ind w:left="0" w:right="0" w:hanging="0"/>
        <w:jc w:val="left"/>
        <w:rPr>
          <w:color w:val="222222"/>
        </w:rPr>
      </w:pPr>
      <w:r>
        <w:rPr>
          <w:color w:val="222222"/>
        </w:rPr>
        <w:t>​</w:t>
      </w:r>
    </w:p>
    <w:p>
      <w:pPr>
        <w:pStyle w:val="TextBody"/>
        <w:bidi w:val="0"/>
        <w:spacing w:lineRule="auto" w:line="328" w:before="0" w:after="140"/>
        <w:ind w:left="0" w:right="0" w:hanging="0"/>
        <w:jc w:val="left"/>
        <w:rPr>
          <w:rFonts w:ascii="Arial;Helvetica;sans-serif" w:hAnsi="Arial;Helvetica;sans-serif"/>
          <w:sz w:val="20"/>
        </w:rPr>
      </w:pPr>
      <w:r>
        <w:rPr>
          <w:rFonts w:ascii="Arial;Helvetica;sans-serif" w:hAnsi="Arial;Helvetica;sans-serif"/>
          <w:color w:val="222222"/>
          <w:sz w:val="20"/>
        </w:rPr>
        <w:t xml:space="preserve">GAITHERSBURG, Md., November 5, 2026 (GLOBE NEWSWIRE) -- </w:t>
      </w:r>
      <w:r>
        <w:rPr>
          <w:rFonts w:ascii="Arial;Helvetica;sans-serif" w:hAnsi="Arial;Helvetica;sans-serif"/>
          <w:sz w:val="20"/>
        </w:rPr>
        <w:t>Elutia Inc</w:t>
      </w:r>
      <w:r>
        <w:rPr>
          <w:rFonts w:ascii="Arial;Helvetica;sans-serif" w:hAnsi="Arial;Helvetica;sans-serif"/>
          <w:color w:val="222222"/>
          <w:sz w:val="20"/>
        </w:rPr>
        <w:t>. (Nasdaq: ELUT) (“Elutia” or the “Company”), a drug delivery company built to stop surgical infections, today provided a business update and announced financial results for the third quarter ended September 30, 2026.</w:t>
      </w:r>
    </w:p>
    <w:tbl>
      <w:tblPr>
        <w:tblW w:w="10205" w:type="dxa"/>
        <w:jc w:val="left"/>
        <w:tblInd w:w="-30" w:type="dxa"/>
        <w:tblLayout w:type="fixed"/>
        <w:tblCellMar>
          <w:top w:w="0" w:type="dxa"/>
          <w:left w:w="210" w:type="dxa"/>
          <w:bottom w:w="0" w:type="dxa"/>
          <w:right w:w="0" w:type="dxa"/>
        </w:tblCellMar>
      </w:tblPr>
      <w:tblGrid>
        <w:gridCol w:w="10205"/>
      </w:tblGrid>
      <w:tr>
        <w:tc>
          <w:tcPr>
            <w:tcW w:w="10205" w:type="dxa"/>
            <w:tcBorders>
              <w:left w:val="single" w:sz="24" w:space="0" w:color="7AC144"/>
            </w:tcBorders>
            <w:vAlign w:val="center"/>
          </w:tcPr>
          <w:p>
            <w:pPr>
              <w:pStyle w:val="TableContents"/>
              <w:bidi w:val="0"/>
              <w:spacing w:lineRule="auto" w:line="328" w:before="0" w:after="120"/>
              <w:ind w:left="0" w:right="0" w:hanging="0"/>
              <w:jc w:val="left"/>
            </w:pPr>
            <w:r>
              <w:rPr>
                <w:color w:val="222222"/>
              </w:rPr>
              <w:t>“</w:t>
            </w:r>
            <w:r>
              <w:rPr>
                <w:rFonts w:ascii="Arial;Helvetica;sans-serif" w:hAnsi="Arial;Helvetica;sans-serif"/>
                <w:i/>
                <w:color w:val="222222"/>
                <w:sz w:val="20"/>
              </w:rPr>
              <w:t xml:space="preserve">Patients and surgeons have been ignored for too long,” said </w:t>
            </w:r>
            <w:r>
              <w:rPr>
                <w:rFonts w:ascii="Arial;Helvetica;sans-serif" w:hAnsi="Arial;Helvetica;sans-serif"/>
                <w:i/>
                <w:sz w:val="20"/>
              </w:rPr>
              <w:t>Dr. Randy Mills</w:t>
            </w:r>
            <w:r>
              <w:rPr>
                <w:rFonts w:ascii="Arial;Helvetica;sans-serif" w:hAnsi="Arial;Helvetica;sans-serif"/>
                <w:i/>
                <w:color w:val="222222"/>
                <w:sz w:val="20"/>
              </w:rPr>
              <w:t>, Chief Executive Officer of Elutia. “Walking the ASPS annual meeting in Houston, I was astonished by the disconnect between what surgeons are worried about and what industry is offering. Infection came up in all 11 breast research sessions, with rates reported as high as 23%. Those numbers tell the story of an unacceptable problem and the definition of a serious unmet medical need.</w:t>
            </w:r>
          </w:p>
          <w:p>
            <w:pPr>
              <w:pStyle w:val="TableContents"/>
              <w:bidi w:val="0"/>
              <w:spacing w:lineRule="auto" w:line="328" w:before="0" w:after="120"/>
              <w:ind w:left="0" w:right="0" w:hanging="0"/>
              <w:jc w:val="left"/>
              <w:rPr>
                <w:color w:val="222222"/>
              </w:rPr>
            </w:pPr>
            <w:r>
              <w:rPr>
                <w:color w:val="222222"/>
              </w:rPr>
              <w:t>“</w:t>
            </w:r>
            <w:r>
              <w:rPr>
                <w:rFonts w:ascii="Arial;Helvetica;sans-serif" w:hAnsi="Arial;Helvetica;sans-serif"/>
                <w:i/>
                <w:color w:val="222222"/>
                <w:sz w:val="20"/>
              </w:rPr>
              <w:t>We are out to solve it, and will take the next step this quarter with the NXT-41x FDA submission. After adding $26 million without an equity offering, we believe we have the technology, the team, and the capital to advance NXT-41x toward anticipated clearance in the first half of 2027 and through the first full year of commercial launch in 2028. In doing so, we will help patients thrive without compromise.”</w:t>
            </w:r>
          </w:p>
        </w:tc>
      </w:tr>
    </w:tbl>
    <w:p>
      <w:pPr>
        <w:pStyle w:val="TextBody"/>
        <w:bidi w:val="0"/>
        <w:spacing w:before="0" w:after="80"/>
        <w:ind w:left="0" w:right="0" w:hanging="0"/>
        <w:jc w:val="left"/>
      </w:pPr>
      <w:r>
        <w:t>​</w:t>
      </w:r>
    </w:p>
    <w:p>
      <w:pPr>
        <w:pStyle w:val="TextBody"/>
        <w:pBdr>
          <w:bottom w:val="single" w:sz="8" w:space="3" w:color="7AC144"/>
        </w:pBdr>
        <w:bidi w:val="0"/>
        <w:spacing w:before="220" w:after="110"/>
        <w:ind w:left="0" w:right="0" w:hanging="0"/>
        <w:jc w:val="left"/>
        <w:rPr>
          <w:rFonts w:ascii="Arial;Helvetica;sans-serif" w:hAnsi="Arial;Helvetica;sans-serif"/>
          <w:b/>
          <w:color w:val="1B2E5A"/>
          <w:sz w:val="21"/>
        </w:rPr>
      </w:pPr>
      <w:r>
        <w:rPr>
          <w:rFonts w:ascii="Arial;Helvetica;sans-serif" w:hAnsi="Arial;Helvetica;sans-serif"/>
          <w:b/>
          <w:color w:val="1B2E5A"/>
          <w:sz w:val="21"/>
        </w:rPr>
        <w:t>Infection Has Become a Major Focus at ASPS. No Commercial Product Addresses It.</w:t>
      </w:r>
    </w:p>
    <w:p>
      <w:pPr>
        <w:pStyle w:val="TextBody"/>
        <w:bidi w:val="0"/>
        <w:spacing w:lineRule="auto" w:line="328" w:before="0" w:after="140"/>
        <w:ind w:left="0" w:right="0" w:hanging="0"/>
        <w:jc w:val="left"/>
        <w:rPr>
          <w:rFonts w:ascii="Arial;Helvetica;sans-serif" w:hAnsi="Arial;Helvetica;sans-serif"/>
          <w:color w:val="222222"/>
          <w:sz w:val="20"/>
        </w:rPr>
      </w:pPr>
      <w:r>
        <w:rPr>
          <w:rFonts w:ascii="Arial;Helvetica;sans-serif" w:hAnsi="Arial;Helvetica;sans-serif"/>
          <w:color w:val="222222"/>
          <w:sz w:val="20"/>
        </w:rPr>
        <w:t>At Plastic Surgery The Meeting 2026 (PSTM 2026), the annual meeting of the American Society of Plastic Surgeons held October 15 to 18 in Houston, the program highlighted a major gap between the prevalence and severity of surgical infections and the lack of products to address them.</w:t>
      </w:r>
    </w:p>
    <w:p>
      <w:pPr>
        <w:pStyle w:val="TextBody"/>
        <w:bidi w:val="0"/>
        <w:spacing w:lineRule="auto" w:line="328" w:before="0" w:after="140"/>
        <w:ind w:left="0" w:right="0" w:hanging="0"/>
        <w:jc w:val="left"/>
        <w:rPr>
          <w:rFonts w:ascii="Arial;Helvetica;sans-serif" w:hAnsi="Arial;Helvetica;sans-serif"/>
          <w:color w:val="222222"/>
          <w:sz w:val="20"/>
        </w:rPr>
      </w:pPr>
      <w:r>
        <w:rPr>
          <w:rFonts w:ascii="Arial;Helvetica;sans-serif" w:hAnsi="Arial;Helvetica;sans-serif"/>
          <w:color w:val="222222"/>
          <w:sz w:val="20"/>
        </w:rPr>
        <w:t>Infection risk and prevention were discussed in all 11 breast research sessions, and 70 of 135 (51.9%) oral research presentations addressed infection.</w:t>
      </w:r>
    </w:p>
    <w:p>
      <w:pPr>
        <w:pStyle w:val="TextBody"/>
        <w:bidi w:val="0"/>
        <w:spacing w:lineRule="auto" w:line="328" w:before="0" w:after="80"/>
        <w:ind w:left="0" w:right="0" w:hanging="0"/>
        <w:jc w:val="left"/>
        <w:rPr>
          <w:rFonts w:ascii="Arial;Helvetica;sans-serif" w:hAnsi="Arial;Helvetica;sans-serif"/>
          <w:sz w:val="20"/>
        </w:rPr>
      </w:pPr>
      <w:r>
        <w:rPr>
          <w:rFonts w:ascii="Arial;Helvetica;sans-serif" w:hAnsi="Arial;Helvetica;sans-serif"/>
          <w:b/>
          <w:color w:val="222222"/>
          <w:sz w:val="20"/>
        </w:rPr>
        <w:t>Infection is common despite current best practices.</w:t>
      </w:r>
      <w:r>
        <w:rPr>
          <w:rFonts w:ascii="Arial;Helvetica;sans-serif" w:hAnsi="Arial;Helvetica;sans-serif"/>
          <w:color w:val="222222"/>
          <w:sz w:val="20"/>
        </w:rPr>
        <w:t xml:space="preserve"> Independent investigators presented data at the meeting showing:</w:t>
      </w:r>
    </w:p>
    <w:p>
      <w:pPr>
        <w:pStyle w:val="HorizontalLine"/>
        <w:pBdr>
          <w:bottom w:val="double" w:sz="2" w:space="0" w:color="808080"/>
        </w:pBdr>
        <w:bidi w:val="0"/>
        <w:spacing w:before="0" w:after="283"/>
        <w:jc w:val="left"/>
      </w:pPr>
      <w:r/>
    </w:p>
    <w:p>
      <w:pPr>
        <w:pStyle w:val="TextBody"/>
        <w:bidi w:val="0"/>
        <w:spacing w:before="0" w:after="0"/>
        <w:ind w:left="0" w:right="0" w:hanging="0"/>
        <w:jc w:val="right"/>
      </w:pPr>
      <w: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In a study of 1,094 breasts undergoing immediate implant-based surgery, infection rates were 17.6% in women who did not receive chemotherapy before surgery and 23.0% in those who did (Lopes A, et al., PSTM 2026).</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Another study of 419 breasts treated with perioperative and postoperative antibiotics found infection rates of 19.3% (Fernandez K et al., PSTM 2026).</w:t>
            </w:r>
          </w:p>
        </w:tc>
      </w:tr>
    </w:tbl>
    <w:p>
      <w:pPr>
        <w:pStyle w:val="TextBody"/>
        <w:bidi w:val="0"/>
        <w:spacing w:lineRule="auto" w:line="328" w:before="0" w:after="140"/>
        <w:ind w:left="0" w:right="0" w:hanging="0"/>
        <w:jc w:val="left"/>
        <w:rPr>
          <w:rFonts w:ascii="Arial;Helvetica;sans-serif" w:hAnsi="Arial;Helvetica;sans-serif"/>
          <w:sz w:val="20"/>
        </w:rPr>
      </w:pPr>
      <w:r>
        <w:rPr>
          <w:rFonts w:ascii="Arial;Helvetica;sans-serif" w:hAnsi="Arial;Helvetica;sans-serif"/>
          <w:b/>
          <w:color w:val="222222"/>
          <w:sz w:val="20"/>
        </w:rPr>
        <w:t>More systemic antibiotics do not help.</w:t>
      </w:r>
      <w:r>
        <w:rPr>
          <w:rFonts w:ascii="Arial;Helvetica;sans-serif" w:hAnsi="Arial;Helvetica;sans-serif"/>
          <w:color w:val="222222"/>
          <w:sz w:val="20"/>
        </w:rPr>
        <w:t xml:space="preserve"> In a multicenter study of 4,647 patients at 170 healthcare organizations, extending antibiotics past 24 hours did not reduce infection at 30, 60 or 90 days (Yadav K, et al., PSTM 2026).</w:t>
      </w:r>
    </w:p>
    <w:p>
      <w:pPr>
        <w:pStyle w:val="TextBody"/>
        <w:bidi w:val="0"/>
        <w:spacing w:lineRule="auto" w:line="328" w:before="0" w:after="140"/>
        <w:ind w:left="0" w:right="0" w:hanging="0"/>
        <w:jc w:val="left"/>
        <w:rPr>
          <w:rFonts w:ascii="Arial;Helvetica;sans-serif" w:hAnsi="Arial;Helvetica;sans-serif"/>
          <w:sz w:val="20"/>
        </w:rPr>
      </w:pPr>
      <w:r>
        <w:rPr>
          <w:rFonts w:ascii="Arial;Helvetica;sans-serif" w:hAnsi="Arial;Helvetica;sans-serif"/>
          <w:b/>
          <w:color w:val="222222"/>
          <w:sz w:val="20"/>
        </w:rPr>
        <w:t>The gap on the floor.</w:t>
      </w:r>
      <w:r>
        <w:rPr>
          <w:rFonts w:ascii="Arial;Helvetica;sans-serif" w:hAnsi="Arial;Helvetica;sans-serif"/>
          <w:color w:val="222222"/>
          <w:sz w:val="20"/>
        </w:rPr>
        <w:t xml:space="preserve"> Despite the intense focus on infection across the scientific program, no commercially available product on the exhibit floor addressed infection in breast surgery. Elutia is developing NXT-41x to address this gap and deliver localized antibiotic therapy directly to the surgical site in reconstructive surgery.</w:t>
      </w:r>
    </w:p>
    <w:p>
      <w:pPr>
        <w:pStyle w:val="TextBody"/>
        <w:bidi w:val="0"/>
        <w:spacing w:lineRule="auto" w:line="328" w:before="0" w:after="140"/>
        <w:ind w:left="0" w:right="0" w:hanging="0"/>
        <w:jc w:val="left"/>
      </w:pPr>
      <w:r>
        <w:t>​</w:t>
      </w:r>
    </w:p>
    <w:p>
      <w:pPr>
        <w:pStyle w:val="TextBody"/>
        <w:pBdr>
          <w:bottom w:val="single" w:sz="8" w:space="3" w:color="7AC144"/>
        </w:pBdr>
        <w:bidi w:val="0"/>
        <w:spacing w:before="220" w:after="110"/>
        <w:ind w:left="0" w:right="0" w:hanging="0"/>
        <w:jc w:val="left"/>
        <w:rPr>
          <w:rFonts w:ascii="Arial;Helvetica;sans-serif" w:hAnsi="Arial;Helvetica;sans-serif"/>
          <w:b/>
          <w:color w:val="1B2E5A"/>
          <w:sz w:val="21"/>
        </w:rPr>
      </w:pPr>
      <w:r>
        <w:rPr>
          <w:rFonts w:ascii="Arial;Helvetica;sans-serif" w:hAnsi="Arial;Helvetica;sans-serif"/>
          <w:b/>
          <w:color w:val="1B2E5A"/>
          <w:sz w:val="21"/>
        </w:rPr>
        <w:t>NXT-41x Heads to FDA This Quarter</w:t>
      </w:r>
    </w:p>
    <w:p>
      <w:pPr>
        <w:pStyle w:val="TextBody"/>
        <w:bidi w:val="0"/>
        <w:spacing w:lineRule="auto" w:line="328" w:before="0" w:after="140"/>
        <w:ind w:left="0" w:right="0" w:hanging="0"/>
        <w:jc w:val="left"/>
        <w:rPr>
          <w:rFonts w:ascii="Arial;Helvetica;sans-serif" w:hAnsi="Arial;Helvetica;sans-serif"/>
          <w:color w:val="222222"/>
          <w:sz w:val="20"/>
        </w:rPr>
      </w:pPr>
      <w:r>
        <w:rPr>
          <w:rFonts w:ascii="Arial;Helvetica;sans-serif" w:hAnsi="Arial;Helvetica;sans-serif"/>
          <w:color w:val="222222"/>
          <w:sz w:val="20"/>
        </w:rPr>
        <w:t>The FDA review of NXT-41 (biologic surgical matrix without drug) remains on track, with a clearance decision anticipated this quarter. Elutia also intends to submit NXT-41x, its leading drug delivery program, to FDA in the fourth quarter of 2026, following positive results from a key performance study supporting the submission.</w:t>
      </w:r>
    </w:p>
    <w:p>
      <w:pPr>
        <w:pStyle w:val="TextBody"/>
        <w:bidi w:val="0"/>
        <w:spacing w:lineRule="auto" w:line="328" w:before="0" w:after="140"/>
        <w:ind w:left="0" w:right="0" w:hanging="0"/>
        <w:jc w:val="left"/>
        <w:rPr>
          <w:rFonts w:ascii="Arial;Helvetica;sans-serif" w:hAnsi="Arial;Helvetica;sans-serif"/>
          <w:sz w:val="20"/>
        </w:rPr>
      </w:pPr>
      <w:r>
        <w:rPr>
          <w:rFonts w:ascii="Arial;Helvetica;sans-serif" w:hAnsi="Arial;Helvetica;sans-serif"/>
          <w:b/>
          <w:color w:val="222222"/>
          <w:sz w:val="20"/>
        </w:rPr>
        <w:t>NXT-41x demonstrates potent antibacterial activity.</w:t>
      </w:r>
      <w:r>
        <w:rPr>
          <w:rFonts w:ascii="Arial;Helvetica;sans-serif" w:hAnsi="Arial;Helvetica;sans-serif"/>
          <w:color w:val="222222"/>
          <w:sz w:val="20"/>
        </w:rPr>
        <w:t xml:space="preserve"> NXT-41x is a biologic matrix with an antibiotic coating on one side only. In a GLP rabbit study of infection, the bacterial challenge was applied directly to the uncoated side, a worst-case test. NXT-41x met its predetermined performance endpoints, achieving complete eradication of an 8-log MRSA and a 6-log E. coli challenge, with no viable bacteria recovered from either the matrix or the surrounding tissue. By contrast, 100% of animals implanted with a matrix without antibiotics developed heavy colonization by the offending pathogens. </w:t>
      </w:r>
      <w:r>
        <w:rPr>
          <w:rFonts w:ascii="Arial;Helvetica;sans-serif" w:hAnsi="Arial;Helvetica;sans-serif"/>
          <w:sz w:val="20"/>
        </w:rPr>
        <w:t>MRSA, short for methicillin-resistant Staphylococcus aureus, is a highly drug-resistant form of the most common pathogen in breast surgery, making these results especially relevant to surgeons and patients.</w:t>
      </w:r>
    </w:p>
    <w:p>
      <w:pPr>
        <w:pStyle w:val="TextBody"/>
        <w:bidi w:val="0"/>
        <w:spacing w:lineRule="auto" w:line="328" w:before="0" w:after="140"/>
        <w:ind w:left="0" w:right="0" w:hanging="0"/>
        <w:jc w:val="left"/>
        <w:rPr>
          <w:rFonts w:ascii="Arial;Helvetica;sans-serif" w:hAnsi="Arial;Helvetica;sans-serif"/>
          <w:sz w:val="20"/>
        </w:rPr>
      </w:pPr>
      <w:r>
        <w:rPr>
          <w:rFonts w:ascii="Arial;Helvetica;sans-serif" w:hAnsi="Arial;Helvetica;sans-serif"/>
          <w:b/>
          <w:color w:val="222222"/>
          <w:sz w:val="20"/>
        </w:rPr>
        <w:t>Surgeons back the approach.</w:t>
      </w:r>
      <w:r>
        <w:rPr>
          <w:rFonts w:ascii="Arial;Helvetica;sans-serif" w:hAnsi="Arial;Helvetica;sans-serif"/>
          <w:color w:val="222222"/>
          <w:sz w:val="20"/>
        </w:rPr>
        <w:t xml:space="preserve"> At PSTM 2026, Elutia held an in-person meeting of its NXT-41x Surgeon Steering Committee, which provided very positive feedback on the design and performance of NXT-41x. Surgeons were clear: “It’s about the drugs being in the right place at the right time.” For NXT-41x, the right place means powerful antibiotics uniformly distributed across the entire surgical site, where systemic antibiotics fail to reach. The right time means 30 days of coverage, through drain removal.</w:t>
      </w:r>
    </w:p>
    <w:p>
      <w:pPr>
        <w:pStyle w:val="TextBody"/>
        <w:bidi w:val="0"/>
        <w:spacing w:lineRule="auto" w:line="328" w:before="0" w:after="140"/>
        <w:ind w:left="0" w:right="0" w:hanging="0"/>
        <w:jc w:val="left"/>
        <w:rPr>
          <w:rFonts w:ascii="Arial;Helvetica;sans-serif" w:hAnsi="Arial;Helvetica;sans-serif"/>
          <w:sz w:val="20"/>
        </w:rPr>
      </w:pPr>
      <w:r>
        <w:rPr>
          <w:rFonts w:ascii="Arial;Helvetica;sans-serif" w:hAnsi="Arial;Helvetica;sans-serif"/>
          <w:b/>
          <w:color w:val="222222"/>
          <w:sz w:val="20"/>
        </w:rPr>
        <w:t>Built for launch.</w:t>
      </w:r>
      <w:r>
        <w:rPr>
          <w:rFonts w:ascii="Arial;Helvetica;sans-serif" w:hAnsi="Arial;Helvetica;sans-serif"/>
          <w:color w:val="222222"/>
          <w:sz w:val="20"/>
        </w:rPr>
        <w:t xml:space="preserve"> Elutia’s automated drug-coating system is positioned for commercial production, with at least $300 million in revenue capacity, and is designed to support gross margins above 80% at scale.</w:t>
      </w:r>
    </w:p>
    <w:p>
      <w:pPr>
        <w:pStyle w:val="TextBody"/>
        <w:bidi w:val="0"/>
        <w:spacing w:lineRule="auto" w:line="328" w:before="0" w:after="140"/>
        <w:ind w:left="0" w:right="0" w:hanging="0"/>
        <w:jc w:val="left"/>
      </w:pPr>
      <w:r>
        <w:t>​</w:t>
      </w:r>
    </w:p>
    <w:p>
      <w:pPr>
        <w:pStyle w:val="TextBody"/>
        <w:pBdr>
          <w:bottom w:val="single" w:sz="8" w:space="3" w:color="7AC144"/>
        </w:pBdr>
        <w:bidi w:val="0"/>
        <w:spacing w:before="220" w:after="110"/>
        <w:ind w:left="0" w:right="0" w:hanging="0"/>
        <w:jc w:val="left"/>
        <w:rPr>
          <w:rFonts w:ascii="Arial;Helvetica;sans-serif" w:hAnsi="Arial;Helvetica;sans-serif"/>
          <w:b/>
          <w:color w:val="1B2E5A"/>
          <w:sz w:val="21"/>
        </w:rPr>
      </w:pPr>
      <w:r>
        <w:rPr>
          <w:rFonts w:ascii="Arial;Helvetica;sans-serif" w:hAnsi="Arial;Helvetica;sans-serif"/>
          <w:b/>
          <w:color w:val="1B2E5A"/>
          <w:sz w:val="21"/>
        </w:rPr>
        <w:t>Funding Milestones Achieved</w:t>
      </w:r>
    </w:p>
    <w:p>
      <w:pPr>
        <w:pStyle w:val="TextBody"/>
        <w:bidi w:val="0"/>
        <w:spacing w:lineRule="auto" w:line="328" w:before="0" w:after="140"/>
        <w:ind w:left="0" w:right="0" w:hanging="0"/>
        <w:jc w:val="left"/>
        <w:rPr>
          <w:rFonts w:ascii="Arial;Helvetica;sans-serif" w:hAnsi="Arial;Helvetica;sans-serif"/>
          <w:color w:val="222222"/>
          <w:sz w:val="20"/>
        </w:rPr>
      </w:pPr>
      <w:r>
        <w:rPr>
          <w:rFonts w:ascii="Arial;Helvetica;sans-serif" w:hAnsi="Arial;Helvetica;sans-serif"/>
          <w:color w:val="222222"/>
          <w:sz w:val="20"/>
        </w:rPr>
        <w:t>Elutia delivered all three funding milestones it named in August, on schedule: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pPr>
            <w:r>
              <w:rPr>
                <w:rFonts w:ascii="Arial;Helvetica;sans-serif" w:hAnsi="Arial;Helvetica;sans-serif"/>
                <w:b/>
                <w:i w:val="false"/>
                <w:caps w:val="false"/>
                <w:smallCaps w:val="false"/>
                <w:color w:val="222222"/>
                <w:sz w:val="20"/>
              </w:rPr>
              <w:t>October 1:</w:t>
            </w:r>
            <w:r>
              <w:rPr>
                <w:caps w:val="false"/>
                <w:smallCaps w:val="false"/>
                <w:color w:val="222222"/>
              </w:rPr>
              <w:t xml:space="preserve"> </w:t>
            </w:r>
            <w:r>
              <w:rPr>
                <w:rFonts w:ascii="Arial;Helvetica;sans-serif" w:hAnsi="Arial;Helvetica;sans-serif"/>
                <w:b w:val="false"/>
                <w:i w:val="false"/>
                <w:caps w:val="false"/>
                <w:smallCaps w:val="false"/>
                <w:color w:val="222222"/>
                <w:sz w:val="20"/>
              </w:rPr>
              <w:t>Boston Scientific released the full $8 million held in escrow from the 2025 sale of the BioEnvelope business, with no claims.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pPr>
            <w:r>
              <w:rPr>
                <w:rFonts w:ascii="Arial;Helvetica;sans-serif" w:hAnsi="Arial;Helvetica;sans-serif"/>
                <w:b/>
                <w:i w:val="false"/>
                <w:caps w:val="false"/>
                <w:smallCaps w:val="false"/>
                <w:color w:val="222222"/>
                <w:sz w:val="20"/>
              </w:rPr>
              <w:t>August 17:</w:t>
            </w:r>
            <w:r>
              <w:rPr>
                <w:caps w:val="false"/>
                <w:smallCaps w:val="false"/>
                <w:color w:val="222222"/>
              </w:rPr>
              <w:t xml:space="preserve"> </w:t>
            </w:r>
            <w:r>
              <w:rPr>
                <w:rFonts w:ascii="Arial;Helvetica;sans-serif" w:hAnsi="Arial;Helvetica;sans-serif"/>
                <w:b w:val="false"/>
                <w:i w:val="false"/>
                <w:caps w:val="false"/>
                <w:smallCaps w:val="false"/>
                <w:color w:val="222222"/>
                <w:sz w:val="20"/>
              </w:rPr>
              <w:t>Elutia closed the sale of its SimpliDerm business to Cellution Biologics Inc., receiving $8 million at closing. Elutia is also eligible to receive up to $3 million in contingent technology transfer and commercial milestone payments over 18 months.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pPr>
            <w:r>
              <w:rPr>
                <w:rFonts w:ascii="Arial;Helvetica;sans-serif" w:hAnsi="Arial;Helvetica;sans-serif"/>
                <w:b/>
                <w:i w:val="false"/>
                <w:caps w:val="false"/>
                <w:smallCaps w:val="false"/>
                <w:color w:val="222222"/>
                <w:sz w:val="20"/>
              </w:rPr>
              <w:t>August 11:</w:t>
            </w:r>
            <w:r>
              <w:rPr>
                <w:caps w:val="false"/>
                <w:smallCaps w:val="false"/>
                <w:color w:val="222222"/>
              </w:rPr>
              <w:t xml:space="preserve"> </w:t>
            </w:r>
            <w:r>
              <w:rPr>
                <w:rFonts w:ascii="Arial;Helvetica;sans-serif" w:hAnsi="Arial;Helvetica;sans-serif"/>
                <w:b w:val="false"/>
                <w:i w:val="false"/>
                <w:caps w:val="false"/>
                <w:smallCaps w:val="false"/>
                <w:color w:val="222222"/>
                <w:sz w:val="20"/>
              </w:rPr>
              <w:t>Elutia closed a $15 million loan facility with Avenue Capital Group, with $10 million funded at closing and an additional $5 million available following NXT-41x FDA clearance.</w:t>
            </w:r>
          </w:p>
        </w:tc>
      </w:tr>
    </w:tbl>
    <w:p>
      <w:pPr>
        <w:pStyle w:val="TextBody"/>
        <w:bidi w:val="0"/>
        <w:spacing w:lineRule="auto" w:line="328"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 xml:space="preserve">Collectively, these transactions added $26 million in 51 days, without an equity offering. The Company believes it has sufficient funding through NXT-41x clearance and launch. Upside to that runway includes the additional $5 </w:t>
      </w:r>
    </w:p>
    <w:p>
      <w:pPr>
        <w:pStyle w:val="HorizontalLine"/>
        <w:pBdr>
          <w:bottom w:val="double" w:sz="2" w:space="0" w:color="808080"/>
        </w:pBdr>
        <w:bidi w:val="0"/>
        <w:spacing w:before="0" w:after="283"/>
        <w:jc w:val="left"/>
      </w:pPr>
      <w:r/>
    </w:p>
    <w:p>
      <w:pPr>
        <w:pStyle w:val="TextBody"/>
        <w:bidi w:val="0"/>
        <w:spacing w:before="0" w:after="0"/>
        <w:ind w:left="0" w:right="0" w:hanging="0"/>
        <w:jc w:val="right"/>
      </w:pPr>
      <w:r>
        <w:t>​</w:t>
      </w:r>
    </w:p>
    <w:p>
      <w:pPr>
        <w:pStyle w:val="TextBody"/>
        <w:bidi w:val="0"/>
        <w:spacing w:lineRule="auto" w:line="328" w:before="0" w:after="140"/>
        <w:ind w:left="0" w:right="0" w:hanging="0"/>
        <w:jc w:val="left"/>
        <w:rPr>
          <w:rFonts w:ascii="Arial;Helvetica;sans-serif" w:hAnsi="Arial;Helvetica;sans-serif"/>
          <w:color w:val="222222"/>
          <w:sz w:val="20"/>
        </w:rPr>
      </w:pPr>
      <w:r>
        <w:rPr>
          <w:rFonts w:ascii="Arial;Helvetica;sans-serif" w:hAnsi="Arial;Helvetica;sans-serif"/>
          <w:color w:val="222222"/>
          <w:sz w:val="20"/>
        </w:rPr>
        <w:t>million from Avenue Capital, up to $3 million in SimpliDerm milestone payments, and potential proceeds from the sale of the Cardiovascular business.</w:t>
      </w:r>
    </w:p>
    <w:p>
      <w:pPr>
        <w:pStyle w:val="TextBody"/>
        <w:bidi w:val="0"/>
        <w:spacing w:lineRule="auto" w:line="328" w:before="0" w:after="140"/>
        <w:ind w:left="0" w:right="0" w:hanging="0"/>
        <w:jc w:val="left"/>
        <w:rPr>
          <w:rFonts w:ascii="Arial;Helvetica;sans-serif" w:hAnsi="Arial;Helvetica;sans-serif"/>
          <w:color w:val="222222"/>
          <w:sz w:val="20"/>
        </w:rPr>
      </w:pPr>
      <w:r>
        <w:rPr>
          <w:rFonts w:ascii="Arial;Helvetica;sans-serif" w:hAnsi="Arial;Helvetica;sans-serif"/>
          <w:color w:val="222222"/>
          <w:sz w:val="20"/>
        </w:rPr>
        <w:t>Cardiovascular sales grew 20% to $1.1 million in the third quarter, up from $0.9 million in the third quarter of 2025, and increased 65% for the first nine months, with a third quarter adjusted gross margin (non-GAAP) of 85%. The strategic process for the business remains on track for 2026. As the business grows, Elutia is considering a transaction only on terms that reflect its value. Elutia’s current cash runway through the anticipated first full year of NXT-41x commercialization does not depend on a Cardiovascular transaction.</w:t>
      </w:r>
    </w:p>
    <w:p>
      <w:pPr>
        <w:pStyle w:val="TextBody"/>
        <w:pBdr/>
        <w:bidi w:val="0"/>
        <w:spacing w:before="220" w:after="0"/>
        <w:ind w:left="0" w:right="0" w:hanging="0"/>
        <w:jc w:val="left"/>
        <w:rPr>
          <w:color w:val="1B2E5A"/>
        </w:rPr>
      </w:pPr>
      <w:r>
        <w:rPr>
          <w:color w:val="1B2E5A"/>
        </w:rPr>
        <w:t>​</w:t>
      </w:r>
    </w:p>
    <w:p>
      <w:pPr>
        <w:pStyle w:val="TextBody"/>
        <w:pBdr>
          <w:bottom w:val="single" w:sz="8" w:space="3" w:color="7AC144"/>
        </w:pBdr>
        <w:bidi w:val="0"/>
        <w:spacing w:before="0" w:after="110"/>
        <w:ind w:left="0" w:right="0" w:hanging="0"/>
        <w:jc w:val="left"/>
        <w:rPr>
          <w:rFonts w:ascii="Arial;Helvetica;sans-serif" w:hAnsi="Arial;Helvetica;sans-serif"/>
          <w:b/>
          <w:color w:val="1B2E5A"/>
          <w:sz w:val="21"/>
        </w:rPr>
      </w:pPr>
      <w:r>
        <w:rPr>
          <w:rFonts w:ascii="Arial;Helvetica;sans-serif" w:hAnsi="Arial;Helvetica;sans-serif"/>
          <w:b/>
          <w:color w:val="1B2E5A"/>
          <w:sz w:val="21"/>
        </w:rPr>
        <w:t>Funded Catalysts</w:t>
      </w:r>
    </w:p>
    <w:tbl>
      <w:tblPr>
        <w:tblW w:w="6362" w:type="dxa"/>
        <w:jc w:val="left"/>
        <w:tblInd w:w="0" w:type="dxa"/>
        <w:tblLayout w:type="fixed"/>
        <w:tblCellMar>
          <w:top w:w="60" w:type="dxa"/>
          <w:left w:w="0" w:type="dxa"/>
          <w:bottom w:w="60" w:type="dxa"/>
          <w:right w:w="0" w:type="dxa"/>
        </w:tblCellMar>
      </w:tblPr>
      <w:tblGrid>
        <w:gridCol w:w="4636"/>
        <w:gridCol w:w="1726"/>
      </w:tblGrid>
      <w:tr>
        <w:tc>
          <w:tcPr>
            <w:tcW w:w="4636" w:type="dxa"/>
            <w:tcBorders>
              <w:top w:val="single" w:sz="2" w:space="0" w:color="D5DADD"/>
              <w:bottom w:val="single" w:sz="2" w:space="0" w:color="D5DADD"/>
            </w:tcBorders>
            <w:shd w:fill="1B2E5A" w:val="clear"/>
            <w:vAlign w:val="center"/>
          </w:tcPr>
          <w:p>
            <w:pPr>
              <w:pStyle w:val="TableHeading"/>
              <w:bidi w:val="0"/>
              <w:spacing w:before="0" w:after="0"/>
              <w:ind w:left="0" w:right="0" w:hanging="0"/>
              <w:jc w:val="left"/>
              <w:rPr>
                <w:rFonts w:ascii="Arial;Helvetica;sans-serif" w:hAnsi="Arial;Helvetica;sans-serif"/>
                <w:b/>
                <w:color w:val="FFFFFF"/>
                <w:sz w:val="19"/>
              </w:rPr>
            </w:pPr>
            <w:r>
              <w:rPr>
                <w:rFonts w:ascii="Arial;Helvetica;sans-serif" w:hAnsi="Arial;Helvetica;sans-serif"/>
                <w:b/>
                <w:color w:val="FFFFFF"/>
                <w:sz w:val="19"/>
              </w:rPr>
              <w:t>Milestone</w:t>
            </w:r>
          </w:p>
        </w:tc>
        <w:tc>
          <w:tcPr>
            <w:tcW w:w="1726" w:type="dxa"/>
            <w:tcBorders>
              <w:top w:val="single" w:sz="2" w:space="0" w:color="D5DADD"/>
              <w:bottom w:val="single" w:sz="2" w:space="0" w:color="D5DADD"/>
            </w:tcBorders>
            <w:shd w:fill="1B2E5A" w:val="clear"/>
            <w:vAlign w:val="center"/>
          </w:tcPr>
          <w:p>
            <w:pPr>
              <w:pStyle w:val="TableHeading"/>
              <w:bidi w:val="0"/>
              <w:spacing w:before="0" w:after="0"/>
              <w:ind w:left="0" w:right="0" w:hanging="0"/>
              <w:jc w:val="left"/>
              <w:rPr>
                <w:rFonts w:ascii="Arial;Helvetica;sans-serif" w:hAnsi="Arial;Helvetica;sans-serif"/>
                <w:b/>
                <w:color w:val="FFFFFF"/>
                <w:sz w:val="19"/>
              </w:rPr>
            </w:pPr>
            <w:r>
              <w:rPr>
                <w:rFonts w:ascii="Arial;Helvetica;sans-serif" w:hAnsi="Arial;Helvetica;sans-serif"/>
                <w:b/>
                <w:color w:val="FFFFFF"/>
                <w:sz w:val="19"/>
              </w:rPr>
              <w:t>Expected Timing</w:t>
            </w:r>
          </w:p>
        </w:tc>
      </w:tr>
      <w:tr>
        <w:tc>
          <w:tcPr>
            <w:tcW w:w="4636" w:type="dxa"/>
            <w:tcBorders>
              <w:top w:val="single" w:sz="2" w:space="0" w:color="D5DADD"/>
              <w:bottom w:val="single" w:sz="2" w:space="0" w:color="D5DADD"/>
            </w:tcBorders>
            <w:vAlign w:val="center"/>
          </w:tcPr>
          <w:p>
            <w:pPr>
              <w:pStyle w:val="TableContents"/>
              <w:bidi w:val="0"/>
              <w:spacing w:before="0" w:after="0"/>
              <w:ind w:left="0" w:right="0" w:hanging="0"/>
              <w:jc w:val="left"/>
              <w:rPr>
                <w:rFonts w:ascii="Arial;Helvetica;sans-serif" w:hAnsi="Arial;Helvetica;sans-serif"/>
                <w:color w:val="222222"/>
                <w:sz w:val="19"/>
              </w:rPr>
            </w:pPr>
            <w:r>
              <w:rPr>
                <w:rFonts w:ascii="Arial;Helvetica;sans-serif" w:hAnsi="Arial;Helvetica;sans-serif"/>
                <w:color w:val="222222"/>
                <w:sz w:val="19"/>
              </w:rPr>
              <w:t>Avenue loan, SimpliDerm close, $8 million holdback</w:t>
            </w:r>
          </w:p>
        </w:tc>
        <w:tc>
          <w:tcPr>
            <w:tcW w:w="1726" w:type="dxa"/>
            <w:tcBorders>
              <w:top w:val="single" w:sz="2" w:space="0" w:color="D5DADD"/>
              <w:bottom w:val="single" w:sz="2" w:space="0" w:color="D5DADD"/>
            </w:tcBorders>
            <w:vAlign w:val="center"/>
          </w:tcPr>
          <w:p>
            <w:pPr>
              <w:pStyle w:val="TableContents"/>
              <w:bidi w:val="0"/>
              <w:spacing w:before="0" w:after="0"/>
              <w:ind w:left="0" w:right="0" w:hanging="0"/>
              <w:jc w:val="left"/>
              <w:rPr>
                <w:rFonts w:ascii="Arial;Helvetica;sans-serif" w:hAnsi="Arial;Helvetica;sans-serif"/>
                <w:color w:val="222222"/>
                <w:sz w:val="19"/>
              </w:rPr>
            </w:pPr>
            <w:r>
              <w:rPr>
                <w:rFonts w:ascii="Arial;Helvetica;sans-serif" w:hAnsi="Arial;Helvetica;sans-serif"/>
                <w:color w:val="222222"/>
                <w:sz w:val="19"/>
              </w:rPr>
              <w:t>Delivered</w:t>
            </w:r>
          </w:p>
        </w:tc>
      </w:tr>
      <w:tr>
        <w:tc>
          <w:tcPr>
            <w:tcW w:w="4636" w:type="dxa"/>
            <w:tcBorders>
              <w:top w:val="single" w:sz="2" w:space="0" w:color="D5DADD"/>
              <w:bottom w:val="single" w:sz="2" w:space="0" w:color="D5DADD"/>
            </w:tcBorders>
            <w:vAlign w:val="center"/>
          </w:tcPr>
          <w:p>
            <w:pPr>
              <w:pStyle w:val="TableContents"/>
              <w:bidi w:val="0"/>
              <w:spacing w:before="0" w:after="0"/>
              <w:ind w:left="0" w:right="0" w:hanging="0"/>
              <w:jc w:val="left"/>
              <w:rPr>
                <w:rFonts w:ascii="Arial;Helvetica;sans-serif" w:hAnsi="Arial;Helvetica;sans-serif"/>
                <w:color w:val="222222"/>
                <w:sz w:val="19"/>
              </w:rPr>
            </w:pPr>
            <w:r>
              <w:rPr>
                <w:rFonts w:ascii="Arial;Helvetica;sans-serif" w:hAnsi="Arial;Helvetica;sans-serif"/>
                <w:color w:val="222222"/>
                <w:sz w:val="19"/>
              </w:rPr>
              <w:t>NXT-41 FDA clearance decision</w:t>
            </w:r>
          </w:p>
        </w:tc>
        <w:tc>
          <w:tcPr>
            <w:tcW w:w="1726" w:type="dxa"/>
            <w:tcBorders>
              <w:top w:val="single" w:sz="2" w:space="0" w:color="D5DADD"/>
              <w:bottom w:val="single" w:sz="2" w:space="0" w:color="D5DADD"/>
            </w:tcBorders>
            <w:vAlign w:val="center"/>
          </w:tcPr>
          <w:p>
            <w:pPr>
              <w:pStyle w:val="TableContents"/>
              <w:bidi w:val="0"/>
              <w:spacing w:before="0" w:after="0"/>
              <w:ind w:left="0" w:right="0" w:hanging="0"/>
              <w:jc w:val="left"/>
              <w:rPr>
                <w:rFonts w:ascii="Arial;Helvetica;sans-serif" w:hAnsi="Arial;Helvetica;sans-serif"/>
                <w:color w:val="222222"/>
                <w:sz w:val="19"/>
              </w:rPr>
            </w:pPr>
            <w:r>
              <w:rPr>
                <w:rFonts w:ascii="Arial;Helvetica;sans-serif" w:hAnsi="Arial;Helvetica;sans-serif"/>
                <w:color w:val="222222"/>
                <w:sz w:val="19"/>
              </w:rPr>
              <w:t>4Q 2026</w:t>
            </w:r>
          </w:p>
        </w:tc>
      </w:tr>
      <w:tr>
        <w:tc>
          <w:tcPr>
            <w:tcW w:w="4636" w:type="dxa"/>
            <w:tcBorders>
              <w:top w:val="single" w:sz="2" w:space="0" w:color="D5DADD"/>
              <w:bottom w:val="single" w:sz="2" w:space="0" w:color="D5DADD"/>
            </w:tcBorders>
            <w:vAlign w:val="center"/>
          </w:tcPr>
          <w:p>
            <w:pPr>
              <w:pStyle w:val="TableContents"/>
              <w:bidi w:val="0"/>
              <w:spacing w:before="0" w:after="0"/>
              <w:ind w:left="0" w:right="0" w:hanging="0"/>
              <w:jc w:val="left"/>
              <w:rPr>
                <w:rFonts w:ascii="Arial;Helvetica;sans-serif" w:hAnsi="Arial;Helvetica;sans-serif"/>
                <w:color w:val="222222"/>
                <w:sz w:val="19"/>
              </w:rPr>
            </w:pPr>
            <w:r>
              <w:rPr>
                <w:rFonts w:ascii="Arial;Helvetica;sans-serif" w:hAnsi="Arial;Helvetica;sans-serif"/>
                <w:color w:val="222222"/>
                <w:sz w:val="19"/>
              </w:rPr>
              <w:t>NXT-41x FDA submission</w:t>
            </w:r>
          </w:p>
        </w:tc>
        <w:tc>
          <w:tcPr>
            <w:tcW w:w="1726" w:type="dxa"/>
            <w:tcBorders>
              <w:top w:val="single" w:sz="2" w:space="0" w:color="D5DADD"/>
              <w:bottom w:val="single" w:sz="2" w:space="0" w:color="D5DADD"/>
            </w:tcBorders>
            <w:vAlign w:val="center"/>
          </w:tcPr>
          <w:p>
            <w:pPr>
              <w:pStyle w:val="TableContents"/>
              <w:bidi w:val="0"/>
              <w:spacing w:before="0" w:after="0"/>
              <w:ind w:left="0" w:right="0" w:hanging="0"/>
              <w:jc w:val="left"/>
              <w:rPr>
                <w:rFonts w:ascii="Arial;Helvetica;sans-serif" w:hAnsi="Arial;Helvetica;sans-serif"/>
                <w:color w:val="222222"/>
                <w:sz w:val="19"/>
              </w:rPr>
            </w:pPr>
            <w:r>
              <w:rPr>
                <w:rFonts w:ascii="Arial;Helvetica;sans-serif" w:hAnsi="Arial;Helvetica;sans-serif"/>
                <w:color w:val="222222"/>
                <w:sz w:val="19"/>
              </w:rPr>
              <w:t>4Q 2026</w:t>
            </w:r>
          </w:p>
        </w:tc>
      </w:tr>
      <w:tr>
        <w:tc>
          <w:tcPr>
            <w:tcW w:w="4636" w:type="dxa"/>
            <w:tcBorders>
              <w:top w:val="single" w:sz="2" w:space="0" w:color="D5DADD"/>
              <w:bottom w:val="single" w:sz="2" w:space="0" w:color="D5DADD"/>
            </w:tcBorders>
            <w:vAlign w:val="center"/>
          </w:tcPr>
          <w:p>
            <w:pPr>
              <w:pStyle w:val="TableContents"/>
              <w:bidi w:val="0"/>
              <w:spacing w:before="0" w:after="0"/>
              <w:ind w:left="0" w:right="0" w:hanging="0"/>
              <w:jc w:val="left"/>
              <w:rPr>
                <w:rFonts w:ascii="Arial;Helvetica;sans-serif" w:hAnsi="Arial;Helvetica;sans-serif"/>
                <w:color w:val="222222"/>
                <w:sz w:val="19"/>
              </w:rPr>
            </w:pPr>
            <w:r>
              <w:rPr>
                <w:rFonts w:ascii="Arial;Helvetica;sans-serif" w:hAnsi="Arial;Helvetica;sans-serif"/>
                <w:color w:val="222222"/>
                <w:sz w:val="19"/>
              </w:rPr>
              <w:t>Potential Cardiovascular transaction</w:t>
            </w:r>
          </w:p>
        </w:tc>
        <w:tc>
          <w:tcPr>
            <w:tcW w:w="1726" w:type="dxa"/>
            <w:tcBorders>
              <w:top w:val="single" w:sz="2" w:space="0" w:color="D5DADD"/>
              <w:bottom w:val="single" w:sz="2" w:space="0" w:color="D5DADD"/>
            </w:tcBorders>
            <w:vAlign w:val="center"/>
          </w:tcPr>
          <w:p>
            <w:pPr>
              <w:pStyle w:val="TableContents"/>
              <w:bidi w:val="0"/>
              <w:spacing w:before="0" w:after="0"/>
              <w:ind w:left="0" w:right="0" w:hanging="0"/>
              <w:jc w:val="left"/>
              <w:rPr>
                <w:rFonts w:ascii="Arial;Helvetica;sans-serif" w:hAnsi="Arial;Helvetica;sans-serif"/>
                <w:color w:val="222222"/>
                <w:sz w:val="19"/>
              </w:rPr>
            </w:pPr>
            <w:r>
              <w:rPr>
                <w:rFonts w:ascii="Arial;Helvetica;sans-serif" w:hAnsi="Arial;Helvetica;sans-serif"/>
                <w:color w:val="222222"/>
                <w:sz w:val="19"/>
              </w:rPr>
              <w:t>4Q 2026</w:t>
            </w:r>
          </w:p>
        </w:tc>
      </w:tr>
      <w:tr>
        <w:tc>
          <w:tcPr>
            <w:tcW w:w="4636" w:type="dxa"/>
            <w:tcBorders>
              <w:top w:val="single" w:sz="2" w:space="0" w:color="D5DADD"/>
              <w:bottom w:val="single" w:sz="2" w:space="0" w:color="D5DADD"/>
            </w:tcBorders>
            <w:vAlign w:val="center"/>
          </w:tcPr>
          <w:p>
            <w:pPr>
              <w:pStyle w:val="TableContents"/>
              <w:bidi w:val="0"/>
              <w:spacing w:before="0" w:after="0"/>
              <w:ind w:left="0" w:right="0" w:hanging="0"/>
              <w:jc w:val="left"/>
              <w:rPr>
                <w:rFonts w:ascii="Arial;Helvetica;sans-serif" w:hAnsi="Arial;Helvetica;sans-serif"/>
                <w:color w:val="222222"/>
                <w:sz w:val="19"/>
              </w:rPr>
            </w:pPr>
            <w:r>
              <w:rPr>
                <w:rFonts w:ascii="Arial;Helvetica;sans-serif" w:hAnsi="Arial;Helvetica;sans-serif"/>
                <w:color w:val="222222"/>
                <w:sz w:val="19"/>
              </w:rPr>
              <w:t>NXT-41x FDA clearance decision</w:t>
            </w:r>
          </w:p>
        </w:tc>
        <w:tc>
          <w:tcPr>
            <w:tcW w:w="1726" w:type="dxa"/>
            <w:tcBorders>
              <w:top w:val="single" w:sz="2" w:space="0" w:color="D5DADD"/>
              <w:bottom w:val="single" w:sz="2" w:space="0" w:color="D5DADD"/>
            </w:tcBorders>
            <w:vAlign w:val="center"/>
          </w:tcPr>
          <w:p>
            <w:pPr>
              <w:pStyle w:val="TableContents"/>
              <w:bidi w:val="0"/>
              <w:spacing w:before="0" w:after="0"/>
              <w:ind w:left="0" w:right="0" w:hanging="0"/>
              <w:jc w:val="left"/>
              <w:rPr>
                <w:rFonts w:ascii="Arial;Helvetica;sans-serif" w:hAnsi="Arial;Helvetica;sans-serif"/>
                <w:color w:val="222222"/>
                <w:sz w:val="19"/>
              </w:rPr>
            </w:pPr>
            <w:r>
              <w:rPr>
                <w:rFonts w:ascii="Arial;Helvetica;sans-serif" w:hAnsi="Arial;Helvetica;sans-serif"/>
                <w:color w:val="222222"/>
                <w:sz w:val="19"/>
              </w:rPr>
              <w:t>1H 2027</w:t>
            </w:r>
          </w:p>
        </w:tc>
      </w:tr>
      <w:tr>
        <w:tc>
          <w:tcPr>
            <w:tcW w:w="4636" w:type="dxa"/>
            <w:tcBorders>
              <w:top w:val="single" w:sz="2" w:space="0" w:color="D5DADD"/>
              <w:bottom w:val="single" w:sz="2" w:space="0" w:color="D5DADD"/>
            </w:tcBorders>
            <w:vAlign w:val="center"/>
          </w:tcPr>
          <w:p>
            <w:pPr>
              <w:pStyle w:val="TableContents"/>
              <w:bidi w:val="0"/>
              <w:spacing w:before="0" w:after="0"/>
              <w:ind w:left="0" w:right="0" w:hanging="0"/>
              <w:jc w:val="left"/>
              <w:rPr>
                <w:rFonts w:ascii="Arial;Helvetica;sans-serif" w:hAnsi="Arial;Helvetica;sans-serif"/>
                <w:color w:val="222222"/>
                <w:sz w:val="19"/>
              </w:rPr>
            </w:pPr>
            <w:r>
              <w:rPr>
                <w:rFonts w:ascii="Arial;Helvetica;sans-serif" w:hAnsi="Arial;Helvetica;sans-serif"/>
                <w:color w:val="222222"/>
                <w:sz w:val="19"/>
              </w:rPr>
              <w:t>NXT-41x commercial soft launch</w:t>
            </w:r>
          </w:p>
        </w:tc>
        <w:tc>
          <w:tcPr>
            <w:tcW w:w="1726" w:type="dxa"/>
            <w:tcBorders>
              <w:top w:val="single" w:sz="2" w:space="0" w:color="D5DADD"/>
              <w:bottom w:val="single" w:sz="2" w:space="0" w:color="D5DADD"/>
            </w:tcBorders>
            <w:vAlign w:val="center"/>
          </w:tcPr>
          <w:p>
            <w:pPr>
              <w:pStyle w:val="TableContents"/>
              <w:bidi w:val="0"/>
              <w:spacing w:before="0" w:after="0"/>
              <w:ind w:left="0" w:right="0" w:hanging="0"/>
              <w:jc w:val="left"/>
              <w:rPr>
                <w:rFonts w:ascii="Arial;Helvetica;sans-serif" w:hAnsi="Arial;Helvetica;sans-serif"/>
                <w:color w:val="222222"/>
                <w:sz w:val="19"/>
              </w:rPr>
            </w:pPr>
            <w:r>
              <w:rPr>
                <w:rFonts w:ascii="Arial;Helvetica;sans-serif" w:hAnsi="Arial;Helvetica;sans-serif"/>
                <w:color w:val="222222"/>
                <w:sz w:val="19"/>
              </w:rPr>
              <w:t>2H 2027</w:t>
            </w:r>
          </w:p>
        </w:tc>
      </w:tr>
      <w:tr>
        <w:tc>
          <w:tcPr>
            <w:tcW w:w="4636" w:type="dxa"/>
            <w:tcBorders>
              <w:top w:val="single" w:sz="2" w:space="0" w:color="D5DADD"/>
              <w:bottom w:val="single" w:sz="2" w:space="0" w:color="D5DADD"/>
            </w:tcBorders>
            <w:vAlign w:val="center"/>
          </w:tcPr>
          <w:p>
            <w:pPr>
              <w:pStyle w:val="TableContents"/>
              <w:bidi w:val="0"/>
              <w:spacing w:before="0" w:after="0"/>
              <w:ind w:left="0" w:right="0" w:hanging="0"/>
              <w:jc w:val="left"/>
              <w:rPr>
                <w:rFonts w:ascii="Arial;Helvetica;sans-serif" w:hAnsi="Arial;Helvetica;sans-serif"/>
                <w:color w:val="222222"/>
                <w:sz w:val="19"/>
              </w:rPr>
            </w:pPr>
            <w:r>
              <w:rPr>
                <w:rFonts w:ascii="Arial;Helvetica;sans-serif" w:hAnsi="Arial;Helvetica;sans-serif"/>
                <w:color w:val="222222"/>
                <w:sz w:val="19"/>
              </w:rPr>
              <w:t>NXT-41x full commercial launch</w:t>
            </w:r>
          </w:p>
        </w:tc>
        <w:tc>
          <w:tcPr>
            <w:tcW w:w="1726" w:type="dxa"/>
            <w:tcBorders>
              <w:top w:val="single" w:sz="2" w:space="0" w:color="D5DADD"/>
              <w:bottom w:val="single" w:sz="2" w:space="0" w:color="D5DADD"/>
            </w:tcBorders>
            <w:vAlign w:val="center"/>
          </w:tcPr>
          <w:p>
            <w:pPr>
              <w:pStyle w:val="TableContents"/>
              <w:bidi w:val="0"/>
              <w:spacing w:before="0" w:after="0"/>
              <w:ind w:left="0" w:right="0" w:hanging="0"/>
              <w:jc w:val="left"/>
              <w:rPr>
                <w:rFonts w:ascii="Arial;Helvetica;sans-serif" w:hAnsi="Arial;Helvetica;sans-serif"/>
                <w:color w:val="222222"/>
                <w:sz w:val="19"/>
              </w:rPr>
            </w:pPr>
            <w:r>
              <w:rPr>
                <w:rFonts w:ascii="Arial;Helvetica;sans-serif" w:hAnsi="Arial;Helvetica;sans-serif"/>
                <w:color w:val="222222"/>
                <w:sz w:val="19"/>
              </w:rPr>
              <w:t>2028</w:t>
            </w:r>
          </w:p>
        </w:tc>
      </w:tr>
    </w:tbl>
    <w:p>
      <w:pPr>
        <w:pStyle w:val="TextBody"/>
        <w:bidi w:val="0"/>
        <w:spacing w:before="0" w:after="80"/>
        <w:ind w:left="0" w:right="0" w:hanging="0"/>
        <w:jc w:val="left"/>
      </w:pPr>
      <w:r>
        <w:t>​</w:t>
      </w:r>
    </w:p>
    <w:p>
      <w:pPr>
        <w:pStyle w:val="TextBody"/>
        <w:pBdr>
          <w:bottom w:val="single" w:sz="8" w:space="3" w:color="7AC144"/>
        </w:pBdr>
        <w:bidi w:val="0"/>
        <w:spacing w:before="220" w:after="110"/>
        <w:ind w:left="0" w:right="0" w:hanging="0"/>
        <w:jc w:val="left"/>
        <w:rPr>
          <w:rFonts w:ascii="Arial;Helvetica;sans-serif" w:hAnsi="Arial;Helvetica;sans-serif"/>
          <w:b/>
          <w:color w:val="1B2E5A"/>
          <w:sz w:val="21"/>
        </w:rPr>
      </w:pPr>
      <w:r>
        <w:rPr>
          <w:rFonts w:ascii="Arial;Helvetica;sans-serif" w:hAnsi="Arial;Helvetica;sans-serif"/>
          <w:b/>
          <w:color w:val="1B2E5A"/>
          <w:sz w:val="21"/>
        </w:rPr>
        <w:t>Third Quarter 2026 Financial Results</w:t>
      </w:r>
    </w:p>
    <w:p>
      <w:pPr>
        <w:pStyle w:val="TextBody"/>
        <w:bidi w:val="0"/>
        <w:spacing w:lineRule="auto" w:line="328" w:before="0" w:after="80"/>
        <w:ind w:left="0" w:right="0" w:hanging="0"/>
        <w:jc w:val="left"/>
        <w:rPr>
          <w:rFonts w:ascii="Arial;Helvetica;sans-serif" w:hAnsi="Arial;Helvetica;sans-serif"/>
          <w:color w:val="222222"/>
          <w:sz w:val="20"/>
        </w:rPr>
      </w:pPr>
      <w:r>
        <w:rPr>
          <w:rFonts w:ascii="Arial;Helvetica;sans-serif" w:hAnsi="Arial;Helvetica;sans-serif"/>
          <w:color w:val="222222"/>
          <w:sz w:val="20"/>
        </w:rPr>
        <w:t>Net sales and operating results discussed below reflect continuing operations. For the three-month period ended September 30, 2026, as compared to the same period of 2025:</w:t>
      </w:r>
    </w:p>
    <w:tbl>
      <w:tblPr>
        <w:tblW w:w="6828" w:type="dxa"/>
        <w:jc w:val="left"/>
        <w:tblInd w:w="0" w:type="dxa"/>
        <w:tblLayout w:type="fixed"/>
        <w:tblCellMar>
          <w:top w:w="0" w:type="dxa"/>
          <w:left w:w="0" w:type="dxa"/>
          <w:bottom w:w="0" w:type="dxa"/>
          <w:right w:w="0" w:type="dxa"/>
        </w:tblCellMar>
      </w:tblPr>
      <w:tblGrid>
        <w:gridCol w:w="23"/>
        <w:gridCol w:w="170"/>
        <w:gridCol w:w="663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663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Net sales were $1.1 million, compared to $0.9 million, an increase of 20.4%.</w:t>
            </w:r>
          </w:p>
        </w:tc>
      </w:tr>
    </w:tbl>
    <w:tbl>
      <w:tblPr>
        <w:tblW w:w="5853" w:type="dxa"/>
        <w:jc w:val="left"/>
        <w:tblInd w:w="0" w:type="dxa"/>
        <w:tblLayout w:type="fixed"/>
        <w:tblCellMar>
          <w:top w:w="0" w:type="dxa"/>
          <w:left w:w="0" w:type="dxa"/>
          <w:bottom w:w="0" w:type="dxa"/>
          <w:right w:w="0" w:type="dxa"/>
        </w:tblCellMar>
      </w:tblPr>
      <w:tblGrid>
        <w:gridCol w:w="23"/>
        <w:gridCol w:w="170"/>
        <w:gridCol w:w="566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566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Gross margin on a GAAP basis was 61.7%, compared to 52.8%.</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Adjusted gross margin (a non-GAAP measure which excludes non-cash amortization of intangibles) was 85.5%, compared to 81.3%. A reconciliation of GAAP gross margin to adjusted gross margin is included in the accompanying financial tables.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Total operating expenses were $7.6 million, compared to $6.4 million. The increase was driven by a $1.9 million increase in research and development expense supporting the NXT-41 and NXT-41x programs, partially offset by a $0.7 million reduction in net litigation costs.</w:t>
            </w:r>
          </w:p>
        </w:tc>
      </w:tr>
    </w:tbl>
    <w:tbl>
      <w:tblPr>
        <w:tblW w:w="5808" w:type="dxa"/>
        <w:jc w:val="left"/>
        <w:tblInd w:w="0" w:type="dxa"/>
        <w:tblLayout w:type="fixed"/>
        <w:tblCellMar>
          <w:top w:w="0" w:type="dxa"/>
          <w:left w:w="0" w:type="dxa"/>
          <w:bottom w:w="0" w:type="dxa"/>
          <w:right w:w="0" w:type="dxa"/>
        </w:tblCellMar>
      </w:tblPr>
      <w:tblGrid>
        <w:gridCol w:w="23"/>
        <w:gridCol w:w="170"/>
        <w:gridCol w:w="561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561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Loss from operations was $6.9 million, compared to $5.9 million.</w:t>
            </w:r>
          </w:p>
        </w:tc>
      </w:tr>
    </w:tbl>
    <w:tbl>
      <w:tblPr>
        <w:tblW w:w="7053" w:type="dxa"/>
        <w:jc w:val="left"/>
        <w:tblInd w:w="0" w:type="dxa"/>
        <w:tblLayout w:type="fixed"/>
        <w:tblCellMar>
          <w:top w:w="0" w:type="dxa"/>
          <w:left w:w="0" w:type="dxa"/>
          <w:bottom w:w="0" w:type="dxa"/>
          <w:right w:w="0" w:type="dxa"/>
        </w:tblCellMar>
      </w:tblPr>
      <w:tblGrid>
        <w:gridCol w:w="23"/>
        <w:gridCol w:w="170"/>
        <w:gridCol w:w="6860"/>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686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Net loss from continuing operations was $6.5 million, compared to $1.0 million.</w:t>
            </w:r>
          </w:p>
        </w:tc>
      </w:tr>
    </w:tbl>
    <w:tbl>
      <w:tblPr>
        <w:tblW w:w="7998" w:type="dxa"/>
        <w:jc w:val="left"/>
        <w:tblInd w:w="0" w:type="dxa"/>
        <w:tblLayout w:type="fixed"/>
        <w:tblCellMar>
          <w:top w:w="0" w:type="dxa"/>
          <w:left w:w="0" w:type="dxa"/>
          <w:bottom w:w="0" w:type="dxa"/>
          <w:right w:w="0" w:type="dxa"/>
        </w:tblCellMar>
      </w:tblPr>
      <w:tblGrid>
        <w:gridCol w:w="23"/>
        <w:gridCol w:w="170"/>
        <w:gridCol w:w="780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780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Income from discontinued operations was $5.2 million, compared to a loss of $2.8 million.</w:t>
            </w:r>
          </w:p>
        </w:tc>
      </w:tr>
    </w:tbl>
    <w:tbl>
      <w:tblPr>
        <w:tblW w:w="4698" w:type="dxa"/>
        <w:jc w:val="left"/>
        <w:tblInd w:w="0" w:type="dxa"/>
        <w:tblLayout w:type="fixed"/>
        <w:tblCellMar>
          <w:top w:w="0" w:type="dxa"/>
          <w:left w:w="0" w:type="dxa"/>
          <w:bottom w:w="0" w:type="dxa"/>
          <w:right w:w="0" w:type="dxa"/>
        </w:tblCellMar>
      </w:tblPr>
      <w:tblGrid>
        <w:gridCol w:w="23"/>
        <w:gridCol w:w="170"/>
        <w:gridCol w:w="4505"/>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4505"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Net loss was $1.3 million, compared to $3.9 million.</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Adjusted EBITDA (a non-GAAP measure that excludes from net loss certain non-operating, non-cash and non-recurring items) was a loss of $5.6 million, compared to a loss of $3.4 million. A reconciliation of net loss to adjusted EBITDA is included in the accompanying financial tables.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7AC144"/>
              </w:rPr>
            </w:pPr>
            <w:r>
              <w:rPr>
                <w:color w:val="7AC144"/>
              </w:rPr>
              <w:t>●</w:t>
            </w:r>
          </w:p>
        </w:tc>
        <w:tc>
          <w:tcPr>
            <w:tcW w:w="10012"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222222"/>
                <w:sz w:val="20"/>
              </w:rPr>
            </w:pPr>
            <w:r>
              <w:rPr>
                <w:rFonts w:ascii="Arial;Helvetica;sans-serif" w:hAnsi="Arial;Helvetica;sans-serif"/>
                <w:b w:val="false"/>
                <w:i w:val="false"/>
                <w:caps w:val="false"/>
                <w:smallCaps w:val="false"/>
                <w:color w:val="222222"/>
                <w:sz w:val="20"/>
              </w:rPr>
              <w:t>Cash and cash equivalents at September 30, 2026 were $29.1 million. On October 1, 2026, the Company received the $8 million Boston Scientific holdback, which is not included in this balance.</w:t>
            </w:r>
          </w:p>
        </w:tc>
      </w:tr>
    </w:tbl>
    <w:p>
      <w:pPr>
        <w:pStyle w:val="TextBody"/>
        <w:bidi w:val="0"/>
        <w:spacing w:lineRule="auto" w:line="314" w:before="0" w:after="90"/>
        <w:ind w:left="360" w:right="0" w:hanging="0"/>
        <w:jc w:val="left"/>
        <w:rPr>
          <w:color w:val="222222"/>
        </w:rPr>
      </w:pPr>
      <w:r>
        <w:rPr>
          <w:color w:val="222222"/>
        </w:rPr>
        <w:t>​</w:t>
      </w:r>
    </w:p>
    <w:p>
      <w:pPr>
        <w:pStyle w:val="TextBody"/>
        <w:bidi w:val="0"/>
        <w:spacing w:lineRule="auto" w:line="314" w:before="0" w:after="90"/>
        <w:ind w:left="360" w:right="0" w:hanging="0"/>
        <w:jc w:val="left"/>
        <w:rPr>
          <w:color w:val="222222"/>
        </w:rPr>
      </w:pPr>
      <w:r>
        <w:rPr>
          <w:color w:val="222222"/>
        </w:rPr>
        <w:t>​</w:t>
      </w:r>
    </w:p>
    <w:p>
      <w:pPr>
        <w:pStyle w:val="TextBody"/>
        <w:bidi w:val="0"/>
        <w:spacing w:lineRule="auto" w:line="314" w:before="0" w:after="9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right"/>
      </w:pPr>
      <w:r>
        <w:t>​</w:t>
      </w:r>
    </w:p>
    <w:p>
      <w:pPr>
        <w:pStyle w:val="TextBody"/>
        <w:pBdr>
          <w:bottom w:val="single" w:sz="8" w:space="3" w:color="7AC144"/>
        </w:pBdr>
        <w:bidi w:val="0"/>
        <w:spacing w:before="0" w:after="110"/>
        <w:ind w:left="0" w:right="0" w:hanging="0"/>
        <w:jc w:val="left"/>
        <w:rPr>
          <w:rFonts w:ascii="Arial;Helvetica;sans-serif" w:hAnsi="Arial;Helvetica;sans-serif"/>
          <w:b/>
          <w:color w:val="1B2E5A"/>
          <w:sz w:val="21"/>
        </w:rPr>
      </w:pPr>
      <w:r>
        <w:rPr>
          <w:rFonts w:ascii="Arial;Helvetica;sans-serif" w:hAnsi="Arial;Helvetica;sans-serif"/>
          <w:b/>
          <w:color w:val="1B2E5A"/>
          <w:sz w:val="21"/>
        </w:rPr>
        <w:t>Conference Call</w:t>
      </w:r>
    </w:p>
    <w:p>
      <w:pPr>
        <w:pStyle w:val="TextBody"/>
        <w:bidi w:val="0"/>
        <w:spacing w:lineRule="auto" w:line="328" w:before="0" w:after="140"/>
        <w:ind w:left="0" w:right="0" w:hanging="0"/>
        <w:jc w:val="left"/>
        <w:rPr>
          <w:rFonts w:ascii="Arial;Helvetica;sans-serif" w:hAnsi="Arial;Helvetica;sans-serif"/>
          <w:color w:val="222222"/>
          <w:sz w:val="20"/>
        </w:rPr>
      </w:pPr>
      <w:r>
        <w:rPr>
          <w:rFonts w:ascii="Arial;Helvetica;sans-serif" w:hAnsi="Arial;Helvetica;sans-serif"/>
          <w:color w:val="222222"/>
          <w:sz w:val="20"/>
        </w:rPr>
        <w:t>Elutia will host a conference call on November 5, 2026 at 5:00 p.m. Eastern Time / 2:00 p.m. Pacific Time to discuss its third quarter 2026 financial results and business performance. The conference call can be accessed using the following information:</w:t>
      </w:r>
    </w:p>
    <w:p>
      <w:pPr>
        <w:pStyle w:val="TextBody"/>
        <w:bidi w:val="0"/>
        <w:spacing w:lineRule="auto" w:line="328" w:before="0" w:after="140"/>
        <w:ind w:left="0" w:right="0" w:hanging="0"/>
        <w:jc w:val="left"/>
        <w:rPr>
          <w:rFonts w:ascii="Arial;Helvetica;sans-serif" w:hAnsi="Arial;Helvetica;sans-serif"/>
          <w:sz w:val="20"/>
        </w:rPr>
      </w:pPr>
      <w:r>
        <w:rPr>
          <w:rFonts w:ascii="Arial;Helvetica;sans-serif" w:hAnsi="Arial;Helvetica;sans-serif"/>
          <w:b/>
          <w:color w:val="222222"/>
          <w:sz w:val="20"/>
        </w:rPr>
        <w:t>Webcast:</w:t>
      </w:r>
      <w:r>
        <w:rPr>
          <w:rFonts w:ascii="Arial;Helvetica;sans-serif" w:hAnsi="Arial;Helvetica;sans-serif"/>
          <w:color w:val="222222"/>
          <w:sz w:val="20"/>
        </w:rPr>
        <w:t> </w:t>
      </w:r>
      <w:r>
        <w:rPr>
          <w:rFonts w:ascii="Arial;Helvetica;sans-serif" w:hAnsi="Arial;Helvetica;sans-serif"/>
          <w:sz w:val="20"/>
        </w:rPr>
        <w:t>Click here</w:t>
      </w:r>
    </w:p>
    <w:p>
      <w:pPr>
        <w:pStyle w:val="TextBody"/>
        <w:bidi w:val="0"/>
        <w:spacing w:lineRule="auto" w:line="328" w:before="0" w:after="140"/>
        <w:ind w:left="0" w:right="0" w:hanging="0"/>
        <w:jc w:val="left"/>
        <w:rPr>
          <w:rFonts w:ascii="Arial;Helvetica;sans-serif" w:hAnsi="Arial;Helvetica;sans-serif"/>
          <w:sz w:val="20"/>
        </w:rPr>
      </w:pPr>
      <w:r>
        <w:rPr>
          <w:rFonts w:ascii="Arial;Helvetica;sans-serif" w:hAnsi="Arial;Helvetica;sans-serif"/>
          <w:b/>
          <w:color w:val="222222"/>
          <w:sz w:val="20"/>
        </w:rPr>
        <w:t>Dial-In:</w:t>
      </w:r>
      <w:r>
        <w:rPr>
          <w:rFonts w:ascii="Arial;Helvetica;sans-serif" w:hAnsi="Arial;Helvetica;sans-serif"/>
          <w:color w:val="222222"/>
          <w:sz w:val="20"/>
        </w:rPr>
        <w:t> </w:t>
      </w:r>
      <w:r>
        <w:rPr>
          <w:rFonts w:ascii="Arial;Helvetica;sans-serif" w:hAnsi="Arial;Helvetica;sans-serif"/>
          <w:sz w:val="20"/>
        </w:rPr>
        <w:t>Click here</w:t>
      </w:r>
    </w:p>
    <w:p>
      <w:pPr>
        <w:pStyle w:val="TextBody"/>
        <w:bidi w:val="0"/>
        <w:spacing w:lineRule="auto" w:line="328" w:before="0" w:after="140"/>
        <w:ind w:left="0" w:right="0" w:hanging="0"/>
        <w:jc w:val="left"/>
        <w:rPr>
          <w:rFonts w:ascii="Arial;Helvetica;sans-serif" w:hAnsi="Arial;Helvetica;sans-serif"/>
          <w:color w:val="222222"/>
          <w:sz w:val="20"/>
        </w:rPr>
      </w:pPr>
      <w:r>
        <w:rPr>
          <w:rFonts w:ascii="Arial;Helvetica;sans-serif" w:hAnsi="Arial;Helvetica;sans-serif"/>
          <w:color w:val="222222"/>
          <w:sz w:val="20"/>
        </w:rPr>
        <w:t>To receive the dial-in number, as well as your personalized PIN, you must register at the above link. Once registered, you will also have the option to have the system dial out to you once the conference call begins. If you forget your PIN prior to the conference call, you can simply re-register.</w:t>
      </w:r>
    </w:p>
    <w:p>
      <w:pPr>
        <w:pStyle w:val="TextBody"/>
        <w:bidi w:val="0"/>
        <w:spacing w:lineRule="auto" w:line="328" w:before="0" w:after="140"/>
        <w:ind w:left="0" w:right="0" w:hanging="0"/>
        <w:jc w:val="left"/>
        <w:rPr>
          <w:rFonts w:ascii="Arial;Helvetica;sans-serif" w:hAnsi="Arial;Helvetica;sans-serif"/>
          <w:sz w:val="20"/>
        </w:rPr>
      </w:pPr>
      <w:r>
        <w:rPr>
          <w:rFonts w:ascii="Arial;Helvetica;sans-serif" w:hAnsi="Arial;Helvetica;sans-serif"/>
          <w:color w:val="222222"/>
          <w:sz w:val="20"/>
        </w:rPr>
        <w:t xml:space="preserve">Please log in approximately 10 minutes prior to the scheduled start time. A live and archived webcast of the event will be available on the “Investors” section of the Elutia website at </w:t>
      </w:r>
      <w:r>
        <w:rPr>
          <w:rFonts w:ascii="Arial;Helvetica;sans-serif" w:hAnsi="Arial;Helvetica;sans-serif"/>
          <w:sz w:val="20"/>
        </w:rPr>
        <w:t>http://investors.elutia.com</w:t>
      </w:r>
      <w:r>
        <w:rPr>
          <w:rFonts w:ascii="Arial;Helvetica;sans-serif" w:hAnsi="Arial;Helvetica;sans-serif"/>
          <w:color w:val="222222"/>
          <w:sz w:val="20"/>
        </w:rPr>
        <w:t>.</w:t>
      </w:r>
    </w:p>
    <w:p>
      <w:pPr>
        <w:pStyle w:val="TextBody"/>
        <w:pBdr/>
        <w:bidi w:val="0"/>
        <w:spacing w:before="220" w:after="0"/>
        <w:ind w:left="0" w:right="0" w:hanging="0"/>
        <w:jc w:val="left"/>
        <w:rPr>
          <w:color w:val="1B2E5A"/>
        </w:rPr>
      </w:pPr>
      <w:r>
        <w:rPr>
          <w:color w:val="1B2E5A"/>
        </w:rPr>
        <w:t>​</w:t>
      </w:r>
    </w:p>
    <w:p>
      <w:pPr>
        <w:pStyle w:val="TextBody"/>
        <w:pBdr/>
        <w:bidi w:val="0"/>
        <w:spacing w:before="0" w:after="0"/>
        <w:ind w:left="0" w:right="0" w:hanging="0"/>
        <w:jc w:val="left"/>
        <w:rPr>
          <w:rFonts w:ascii="Arial;Helvetica;sans-serif" w:hAnsi="Arial;Helvetica;sans-serif"/>
          <w:b/>
          <w:color w:val="1B2E5A"/>
          <w:sz w:val="21"/>
        </w:rPr>
      </w:pPr>
      <w:r>
        <w:rPr>
          <w:rFonts w:ascii="Arial;Helvetica;sans-serif" w:hAnsi="Arial;Helvetica;sans-serif"/>
          <w:b/>
          <w:color w:val="1B2E5A"/>
          <w:sz w:val="21"/>
        </w:rPr>
        <w:t xml:space="preserve">About Elutia </w:t>
      </w:r>
    </w:p>
    <w:p>
      <w:pPr>
        <w:pStyle w:val="TextBody"/>
        <w:pBdr/>
        <w:bidi w:val="0"/>
        <w:spacing w:lineRule="auto" w:line="328" w:before="0" w:after="0"/>
        <w:ind w:left="0" w:right="0" w:hanging="0"/>
        <w:jc w:val="left"/>
        <w:rPr>
          <w:rFonts w:ascii="Arial;Helvetica;sans-serif" w:hAnsi="Arial;Helvetica;sans-serif"/>
          <w:sz w:val="20"/>
        </w:rPr>
      </w:pPr>
      <w:r>
        <w:rPr>
          <w:rFonts w:ascii="Arial;Helvetica;sans-serif" w:hAnsi="Arial;Helvetica;sans-serif"/>
          <w:color w:val="222222"/>
          <w:sz w:val="20"/>
        </w:rPr>
        <w:t xml:space="preserve">Elutia Inc. (Nasdaq: ELUT) is a drug delivery company built to stop surgical infections. The Company developed and launched EluPro, the first antibiotic-eluting bioenvelope designed to protect patients receiving pacemakers and defibrillators, and in 2025 sold that business to Boston Scientific Corporation. Elutia’s lead program, NXT-41x, builds on the same drug-eluting platform and is designed to deliver two powerful antibiotics directly to the surgical site, stopping infection before it starts. Elutia’s mission is humanizing medicine so patients can thrive without compromise. For more information, visit </w:t>
      </w:r>
      <w:r>
        <w:rPr>
          <w:rFonts w:ascii="Arial;Helvetica;sans-serif" w:hAnsi="Arial;Helvetica;sans-serif"/>
          <w:sz w:val="20"/>
        </w:rPr>
        <w:t>www.Elutia.com</w:t>
      </w:r>
      <w:r>
        <w:rPr>
          <w:rFonts w:ascii="Arial;Helvetica;sans-serif" w:hAnsi="Arial;Helvetica;sans-serif"/>
          <w:color w:val="222222"/>
          <w:sz w:val="20"/>
        </w:rPr>
        <w:t>.</w:t>
      </w:r>
    </w:p>
    <w:p>
      <w:pPr>
        <w:pStyle w:val="TextBody"/>
        <w:pBdr/>
        <w:bidi w:val="0"/>
        <w:spacing w:lineRule="auto" w:line="328" w:before="0" w:after="0"/>
        <w:ind w:left="0" w:right="0" w:hanging="0"/>
        <w:jc w:val="left"/>
        <w:rPr>
          <w:color w:val="222222"/>
        </w:rPr>
      </w:pPr>
      <w:r>
        <w:rPr>
          <w:color w:val="222222"/>
        </w:rPr>
        <w:t>​</w:t>
      </w:r>
    </w:p>
    <w:p>
      <w:pPr>
        <w:pStyle w:val="TextBody"/>
        <w:pBdr>
          <w:bottom w:val="single" w:sz="8" w:space="3" w:color="7AC144"/>
        </w:pBdr>
        <w:bidi w:val="0"/>
        <w:spacing w:before="0" w:after="110"/>
        <w:ind w:left="0" w:right="0" w:hanging="0"/>
        <w:jc w:val="left"/>
        <w:rPr>
          <w:rFonts w:ascii="Arial;Helvetica;sans-serif" w:hAnsi="Arial;Helvetica;sans-serif"/>
          <w:b/>
          <w:color w:val="1B2E5A"/>
          <w:sz w:val="21"/>
        </w:rPr>
      </w:pPr>
      <w:r>
        <w:rPr>
          <w:rFonts w:ascii="Arial;Helvetica;sans-serif" w:hAnsi="Arial;Helvetica;sans-serif"/>
          <w:b/>
          <w:color w:val="1B2E5A"/>
          <w:sz w:val="21"/>
        </w:rPr>
        <w:t>Non-GAAP Disclosure</w:t>
      </w:r>
    </w:p>
    <w:p>
      <w:pPr>
        <w:pStyle w:val="TextBody"/>
        <w:bidi w:val="0"/>
        <w:spacing w:lineRule="auto" w:line="328" w:before="0" w:after="140"/>
        <w:ind w:left="0" w:right="0" w:hanging="0"/>
        <w:jc w:val="left"/>
        <w:rPr>
          <w:rFonts w:ascii="Arial;Helvetica;sans-serif" w:hAnsi="Arial;Helvetica;sans-serif"/>
          <w:color w:val="222222"/>
          <w:sz w:val="20"/>
        </w:rPr>
      </w:pPr>
      <w:r>
        <w:rPr>
          <w:rFonts w:ascii="Arial;Helvetica;sans-serif" w:hAnsi="Arial;Helvetica;sans-serif"/>
          <w:color w:val="222222"/>
          <w:sz w:val="20"/>
        </w:rPr>
        <w:t>In addition to the Company’s financial results determined in accordance with U.S. GAAP, the Company provides non-GAAP measures that it determines to be useful in evaluating its operating performance and liquidity. The Company presents in this press release the following non-GAAP financial measures: earnings before interest, taxes, depreciation and amortization ("EBITDA"), adjusted earnings before interest, taxes, depreciation and amortization ("adjusted EBITDA"), adjusted gross margin and adjusted gross profit. The Company defines EBITDA as GAAP net loss excluding interest expense, income tax expense, depreciation and amortization, and the Company defines adjusted EBITDA as EBITDA excluding income or loss from discontinued operations, stock-based compensation, FiberCel and VBM litigation costs, loss or gain on revaluation of warrant and derivative liabilities, warrant issuance expenses and loss or gain on revaluation of revenue interest obligation. The Company defines adjusted gross profit and adjusted gross margin as GAAP gross profit and GAAP gross margin, respectively, excluding amortization of acquired intangible assets. The amortization of these intangible assets will recur in future periods until such intangible assets have been fully amortized. Management believes that presentation of non-GAAP financial measures provides useful supplemental information to investors and facilitates the analysis of the Company’s core operating results and comparison of operating results across reporting periods. The Company uses this non-GAAP financial information to establish budgets, manage the Company’s business, and set incentive and compensation arrangements. Non-GAAP financial information, when taken collectively, may be helpful to investors because it provides consistency and comparability with past financial performance. However, non-GAAP financial information is presented for supplemental information purposes only, has limitations as an analytical tool and should not be considered in isolation or as a substitute for financial information presented in accordance with U.S. GAAP. For a reconciliation of these non-GAAP measures to GAAP, see below "Non-GAAP Reconciliations of EBITDA and Adjusted EBITDA" and "Non-GAAP Reconciliations of Adjusted Gross Profit and Adjusted Gross Margin."</w:t>
      </w:r>
    </w:p>
    <w:p>
      <w:pPr>
        <w:pStyle w:val="HorizontalLine"/>
        <w:pBdr>
          <w:bottom w:val="double" w:sz="2" w:space="0" w:color="808080"/>
        </w:pBdr>
        <w:bidi w:val="0"/>
        <w:spacing w:before="0" w:after="283"/>
        <w:jc w:val="left"/>
      </w:pPr>
      <w:r/>
    </w:p>
    <w:p>
      <w:pPr>
        <w:pStyle w:val="TextBody"/>
        <w:bidi w:val="0"/>
        <w:spacing w:before="0" w:after="0"/>
        <w:ind w:left="0" w:right="0" w:hanging="0"/>
        <w:jc w:val="right"/>
      </w:pPr>
      <w:r>
        <w:t>​</w:t>
      </w:r>
    </w:p>
    <w:p>
      <w:pPr>
        <w:pStyle w:val="TextBody"/>
        <w:bidi w:val="0"/>
        <w:spacing w:lineRule="auto" w:line="328" w:before="0" w:after="140"/>
        <w:ind w:left="0" w:right="0" w:hanging="0"/>
        <w:jc w:val="left"/>
      </w:pPr>
      <w:r>
        <w:t>​</w:t>
      </w:r>
    </w:p>
    <w:p>
      <w:pPr>
        <w:pStyle w:val="TextBody"/>
        <w:pBdr>
          <w:bottom w:val="single" w:sz="8" w:space="3" w:color="7AC144"/>
        </w:pBdr>
        <w:bidi w:val="0"/>
        <w:spacing w:before="220" w:after="110"/>
        <w:ind w:left="0" w:right="0" w:hanging="0"/>
        <w:jc w:val="left"/>
        <w:rPr>
          <w:rFonts w:ascii="Arial;Helvetica;sans-serif" w:hAnsi="Arial;Helvetica;sans-serif"/>
          <w:b/>
          <w:color w:val="1B2E5A"/>
          <w:sz w:val="21"/>
        </w:rPr>
      </w:pPr>
      <w:r>
        <w:rPr>
          <w:rFonts w:ascii="Arial;Helvetica;sans-serif" w:hAnsi="Arial;Helvetica;sans-serif"/>
          <w:b/>
          <w:color w:val="1B2E5A"/>
          <w:sz w:val="21"/>
        </w:rPr>
        <w:t>Forward-Looking Statements</w:t>
      </w:r>
    </w:p>
    <w:p>
      <w:pPr>
        <w:pStyle w:val="TextBody"/>
        <w:bidi w:val="0"/>
        <w:spacing w:lineRule="auto" w:line="328" w:before="0" w:after="0"/>
        <w:ind w:left="0" w:right="0" w:hanging="0"/>
        <w:jc w:val="left"/>
        <w:rPr>
          <w:rFonts w:ascii="Arial;Helvetica;sans-serif" w:hAnsi="Arial;Helvetica;sans-serif"/>
          <w:color w:val="222222"/>
          <w:sz w:val="20"/>
        </w:rPr>
      </w:pPr>
      <w:r>
        <w:rPr>
          <w:rFonts w:ascii="Arial;Helvetica;sans-serif" w:hAnsi="Arial;Helvetica;sans-serif"/>
          <w:color w:val="222222"/>
          <w:sz w:val="20"/>
        </w:rPr>
        <w:t xml:space="preserve">This press release contains "forward-looking statements" within the meaning of Section 27A of the Securities Act of 1933, as amended, and Section 21E of the Securities Exchange Act of 1934, as amended. Forward-looking statements can be identified by words such as "projects," "may," "will," "could," "would," "should," "believes," "expects," "anticipates," "estimates," "intends," "plans," "potential," "promise" or similar references to future periods. All statements contained in this press release that do not relate to matters of historical fact should be considered forward-looking statements, including any statements and information concerning our future interactions with the U.S. Food and Drug Administration ("FDA") regarding NXT-41 and NXT-41x; the planned submission of NXT-41x to the FDA in the fourth quarter of 2026; expectations for FDA clearance of NXT-41 and NXT-41x, including the timing and anticipated success thereof; preparations for the commercial launch of NXT-41x, including the timing, scale and anticipated success thereof; the sufficiency of our capital resources to fund the Company into 2029, including through anticipated FDA clearance and the first full year of commercial launch of NXT-41x, without an equity offering; the availability of the additional $5 million tranche under our Avenue Capital financing; our receipt of the contingent technology transfer and commercial milestone payments associated with the sale of our SimpliDerm business; the outcome and timing of the previously announced strategic process for our Cardiovascular business; the results, interpretation and predictive value of the GLP animal study of NXT-41x described in this press release; the size of the plastic and reconstructive surgery market and the potential of the Company’s next-generation drug-eluting biomatrix pipeline to compete in that market; expectations regarding manufacturing capacity, scale and target gross margins; and any statements regarding future liability with respect to the FiberCel and VBM litigation. These forward-looking statements are based on our management’s beliefs and assumptions and on information currently available to us. Additionally, such forward-looking statements are subject to a number of known and unknown risks, uncertainties and other important factors that may cause our actual results, performance or achievements to be materially different from any future results, performance or achievements expressed or implied in the forward-looking statements, including, but not limited to the following: our ability to enhance our products, expand our product indications and develop, acquire and commercialize additional product offerings, including NXT-41 and NXT-41x; our ability to submit NXT-41x to the FDA on the anticipated timeline and to obtain regulatory approval or other marketing authorizations by the U.S. Food and Drug Administration and comparable foreign authorities for our products and product candidates, including NXT-41 and NXT-41x; our ability to comply with the covenants under, and to draw the remaining availability under, our credit facility; physician awareness of the distinctive characteristics, benefits, safety, clinical efficacy and cost-effectiveness of our products; our ability to achieve or sustain profitability; our ability to regain compliance with Nasdaq’s minimum bid price requirement and otherwise maintain compliance with any other listing requirement of Nasdaq Capital Market, and our ability to maintain a listing of our Class A common stock on the Nasdaq Capital Market; our ability to comply with the covenants in, and to draw the second tranche term loan under, the Avenue Capital Group loan agreement; our ability to raise funds in the future in the amounts and at the times needed; our ability to service our indebtedness; the risk of product liability claims and our ability to obtain or maintain adequate product liability insurance; risks relating to the sale of the SimpliDerm business, including the risk that the technology transfer and commercial milestone payments from the sale are reduced, delayed, or not earned or received and the outcome of any legal proceedings that may be instituted against us following the sale; our ability to complete any strategic transaction involving our Cardiovascular business, on the anticipated timeline and terms, or at all, and to realize the anticipated benefits of that transaction; our ability to defend against the various lawsuits and claims related to our former FiberCel and other bone viable matrix (“VBM”) products and avoid a material adverse financial consequence; our ability to satisfy the remaining Ligand Pharmaceuticals Incorporated revenue interest obligation, which expires May 31, 2027; the continued and future acceptance of our products by the medical community; our dependence on independent sales agents to generate a substantial portion of our net sales; our dependence on a limited number of third-party suppliers and manufacturers, which, in certain cases are exclusive suppliers for products essential to our business, including our dependence on Cook Biotech </w:t>
      </w:r>
    </w:p>
    <w:p>
      <w:pPr>
        <w:pStyle w:val="HorizontalLine"/>
        <w:pBdr>
          <w:bottom w:val="double" w:sz="2" w:space="0" w:color="808080"/>
        </w:pBdr>
        <w:bidi w:val="0"/>
        <w:spacing w:before="0" w:after="283"/>
        <w:jc w:val="left"/>
      </w:pPr>
      <w:r/>
    </w:p>
    <w:p>
      <w:pPr>
        <w:pStyle w:val="TextBody"/>
        <w:bidi w:val="0"/>
        <w:spacing w:before="0" w:after="0"/>
        <w:ind w:left="0" w:right="0" w:hanging="0"/>
        <w:jc w:val="right"/>
      </w:pPr>
      <w:r>
        <w:t>​</w:t>
      </w:r>
    </w:p>
    <w:p>
      <w:pPr>
        <w:pStyle w:val="TextBody"/>
        <w:bidi w:val="0"/>
        <w:spacing w:lineRule="auto" w:line="328" w:before="0" w:after="140"/>
        <w:ind w:left="0" w:right="0" w:hanging="0"/>
        <w:jc w:val="left"/>
        <w:rPr>
          <w:rFonts w:ascii="Arial;Helvetica;sans-serif" w:hAnsi="Arial;Helvetica;sans-serif"/>
          <w:color w:val="222222"/>
          <w:sz w:val="20"/>
        </w:rPr>
      </w:pPr>
      <w:r>
        <w:rPr>
          <w:rFonts w:ascii="Arial;Helvetica;sans-serif" w:hAnsi="Arial;Helvetica;sans-serif"/>
          <w:color w:val="222222"/>
          <w:sz w:val="20"/>
        </w:rPr>
        <w:t>as sole supplier for our remaining Cardiovascular products; our ability to compete against other companies, most of which have longer operating histories, more established products and/or greater resources than we do; pricing pressure as a result of cost-containment efforts of our customers, purchasing groups, third-party payors and governmental organizations could adversely affect our sales and profitability; our ability to obtain, maintain and adequately protect our intellectual property rights; and other important factors which can be found in the "Risk Factors" section of Elutia’s public filings with the Securities and Exchange Commission ("SEC"), including Elutia’s Annual Report on Form 10-K for the year ended December 31, 2025, as such factors may be updated from time to time in Elutia’s other filings with the SEC, including Elutia’s Quarterly Reports on Form 10-Q, accessible on the SEC’s website at www.sec.gov and the Investor Relations page of Elutia’s website at https://investors.elutia.com. Because forward-looking statements are inherently subject to risks and uncertainties, you should not rely on these forward-looking statements as predictions of future events. Any forward-looking statement made by Elutia in this press release is based only on information currently available and speaks only as of the date on which it is made. Except as required by applicable law, Elutia expressly disclaims any obligations to publicly update any forward-looking statements, whether written or oral, that may be made from time to time, whether as a result of new information, future developments or otherwise.</w:t>
      </w:r>
    </w:p>
    <w:p>
      <w:pPr>
        <w:pStyle w:val="TextBody"/>
        <w:pBdr/>
        <w:bidi w:val="0"/>
        <w:spacing w:before="220" w:after="0"/>
        <w:ind w:left="0" w:right="0" w:hanging="0"/>
        <w:jc w:val="left"/>
        <w:rPr>
          <w:color w:val="1B2E5A"/>
        </w:rPr>
      </w:pPr>
      <w:r>
        <w:rPr>
          <w:color w:val="1B2E5A"/>
        </w:rPr>
        <w:t>​</w:t>
      </w:r>
    </w:p>
    <w:p>
      <w:pPr>
        <w:pStyle w:val="TextBody"/>
        <w:pBdr>
          <w:bottom w:val="single" w:sz="8" w:space="3" w:color="7AC144"/>
        </w:pBdr>
        <w:bidi w:val="0"/>
        <w:spacing w:before="0" w:after="110"/>
        <w:ind w:left="0" w:right="0" w:hanging="0"/>
        <w:jc w:val="left"/>
        <w:rPr>
          <w:rFonts w:ascii="Arial;Helvetica;sans-serif" w:hAnsi="Arial;Helvetica;sans-serif"/>
          <w:b/>
          <w:color w:val="1B2E5A"/>
          <w:sz w:val="21"/>
        </w:rPr>
      </w:pPr>
      <w:r>
        <w:rPr>
          <w:rFonts w:ascii="Arial;Helvetica;sans-serif" w:hAnsi="Arial;Helvetica;sans-serif"/>
          <w:b/>
          <w:color w:val="1B2E5A"/>
          <w:sz w:val="21"/>
        </w:rPr>
        <w:t>Contacts</w:t>
      </w:r>
    </w:p>
    <w:p>
      <w:pPr>
        <w:pStyle w:val="TextBody"/>
        <w:bidi w:val="0"/>
        <w:spacing w:lineRule="auto" w:line="328" w:before="0" w:after="20"/>
        <w:ind w:left="0" w:right="0" w:hanging="0"/>
        <w:jc w:val="left"/>
        <w:rPr>
          <w:rFonts w:ascii="Arial;Helvetica;sans-serif" w:hAnsi="Arial;Helvetica;sans-serif"/>
          <w:b/>
          <w:color w:val="222222"/>
          <w:sz w:val="20"/>
        </w:rPr>
      </w:pPr>
      <w:r>
        <w:rPr>
          <w:rFonts w:ascii="Arial;Helvetica;sans-serif" w:hAnsi="Arial;Helvetica;sans-serif"/>
          <w:b/>
          <w:color w:val="222222"/>
          <w:sz w:val="20"/>
        </w:rPr>
        <w:t>Investors:</w:t>
      </w:r>
    </w:p>
    <w:p>
      <w:pPr>
        <w:pStyle w:val="TextBody"/>
        <w:bidi w:val="0"/>
        <w:spacing w:lineRule="auto" w:line="328" w:before="0" w:after="20"/>
        <w:ind w:left="0" w:right="0" w:hanging="0"/>
        <w:jc w:val="left"/>
        <w:rPr>
          <w:rFonts w:ascii="Arial;Helvetica;sans-serif" w:hAnsi="Arial;Helvetica;sans-serif"/>
          <w:color w:val="222222"/>
          <w:sz w:val="20"/>
        </w:rPr>
      </w:pPr>
      <w:r>
        <w:rPr>
          <w:rFonts w:ascii="Arial;Helvetica;sans-serif" w:hAnsi="Arial;Helvetica;sans-serif"/>
          <w:color w:val="222222"/>
          <w:sz w:val="20"/>
        </w:rPr>
        <w:t>Elutia Investor Relations</w:t>
      </w:r>
    </w:p>
    <w:p>
      <w:pPr>
        <w:pStyle w:val="TextBody"/>
        <w:bidi w:val="0"/>
        <w:spacing w:lineRule="auto" w:line="328" w:before="0" w:after="20"/>
        <w:ind w:left="0" w:right="0" w:hanging="0"/>
        <w:jc w:val="left"/>
        <w:rPr>
          <w:rFonts w:ascii="Arial;Helvetica;sans-serif" w:hAnsi="Arial;Helvetica;sans-serif"/>
          <w:color w:val="222222"/>
          <w:sz w:val="20"/>
        </w:rPr>
      </w:pPr>
      <w:r>
        <w:rPr>
          <w:rFonts w:ascii="Arial;Helvetica;sans-serif" w:hAnsi="Arial;Helvetica;sans-serif"/>
          <w:color w:val="222222"/>
          <w:sz w:val="20"/>
        </w:rPr>
        <w:t>ir@elutia.com</w:t>
      </w:r>
    </w:p>
    <w:p>
      <w:pPr>
        <w:pStyle w:val="HorizontalLine"/>
        <w:pBdr>
          <w:bottom w:val="double" w:sz="2" w:space="0" w:color="808080"/>
        </w:pBdr>
        <w:bidi w:val="0"/>
        <w:spacing w:before="0" w:after="283"/>
        <w:jc w:val="left"/>
      </w:pPr>
      <w:r/>
    </w:p>
    <w:p>
      <w:pPr>
        <w:pStyle w:val="TextBody"/>
        <w:bidi w:val="0"/>
        <w:spacing w:before="0" w:after="0"/>
        <w:ind w:left="0" w:right="0" w:hanging="0"/>
        <w:jc w:val="right"/>
      </w:pPr>
      <w:r>
        <w:t>​</w:t>
      </w:r>
    </w:p>
    <w:p>
      <w:pPr>
        <w:pStyle w:val="TextBody"/>
        <w:pBdr>
          <w:bottom w:val="single" w:sz="8" w:space="3" w:color="7AC144"/>
        </w:pBdr>
        <w:bidi w:val="0"/>
        <w:spacing w:before="0" w:after="110"/>
        <w:ind w:left="0" w:right="0" w:hanging="0"/>
        <w:jc w:val="left"/>
        <w:rPr>
          <w:rFonts w:ascii="Arial;Helvetica;sans-serif" w:hAnsi="Arial;Helvetica;sans-serif"/>
          <w:b/>
          <w:color w:val="1B2E5A"/>
          <w:sz w:val="21"/>
        </w:rPr>
      </w:pPr>
      <w:r>
        <w:rPr>
          <w:rFonts w:ascii="Arial;Helvetica;sans-serif" w:hAnsi="Arial;Helvetica;sans-serif"/>
          <w:b/>
          <w:color w:val="1B2E5A"/>
          <w:sz w:val="21"/>
        </w:rPr>
        <w:t>Financial Tables</w:t>
      </w:r>
    </w:p>
    <w:tbl>
      <w:tblPr>
        <w:tblW w:w="6846" w:type="dxa"/>
        <w:jc w:val="left"/>
        <w:tblInd w:w="0" w:type="dxa"/>
        <w:tblLayout w:type="fixed"/>
        <w:tblCellMar>
          <w:top w:w="0" w:type="dxa"/>
          <w:left w:w="0" w:type="dxa"/>
          <w:bottom w:w="0" w:type="dxa"/>
          <w:right w:w="0" w:type="dxa"/>
        </w:tblCellMar>
      </w:tblPr>
      <w:tblGrid>
        <w:gridCol w:w="3416"/>
        <w:gridCol w:w="64"/>
        <w:gridCol w:w="1636"/>
        <w:gridCol w:w="109"/>
        <w:gridCol w:w="1621"/>
      </w:tblGrid>
      <w:tr>
        <w:tc>
          <w:tcPr>
            <w:tcW w:w="3416" w:type="dxa"/>
            <w:tcBorders/>
            <w:vAlign w:val="center"/>
          </w:tcPr>
          <w:p>
            <w:pPr>
              <w:pStyle w:val="TableContents"/>
              <w:bidi w:val="0"/>
              <w:spacing w:before="0" w:after="0"/>
              <w:ind w:left="0" w:right="0" w:hanging="0"/>
              <w:jc w:val="left"/>
              <w:rPr>
                <w:rFonts w:ascii="Arial;Helvetica;sans-serif" w:hAnsi="Arial;Helvetica;sans-serif"/>
                <w:b/>
                <w:color w:val="222222"/>
                <w:sz w:val="18"/>
              </w:rPr>
            </w:pPr>
            <w:r>
              <w:rPr>
                <w:rFonts w:ascii="Arial;Helvetica;sans-serif" w:hAnsi="Arial;Helvetica;sans-serif"/>
                <w:b/>
                <w:color w:val="222222"/>
                <w:sz w:val="18"/>
              </w:rPr>
              <w:t>ELUTIA INC.</w:t>
            </w:r>
          </w:p>
        </w:tc>
        <w:tc>
          <w:tcPr>
            <w:tcW w:w="3430" w:type="dxa"/>
            <w:gridSpan w:val="4"/>
            <w:tcBorders/>
            <w:vAlign w:val="center"/>
          </w:tcPr>
          <w:p>
            <w:pPr>
              <w:pStyle w:val="TableContents"/>
              <w:bidi w:val="0"/>
              <w:spacing w:before="0" w:after="0"/>
              <w:ind w:left="0" w:right="0" w:hanging="0"/>
              <w:jc w:val="left"/>
            </w:pPr>
            <w:r>
              <w:t>​</w:t>
            </w:r>
          </w:p>
        </w:tc>
      </w:tr>
      <w:tr>
        <w:tc>
          <w:tcPr>
            <w:tcW w:w="6846" w:type="dxa"/>
            <w:gridSpan w:val="5"/>
            <w:tcBorders/>
            <w:vAlign w:val="center"/>
          </w:tcPr>
          <w:p>
            <w:pPr>
              <w:pStyle w:val="TableContents"/>
              <w:bidi w:val="0"/>
              <w:spacing w:before="0" w:after="0"/>
              <w:ind w:left="0" w:right="0" w:hanging="0"/>
              <w:jc w:val="left"/>
              <w:rPr>
                <w:rFonts w:ascii="Arial;Helvetica;sans-serif" w:hAnsi="Arial;Helvetica;sans-serif"/>
                <w:b/>
                <w:color w:val="222222"/>
                <w:sz w:val="18"/>
              </w:rPr>
            </w:pPr>
            <w:r>
              <w:rPr>
                <w:rFonts w:ascii="Arial;Helvetica;sans-serif" w:hAnsi="Arial;Helvetica;sans-serif"/>
                <w:b/>
                <w:color w:val="222222"/>
                <w:sz w:val="18"/>
              </w:rPr>
              <w:t>CONSOLIDATED BALANCE SHEET DATA</w:t>
            </w:r>
          </w:p>
        </w:tc>
      </w:tr>
      <w:tr>
        <w:tc>
          <w:tcPr>
            <w:tcW w:w="6846" w:type="dxa"/>
            <w:gridSpan w:val="5"/>
            <w:tcBorders/>
            <w:vAlign w:val="center"/>
          </w:tcPr>
          <w:p>
            <w:pPr>
              <w:pStyle w:val="TableContents"/>
              <w:bidi w:val="0"/>
              <w:spacing w:before="0" w:after="0"/>
              <w:ind w:left="0" w:right="0" w:hanging="0"/>
              <w:jc w:val="left"/>
              <w:rPr>
                <w:rFonts w:ascii="Arial;Helvetica;sans-serif" w:hAnsi="Arial;Helvetica;sans-serif"/>
                <w:b/>
                <w:color w:val="222222"/>
                <w:sz w:val="18"/>
              </w:rPr>
            </w:pPr>
            <w:r>
              <w:rPr>
                <w:rFonts w:ascii="Arial;Helvetica;sans-serif" w:hAnsi="Arial;Helvetica;sans-serif"/>
                <w:b/>
                <w:color w:val="222222"/>
                <w:sz w:val="18"/>
              </w:rPr>
              <w:t>(Unaudited, in thousands)</w:t>
            </w:r>
          </w:p>
        </w:tc>
      </w:tr>
      <w:tr>
        <w:tc>
          <w:tcPr>
            <w:tcW w:w="3480" w:type="dxa"/>
            <w:gridSpan w:val="2"/>
            <w:tcBorders/>
            <w:vAlign w:val="center"/>
          </w:tcPr>
          <w:p>
            <w:pPr>
              <w:pStyle w:val="TableContents"/>
              <w:bidi w:val="0"/>
              <w:spacing w:before="0" w:after="0"/>
              <w:ind w:left="0" w:right="0" w:hanging="0"/>
              <w:jc w:val="left"/>
            </w:pPr>
            <w:r>
              <w:t>​</w:t>
            </w:r>
          </w:p>
        </w:tc>
        <w:tc>
          <w:tcPr>
            <w:tcW w:w="163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621" w:type="dxa"/>
            <w:tcBorders/>
            <w:vAlign w:val="center"/>
          </w:tcPr>
          <w:p>
            <w:pPr>
              <w:pStyle w:val="TableContents"/>
              <w:bidi w:val="0"/>
              <w:spacing w:before="0" w:after="0"/>
              <w:ind w:left="0" w:right="0" w:hanging="0"/>
              <w:jc w:val="left"/>
            </w:pPr>
            <w:r>
              <w:t>​</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b/>
                <w:color w:val="222222"/>
                <w:sz w:val="17"/>
              </w:rPr>
            </w:pPr>
            <w:r>
              <w:rPr>
                <w:rFonts w:ascii="Arial;Helvetica;sans-serif" w:hAnsi="Arial;Helvetica;sans-serif"/>
                <w:b/>
                <w:color w:val="222222"/>
                <w:sz w:val="17"/>
              </w:rPr>
              <w:t>Assets</w:t>
            </w:r>
          </w:p>
        </w:tc>
        <w:tc>
          <w:tcPr>
            <w:tcW w:w="1636" w:type="dxa"/>
            <w:tcBorders>
              <w:bottom w:val="single" w:sz="2" w:space="0" w:color="1B2E5A"/>
            </w:tcBorders>
            <w:tcMar>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September 30, 2026</w:t>
            </w:r>
          </w:p>
        </w:tc>
        <w:tc>
          <w:tcPr>
            <w:tcW w:w="109" w:type="dxa"/>
            <w:tcBorders/>
            <w:vAlign w:val="center"/>
          </w:tcPr>
          <w:p>
            <w:pPr>
              <w:pStyle w:val="TableContents"/>
              <w:bidi w:val="0"/>
              <w:spacing w:before="0" w:after="0"/>
              <w:ind w:left="0" w:right="0" w:hanging="0"/>
              <w:jc w:val="right"/>
            </w:pPr>
            <w:r>
              <w:t>​</w:t>
            </w:r>
          </w:p>
        </w:tc>
        <w:tc>
          <w:tcPr>
            <w:tcW w:w="1621" w:type="dxa"/>
            <w:tcBorders>
              <w:bottom w:val="single" w:sz="2" w:space="0" w:color="1B2E5A"/>
            </w:tcBorders>
            <w:tcMar>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December 31, 2025</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Current assets:</w:t>
            </w:r>
          </w:p>
        </w:tc>
        <w:tc>
          <w:tcPr>
            <w:tcW w:w="163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621" w:type="dxa"/>
            <w:tcBorders/>
            <w:vAlign w:val="center"/>
          </w:tcPr>
          <w:p>
            <w:pPr>
              <w:pStyle w:val="TableContents"/>
              <w:bidi w:val="0"/>
              <w:spacing w:before="0" w:after="0"/>
              <w:ind w:left="0" w:right="0" w:hanging="0"/>
              <w:jc w:val="left"/>
            </w:pPr>
            <w:r>
              <w:t>​</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Cash and cash equivalents</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$ 29,093</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$ 36,350</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Accounts receivable, net</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1,466</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1,734</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Inventory</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272</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438</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Insurance receivables of litigation costs</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2,527</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4,846</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Prepaid expense and other current assets</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8,809</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10,271</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Current assets of discontinued operations</w:t>
            </w:r>
          </w:p>
        </w:tc>
        <w:tc>
          <w:tcPr>
            <w:tcW w:w="1636" w:type="dxa"/>
            <w:tcBorders/>
            <w:vAlign w:val="center"/>
          </w:tcPr>
          <w:p>
            <w:pPr>
              <w:pStyle w:val="TableContents"/>
              <w:bidi w:val="0"/>
              <w:spacing w:before="0" w:after="0"/>
              <w:ind w:left="0" w:right="0" w:hanging="0"/>
              <w:jc w:val="right"/>
              <w:rPr>
                <w:color w:val="222222"/>
              </w:rPr>
            </w:pPr>
            <w:r>
              <w:rPr>
                <w:color w:val="222222"/>
              </w:rPr>
              <w:t>—</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2,179</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Total current assets</w:t>
            </w:r>
          </w:p>
        </w:tc>
        <w:tc>
          <w:tcPr>
            <w:tcW w:w="1636"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42,167</w:t>
            </w:r>
          </w:p>
        </w:tc>
        <w:tc>
          <w:tcPr>
            <w:tcW w:w="109" w:type="dxa"/>
            <w:tcBorders/>
            <w:vAlign w:val="center"/>
          </w:tcPr>
          <w:p>
            <w:pPr>
              <w:pStyle w:val="TableContents"/>
              <w:bidi w:val="0"/>
              <w:spacing w:before="0" w:after="0"/>
              <w:ind w:left="0" w:right="0" w:hanging="0"/>
              <w:jc w:val="right"/>
            </w:pPr>
            <w:r>
              <w:t>​</w:t>
            </w:r>
          </w:p>
        </w:tc>
        <w:tc>
          <w:tcPr>
            <w:tcW w:w="1621"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55,818</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Property and equipment, net</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2,830</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2,511</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Intangible assets, net</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720</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1,529</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Operating lease right-of-use assets, and other</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2,476</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2,492</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b/>
                <w:color w:val="222222"/>
                <w:sz w:val="17"/>
              </w:rPr>
            </w:pPr>
            <w:r>
              <w:rPr>
                <w:rFonts w:ascii="Arial;Helvetica;sans-serif" w:hAnsi="Arial;Helvetica;sans-serif"/>
                <w:b/>
                <w:color w:val="222222"/>
                <w:sz w:val="17"/>
              </w:rPr>
              <w:t>Total assets</w:t>
            </w:r>
          </w:p>
        </w:tc>
        <w:tc>
          <w:tcPr>
            <w:tcW w:w="1636"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$ 48,193</w:t>
            </w:r>
          </w:p>
        </w:tc>
        <w:tc>
          <w:tcPr>
            <w:tcW w:w="109" w:type="dxa"/>
            <w:tcBorders/>
            <w:vAlign w:val="center"/>
          </w:tcPr>
          <w:p>
            <w:pPr>
              <w:pStyle w:val="TableContents"/>
              <w:bidi w:val="0"/>
              <w:spacing w:before="0" w:after="0"/>
              <w:ind w:left="0" w:right="0" w:hanging="0"/>
              <w:jc w:val="right"/>
            </w:pPr>
            <w:r>
              <w:t>​</w:t>
            </w:r>
          </w:p>
        </w:tc>
        <w:tc>
          <w:tcPr>
            <w:tcW w:w="1621"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$ 62,350</w:t>
            </w:r>
          </w:p>
        </w:tc>
      </w:tr>
      <w:tr>
        <w:tc>
          <w:tcPr>
            <w:tcW w:w="3480" w:type="dxa"/>
            <w:gridSpan w:val="2"/>
            <w:tcBorders/>
            <w:vAlign w:val="center"/>
          </w:tcPr>
          <w:p>
            <w:pPr>
              <w:pStyle w:val="TableContents"/>
              <w:bidi w:val="0"/>
              <w:spacing w:before="0" w:after="0"/>
              <w:ind w:left="0" w:right="0" w:hanging="0"/>
              <w:jc w:val="left"/>
            </w:pPr>
            <w:r>
              <w:t>​</w:t>
            </w:r>
          </w:p>
        </w:tc>
        <w:tc>
          <w:tcPr>
            <w:tcW w:w="163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621" w:type="dxa"/>
            <w:tcBorders/>
            <w:vAlign w:val="center"/>
          </w:tcPr>
          <w:p>
            <w:pPr>
              <w:pStyle w:val="TableContents"/>
              <w:bidi w:val="0"/>
              <w:spacing w:before="0" w:after="0"/>
              <w:ind w:left="0" w:right="0" w:hanging="0"/>
              <w:jc w:val="left"/>
            </w:pPr>
            <w:r>
              <w:t>​</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b/>
                <w:color w:val="222222"/>
                <w:sz w:val="17"/>
              </w:rPr>
            </w:pPr>
            <w:r>
              <w:rPr>
                <w:rFonts w:ascii="Arial;Helvetica;sans-serif" w:hAnsi="Arial;Helvetica;sans-serif"/>
                <w:b/>
                <w:color w:val="222222"/>
                <w:sz w:val="17"/>
              </w:rPr>
              <w:t>Liabilities and Stockholders' Equity</w:t>
            </w:r>
          </w:p>
        </w:tc>
        <w:tc>
          <w:tcPr>
            <w:tcW w:w="163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621" w:type="dxa"/>
            <w:tcBorders/>
            <w:vAlign w:val="center"/>
          </w:tcPr>
          <w:p>
            <w:pPr>
              <w:pStyle w:val="TableContents"/>
              <w:bidi w:val="0"/>
              <w:spacing w:before="0" w:after="0"/>
              <w:ind w:left="0" w:right="0" w:hanging="0"/>
              <w:jc w:val="left"/>
            </w:pPr>
            <w:r>
              <w:t>​</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Current liabilities:</w:t>
            </w:r>
          </w:p>
        </w:tc>
        <w:tc>
          <w:tcPr>
            <w:tcW w:w="163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621" w:type="dxa"/>
            <w:tcBorders/>
            <w:vAlign w:val="center"/>
          </w:tcPr>
          <w:p>
            <w:pPr>
              <w:pStyle w:val="TableContents"/>
              <w:bidi w:val="0"/>
              <w:spacing w:before="0" w:after="0"/>
              <w:ind w:left="0" w:right="0" w:hanging="0"/>
              <w:jc w:val="left"/>
            </w:pPr>
            <w:r>
              <w:t>​</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Accounts payable and accrued expenses</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$ 6,962</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$ 9,143</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Current portion of revenue interest obligation</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4,325</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4,400</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Contingent liability for legal proceedings</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3,465</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11,241</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Other current liabilities</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1,278</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355</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Total current liabilities</w:t>
            </w:r>
          </w:p>
        </w:tc>
        <w:tc>
          <w:tcPr>
            <w:tcW w:w="1636"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16,030</w:t>
            </w:r>
          </w:p>
        </w:tc>
        <w:tc>
          <w:tcPr>
            <w:tcW w:w="109" w:type="dxa"/>
            <w:tcBorders/>
            <w:vAlign w:val="center"/>
          </w:tcPr>
          <w:p>
            <w:pPr>
              <w:pStyle w:val="TableContents"/>
              <w:bidi w:val="0"/>
              <w:spacing w:before="0" w:after="0"/>
              <w:ind w:left="0" w:right="0" w:hanging="0"/>
              <w:jc w:val="right"/>
            </w:pPr>
            <w:r>
              <w:t>​</w:t>
            </w:r>
          </w:p>
        </w:tc>
        <w:tc>
          <w:tcPr>
            <w:tcW w:w="1621"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25,139</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Long-term debt, net</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8,098</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color w:val="222222"/>
              </w:rPr>
            </w:pPr>
            <w:r>
              <w:rPr>
                <w:color w:val="222222"/>
              </w:rPr>
              <w:t>—</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Long-term revenue interest obligation</w:t>
            </w:r>
          </w:p>
        </w:tc>
        <w:tc>
          <w:tcPr>
            <w:tcW w:w="1636" w:type="dxa"/>
            <w:tcBorders/>
            <w:vAlign w:val="center"/>
          </w:tcPr>
          <w:p>
            <w:pPr>
              <w:pStyle w:val="TableContents"/>
              <w:bidi w:val="0"/>
              <w:spacing w:before="0" w:after="0"/>
              <w:ind w:left="0" w:right="0" w:hanging="0"/>
              <w:jc w:val="right"/>
              <w:rPr>
                <w:color w:val="222222"/>
              </w:rPr>
            </w:pPr>
            <w:r>
              <w:rPr>
                <w:color w:val="222222"/>
              </w:rPr>
              <w:t>—</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2,828</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Warrant and derivative liabilities</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4,201</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3,124</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Other long-term liabilities</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4,539</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3,587</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Total liabilities</w:t>
            </w:r>
          </w:p>
        </w:tc>
        <w:tc>
          <w:tcPr>
            <w:tcW w:w="1636"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32,868</w:t>
            </w:r>
          </w:p>
        </w:tc>
        <w:tc>
          <w:tcPr>
            <w:tcW w:w="109" w:type="dxa"/>
            <w:tcBorders/>
            <w:vAlign w:val="center"/>
          </w:tcPr>
          <w:p>
            <w:pPr>
              <w:pStyle w:val="TableContents"/>
              <w:bidi w:val="0"/>
              <w:spacing w:before="0" w:after="0"/>
              <w:ind w:left="0" w:right="0" w:hanging="0"/>
              <w:jc w:val="right"/>
            </w:pPr>
            <w:r>
              <w:t>​</w:t>
            </w:r>
          </w:p>
        </w:tc>
        <w:tc>
          <w:tcPr>
            <w:tcW w:w="1621"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34,678</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Stockholders' equity:</w:t>
            </w:r>
          </w:p>
        </w:tc>
        <w:tc>
          <w:tcPr>
            <w:tcW w:w="1636"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621" w:type="dxa"/>
            <w:tcBorders/>
            <w:vAlign w:val="center"/>
          </w:tcPr>
          <w:p>
            <w:pPr>
              <w:pStyle w:val="TableContents"/>
              <w:bidi w:val="0"/>
              <w:spacing w:before="0" w:after="0"/>
              <w:ind w:left="0" w:right="0" w:hanging="0"/>
              <w:jc w:val="left"/>
            </w:pPr>
            <w:r>
              <w:t>​</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Common stock</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44</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43</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Additional paid-in capital</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207,894</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203,842</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Accumulated deficit</w:t>
            </w:r>
          </w:p>
        </w:tc>
        <w:tc>
          <w:tcPr>
            <w:tcW w:w="1636"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(192,613)</w:t>
            </w:r>
          </w:p>
        </w:tc>
        <w:tc>
          <w:tcPr>
            <w:tcW w:w="109" w:type="dxa"/>
            <w:tcBorders/>
            <w:vAlign w:val="center"/>
          </w:tcPr>
          <w:p>
            <w:pPr>
              <w:pStyle w:val="TableContents"/>
              <w:bidi w:val="0"/>
              <w:spacing w:before="0" w:after="0"/>
              <w:ind w:left="0" w:right="0" w:hanging="0"/>
              <w:jc w:val="right"/>
            </w:pPr>
            <w:r>
              <w:t>​</w:t>
            </w:r>
          </w:p>
        </w:tc>
        <w:tc>
          <w:tcPr>
            <w:tcW w:w="162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(176,213)</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Total stockholders' equity</w:t>
            </w:r>
          </w:p>
        </w:tc>
        <w:tc>
          <w:tcPr>
            <w:tcW w:w="1636"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15,325</w:t>
            </w:r>
          </w:p>
        </w:tc>
        <w:tc>
          <w:tcPr>
            <w:tcW w:w="109" w:type="dxa"/>
            <w:tcBorders/>
            <w:vAlign w:val="center"/>
          </w:tcPr>
          <w:p>
            <w:pPr>
              <w:pStyle w:val="TableContents"/>
              <w:bidi w:val="0"/>
              <w:spacing w:before="0" w:after="0"/>
              <w:ind w:left="0" w:right="0" w:hanging="0"/>
              <w:jc w:val="right"/>
            </w:pPr>
            <w:r>
              <w:t>​</w:t>
            </w:r>
          </w:p>
        </w:tc>
        <w:tc>
          <w:tcPr>
            <w:tcW w:w="1621"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27,672</w:t>
            </w:r>
          </w:p>
        </w:tc>
      </w:tr>
      <w:tr>
        <w:tc>
          <w:tcPr>
            <w:tcW w:w="3480" w:type="dxa"/>
            <w:gridSpan w:val="2"/>
            <w:tcBorders/>
            <w:vAlign w:val="center"/>
          </w:tcPr>
          <w:p>
            <w:pPr>
              <w:pStyle w:val="TableContents"/>
              <w:bidi w:val="0"/>
              <w:spacing w:before="0" w:after="0"/>
              <w:ind w:left="0" w:right="0" w:hanging="0"/>
              <w:jc w:val="left"/>
              <w:rPr>
                <w:rFonts w:ascii="Arial;Helvetica;sans-serif" w:hAnsi="Arial;Helvetica;sans-serif"/>
                <w:b/>
                <w:color w:val="222222"/>
                <w:sz w:val="17"/>
              </w:rPr>
            </w:pPr>
            <w:r>
              <w:rPr>
                <w:rFonts w:ascii="Arial;Helvetica;sans-serif" w:hAnsi="Arial;Helvetica;sans-serif"/>
                <w:b/>
                <w:color w:val="222222"/>
                <w:sz w:val="17"/>
              </w:rPr>
              <w:t>Total liabilities and stockholders' equity</w:t>
            </w:r>
          </w:p>
        </w:tc>
        <w:tc>
          <w:tcPr>
            <w:tcW w:w="1636"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$ 48,193</w:t>
            </w:r>
          </w:p>
        </w:tc>
        <w:tc>
          <w:tcPr>
            <w:tcW w:w="109" w:type="dxa"/>
            <w:tcBorders/>
            <w:vAlign w:val="center"/>
          </w:tcPr>
          <w:p>
            <w:pPr>
              <w:pStyle w:val="TableContents"/>
              <w:bidi w:val="0"/>
              <w:spacing w:before="0" w:after="0"/>
              <w:ind w:left="0" w:right="0" w:hanging="0"/>
              <w:jc w:val="right"/>
            </w:pPr>
            <w:r>
              <w:t>​</w:t>
            </w:r>
          </w:p>
        </w:tc>
        <w:tc>
          <w:tcPr>
            <w:tcW w:w="1621"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$ 62,350</w:t>
            </w:r>
          </w:p>
        </w:tc>
      </w:tr>
    </w:tbl>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right"/>
      </w:pPr>
      <w:r>
        <w:t>​</w:t>
      </w:r>
    </w:p>
    <w:tbl>
      <w:tblPr>
        <w:tblW w:w="10205" w:type="dxa"/>
        <w:jc w:val="left"/>
        <w:tblInd w:w="0" w:type="dxa"/>
        <w:tblLayout w:type="fixed"/>
        <w:tblCellMar>
          <w:top w:w="0" w:type="dxa"/>
          <w:left w:w="0" w:type="dxa"/>
          <w:bottom w:w="0" w:type="dxa"/>
          <w:right w:w="0" w:type="dxa"/>
        </w:tblCellMar>
      </w:tblPr>
      <w:tblGrid>
        <w:gridCol w:w="3535"/>
        <w:gridCol w:w="324"/>
        <w:gridCol w:w="89"/>
        <w:gridCol w:w="530"/>
        <w:gridCol w:w="386"/>
        <w:gridCol w:w="257"/>
        <w:gridCol w:w="2173"/>
        <w:gridCol w:w="122"/>
        <w:gridCol w:w="1285"/>
        <w:gridCol w:w="152"/>
        <w:gridCol w:w="1352"/>
      </w:tblGrid>
      <w:tr>
        <w:tc>
          <w:tcPr>
            <w:tcW w:w="3948" w:type="dxa"/>
            <w:gridSpan w:val="3"/>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506980" cy="175260"/>
                      <wp:effectExtent l="0" t="0" r="0" b="0"/>
                      <wp:wrapNone/>
                      <wp:docPr id="15" name="Frame14"/>
                      <a:graphic xmlns:a="http://schemas.openxmlformats.org/drawingml/2006/main">
                        <a:graphicData uri="http://schemas.microsoft.com/office/word/2010/wordprocessingShape">
                          <wps:wsp>
                            <wps:cNvSpPr txBox="1"/>
                            <wps:spPr>
                              <a:xfrm>
                                <a:off x="0" y="0"/>
                                <a:ext cx="250698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91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81660" cy="175260"/>
                      <wp:effectExtent l="0" t="0" r="0" b="0"/>
                      <wp:wrapNone/>
                      <wp:docPr id="16" name="Frame1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257" w:type="dxa"/>
            <w:tcBorders/>
            <w:vAlign w:val="center"/>
          </w:tcPr>
          <w:p>
            <w:pPr>
              <w:pStyle w:val="TableContents"/>
              <w:bidi w:val="0"/>
              <w:spacing w:before="0" w:after="0"/>
              <w:ind w:left="0" w:right="0" w:hanging="0"/>
              <w:jc w:val="left"/>
            </w:pPr>
            <w:r>
              <w:t>​</w:t>
            </w:r>
          </w:p>
        </w:tc>
        <w:tc>
          <w:tcPr>
            <w:tcW w:w="21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79855" cy="175260"/>
                      <wp:effectExtent l="0" t="0" r="0" b="0"/>
                      <wp:wrapNone/>
                      <wp:docPr id="17" name="Frame16"/>
                      <a:graphic xmlns:a="http://schemas.openxmlformats.org/drawingml/2006/main">
                        <a:graphicData uri="http://schemas.microsoft.com/office/word/2010/wordprocessingShape">
                          <wps:wsp>
                            <wps:cNvSpPr txBox="1"/>
                            <wps:spPr>
                              <a:xfrm>
                                <a:off x="0" y="0"/>
                                <a:ext cx="137985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22" w:type="dxa"/>
            <w:tcBorders/>
            <w:vAlign w:val="center"/>
          </w:tcPr>
          <w:p>
            <w:pPr>
              <w:pStyle w:val="TableContents"/>
              <w:bidi w:val="0"/>
              <w:spacing w:before="0" w:after="0"/>
              <w:ind w:left="0" w:right="0" w:hanging="0"/>
              <w:jc w:val="left"/>
            </w:pPr>
            <w:r>
              <w:t>​</w:t>
            </w:r>
          </w:p>
        </w:tc>
        <w:tc>
          <w:tcPr>
            <w:tcW w:w="1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815975" cy="175260"/>
                      <wp:effectExtent l="0" t="0" r="0" b="0"/>
                      <wp:wrapNone/>
                      <wp:docPr id="18" name="Frame17"/>
                      <a:graphic xmlns:a="http://schemas.openxmlformats.org/drawingml/2006/main">
                        <a:graphicData uri="http://schemas.microsoft.com/office/word/2010/wordprocessingShape">
                          <wps:wsp>
                            <wps:cNvSpPr txBox="1"/>
                            <wps:spPr>
                              <a:xfrm>
                                <a:off x="0" y="0"/>
                                <a:ext cx="8159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2" w:type="dxa"/>
            <w:tcBorders/>
            <w:vAlign w:val="center"/>
          </w:tcPr>
          <w:p>
            <w:pPr>
              <w:pStyle w:val="TableContents"/>
              <w:bidi w:val="0"/>
              <w:spacing w:before="0" w:after="0"/>
              <w:ind w:left="0" w:right="0" w:hanging="0"/>
              <w:jc w:val="left"/>
            </w:pPr>
            <w:r>
              <w:t>​</w:t>
            </w:r>
          </w:p>
        </w:tc>
        <w:tc>
          <w:tcPr>
            <w:tcW w:w="1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858520" cy="175260"/>
                      <wp:effectExtent l="0" t="0" r="0" b="0"/>
                      <wp:wrapNone/>
                      <wp:docPr id="19" name="Frame18"/>
                      <a:graphic xmlns:a="http://schemas.openxmlformats.org/drawingml/2006/main">
                        <a:graphicData uri="http://schemas.microsoft.com/office/word/2010/wordprocessingShape">
                          <wps:wsp>
                            <wps:cNvSpPr txBox="1"/>
                            <wps:spPr>
                              <a:xfrm>
                                <a:off x="0" y="0"/>
                                <a:ext cx="85852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3535" w:type="dxa"/>
            <w:tcBorders/>
            <w:vAlign w:val="center"/>
          </w:tcPr>
          <w:p>
            <w:pPr>
              <w:pStyle w:val="TableContents"/>
              <w:bidi w:val="0"/>
              <w:spacing w:before="0" w:after="0"/>
              <w:ind w:left="0" w:right="0" w:hanging="0"/>
              <w:jc w:val="left"/>
              <w:rPr>
                <w:rFonts w:ascii="Arial;Helvetica;sans-serif" w:hAnsi="Arial;Helvetica;sans-serif"/>
                <w:b/>
                <w:color w:val="222222"/>
                <w:sz w:val="18"/>
              </w:rPr>
            </w:pPr>
            <w:r>
              <w:rPr>
                <w:rFonts w:ascii="Arial;Helvetica;sans-serif" w:hAnsi="Arial;Helvetica;sans-serif"/>
                <w:b/>
                <w:color w:val="222222"/>
                <w:sz w:val="18"/>
              </w:rPr>
              <w:t>ELUTIA INC.</w:t>
            </w:r>
          </w:p>
        </w:tc>
        <w:tc>
          <w:tcPr>
            <w:tcW w:w="324" w:type="dxa"/>
            <w:tcBorders/>
            <w:vAlign w:val="center"/>
          </w:tcPr>
          <w:p>
            <w:pPr>
              <w:pStyle w:val="TableContents"/>
              <w:bidi w:val="0"/>
              <w:spacing w:before="0" w:after="0"/>
              <w:ind w:left="0" w:right="0" w:hanging="0"/>
              <w:jc w:val="left"/>
            </w:pPr>
            <w:r>
              <w:t>​</w:t>
            </w:r>
          </w:p>
        </w:tc>
        <w:tc>
          <w:tcPr>
            <w:tcW w:w="619" w:type="dxa"/>
            <w:gridSpan w:val="2"/>
            <w:tcBorders/>
            <w:vAlign w:val="center"/>
          </w:tcPr>
          <w:p>
            <w:pPr>
              <w:pStyle w:val="TableContents"/>
              <w:bidi w:val="0"/>
              <w:spacing w:before="0" w:after="0"/>
              <w:ind w:left="0" w:right="0" w:hanging="0"/>
              <w:jc w:val="left"/>
            </w:pPr>
            <w:r>
              <w:t>​</w:t>
            </w:r>
          </w:p>
        </w:tc>
        <w:tc>
          <w:tcPr>
            <w:tcW w:w="5727" w:type="dxa"/>
            <w:gridSpan w:val="7"/>
            <w:tcBorders/>
            <w:vAlign w:val="center"/>
          </w:tcPr>
          <w:p>
            <w:pPr>
              <w:pStyle w:val="TableContents"/>
              <w:bidi w:val="0"/>
              <w:spacing w:before="0" w:after="0"/>
              <w:ind w:left="0" w:right="0" w:hanging="0"/>
              <w:jc w:val="left"/>
            </w:pPr>
            <w:r>
              <w:t>​</w:t>
            </w:r>
          </w:p>
        </w:tc>
      </w:tr>
      <w:tr>
        <w:tc>
          <w:tcPr>
            <w:tcW w:w="10205" w:type="dxa"/>
            <w:gridSpan w:val="11"/>
            <w:tcBorders/>
            <w:vAlign w:val="center"/>
          </w:tcPr>
          <w:p>
            <w:pPr>
              <w:pStyle w:val="TableContents"/>
              <w:bidi w:val="0"/>
              <w:spacing w:before="0" w:after="0"/>
              <w:ind w:left="0" w:right="0" w:hanging="0"/>
              <w:jc w:val="left"/>
              <w:rPr>
                <w:rFonts w:ascii="Arial;Helvetica;sans-serif" w:hAnsi="Arial;Helvetica;sans-serif"/>
                <w:b/>
                <w:color w:val="222222"/>
                <w:sz w:val="18"/>
              </w:rPr>
            </w:pPr>
            <w:r>
              <w:rPr>
                <w:rFonts w:ascii="Arial;Helvetica;sans-serif" w:hAnsi="Arial;Helvetica;sans-serif"/>
                <w:b/>
                <w:color w:val="222222"/>
                <w:sz w:val="18"/>
              </w:rPr>
              <w:t>CONSOLIDATED STATEMENT OF OPERATIONS</w:t>
            </w:r>
          </w:p>
        </w:tc>
      </w:tr>
      <w:tr>
        <w:tc>
          <w:tcPr>
            <w:tcW w:w="10205" w:type="dxa"/>
            <w:gridSpan w:val="11"/>
            <w:tcBorders/>
            <w:vAlign w:val="center"/>
          </w:tcPr>
          <w:p>
            <w:pPr>
              <w:pStyle w:val="TableContents"/>
              <w:bidi w:val="0"/>
              <w:spacing w:before="0" w:after="0"/>
              <w:ind w:left="0" w:right="0" w:hanging="0"/>
              <w:jc w:val="left"/>
              <w:rPr>
                <w:rFonts w:ascii="Arial;Helvetica;sans-serif" w:hAnsi="Arial;Helvetica;sans-serif"/>
                <w:b/>
                <w:color w:val="222222"/>
                <w:sz w:val="18"/>
              </w:rPr>
            </w:pPr>
            <w:r>
              <w:rPr>
                <w:rFonts w:ascii="Arial;Helvetica;sans-serif" w:hAnsi="Arial;Helvetica;sans-serif"/>
                <w:b/>
                <w:color w:val="222222"/>
                <w:sz w:val="18"/>
              </w:rPr>
              <w:t>(Unaudited, in thousands, except share and per share data)</w:t>
            </w:r>
          </w:p>
        </w:tc>
      </w:tr>
      <w:tr>
        <w:tc>
          <w:tcPr>
            <w:tcW w:w="3948" w:type="dxa"/>
            <w:gridSpan w:val="3"/>
            <w:tcBorders/>
            <w:vAlign w:val="center"/>
          </w:tcPr>
          <w:p>
            <w:pPr>
              <w:pStyle w:val="TableContents"/>
              <w:bidi w:val="0"/>
              <w:spacing w:before="0" w:after="0"/>
              <w:ind w:left="0" w:right="0" w:hanging="0"/>
              <w:jc w:val="left"/>
            </w:pPr>
            <w:r>
              <w:t>​</w:t>
            </w:r>
          </w:p>
        </w:tc>
        <w:tc>
          <w:tcPr>
            <w:tcW w:w="916" w:type="dxa"/>
            <w:gridSpan w:val="2"/>
            <w:tcBorders/>
            <w:vAlign w:val="center"/>
          </w:tcPr>
          <w:p>
            <w:pPr>
              <w:pStyle w:val="TableContents"/>
              <w:bidi w:val="0"/>
              <w:spacing w:before="0" w:after="0"/>
              <w:ind w:left="0" w:right="0" w:hanging="0"/>
              <w:jc w:val="left"/>
            </w:pPr>
            <w:r>
              <w:t>​</w:t>
            </w:r>
          </w:p>
        </w:tc>
        <w:tc>
          <w:tcPr>
            <w:tcW w:w="257" w:type="dxa"/>
            <w:tcBorders/>
            <w:vAlign w:val="center"/>
          </w:tcPr>
          <w:p>
            <w:pPr>
              <w:pStyle w:val="TableContents"/>
              <w:bidi w:val="0"/>
              <w:spacing w:before="0" w:after="0"/>
              <w:ind w:left="0" w:right="0" w:hanging="0"/>
              <w:jc w:val="left"/>
            </w:pPr>
            <w:r>
              <w:t>​</w:t>
            </w:r>
          </w:p>
        </w:tc>
        <w:tc>
          <w:tcPr>
            <w:tcW w:w="2173" w:type="dxa"/>
            <w:tcBorders/>
            <w:vAlign w:val="center"/>
          </w:tcPr>
          <w:p>
            <w:pPr>
              <w:pStyle w:val="TableContents"/>
              <w:bidi w:val="0"/>
              <w:spacing w:before="0" w:after="0"/>
              <w:ind w:left="0" w:right="0" w:hanging="0"/>
              <w:jc w:val="left"/>
            </w:pPr>
            <w:r>
              <w:t>​</w:t>
            </w:r>
          </w:p>
        </w:tc>
        <w:tc>
          <w:tcPr>
            <w:tcW w:w="122" w:type="dxa"/>
            <w:tcBorders/>
            <w:vAlign w:val="center"/>
          </w:tcPr>
          <w:p>
            <w:pPr>
              <w:pStyle w:val="TableContents"/>
              <w:bidi w:val="0"/>
              <w:spacing w:before="0" w:after="0"/>
              <w:ind w:left="0" w:right="0" w:hanging="0"/>
              <w:jc w:val="left"/>
            </w:pPr>
            <w:r>
              <w:t>​</w:t>
            </w:r>
          </w:p>
        </w:tc>
        <w:tc>
          <w:tcPr>
            <w:tcW w:w="1285" w:type="dxa"/>
            <w:tcBorders/>
            <w:vAlign w:val="center"/>
          </w:tcPr>
          <w:p>
            <w:pPr>
              <w:pStyle w:val="TableContents"/>
              <w:bidi w:val="0"/>
              <w:spacing w:before="0" w:after="0"/>
              <w:ind w:left="0" w:right="0" w:hanging="0"/>
              <w:jc w:val="left"/>
            </w:pPr>
            <w:r>
              <w:t>​</w:t>
            </w:r>
          </w:p>
        </w:tc>
        <w:tc>
          <w:tcPr>
            <w:tcW w:w="152" w:type="dxa"/>
            <w:tcBorders/>
            <w:vAlign w:val="center"/>
          </w:tcPr>
          <w:p>
            <w:pPr>
              <w:pStyle w:val="TableContents"/>
              <w:bidi w:val="0"/>
              <w:spacing w:before="0" w:after="0"/>
              <w:ind w:left="0" w:right="0" w:hanging="0"/>
              <w:jc w:val="left"/>
            </w:pPr>
            <w:r>
              <w:t>​</w:t>
            </w:r>
          </w:p>
        </w:tc>
        <w:tc>
          <w:tcPr>
            <w:tcW w:w="1352" w:type="dxa"/>
            <w:tcBorders/>
            <w:vAlign w:val="center"/>
          </w:tcPr>
          <w:p>
            <w:pPr>
              <w:pStyle w:val="TableContents"/>
              <w:bidi w:val="0"/>
              <w:spacing w:before="0" w:after="0"/>
              <w:ind w:left="0" w:right="0" w:hanging="0"/>
              <w:jc w:val="left"/>
            </w:pPr>
            <w:r>
              <w:t>​</w:t>
            </w:r>
          </w:p>
        </w:tc>
      </w:tr>
      <w:tr>
        <w:tc>
          <w:tcPr>
            <w:tcW w:w="3948" w:type="dxa"/>
            <w:gridSpan w:val="3"/>
            <w:tcBorders/>
            <w:vAlign w:val="center"/>
          </w:tcPr>
          <w:p>
            <w:pPr>
              <w:pStyle w:val="TableContents"/>
              <w:bidi w:val="0"/>
              <w:spacing w:before="0" w:after="0"/>
              <w:ind w:left="0" w:right="0" w:hanging="0"/>
              <w:jc w:val="left"/>
            </w:pPr>
            <w:r>
              <w:t>​</w:t>
            </w:r>
          </w:p>
        </w:tc>
        <w:tc>
          <w:tcPr>
            <w:tcW w:w="3346" w:type="dxa"/>
            <w:gridSpan w:val="4"/>
            <w:tcBorders/>
            <w:vAlign w:val="center"/>
          </w:tcPr>
          <w:p>
            <w:pPr>
              <w:pStyle w:val="TableContents"/>
              <w:bidi w:val="0"/>
              <w:spacing w:before="0" w:after="0"/>
              <w:ind w:left="0" w:right="0" w:hanging="0"/>
              <w:jc w:val="center"/>
              <w:rPr>
                <w:rFonts w:ascii="Arial;Helvetica;sans-serif" w:hAnsi="Arial;Helvetica;sans-serif"/>
                <w:b/>
                <w:color w:val="222222"/>
                <w:sz w:val="17"/>
              </w:rPr>
            </w:pPr>
            <w:r>
              <w:rPr>
                <w:rFonts w:ascii="Arial;Helvetica;sans-serif" w:hAnsi="Arial;Helvetica;sans-serif"/>
                <w:b/>
                <w:color w:val="222222"/>
                <w:sz w:val="17"/>
              </w:rPr>
              <w:t>Three months ended September 30,</w:t>
            </w:r>
          </w:p>
        </w:tc>
        <w:tc>
          <w:tcPr>
            <w:tcW w:w="122" w:type="dxa"/>
            <w:tcBorders/>
            <w:vAlign w:val="center"/>
          </w:tcPr>
          <w:p>
            <w:pPr>
              <w:pStyle w:val="TableContents"/>
              <w:bidi w:val="0"/>
              <w:spacing w:before="0" w:after="0"/>
              <w:ind w:left="0" w:right="0" w:hanging="0"/>
              <w:jc w:val="center"/>
            </w:pPr>
            <w:r>
              <w:t>​</w:t>
            </w:r>
          </w:p>
        </w:tc>
        <w:tc>
          <w:tcPr>
            <w:tcW w:w="2789" w:type="dxa"/>
            <w:gridSpan w:val="3"/>
            <w:tcBorders/>
            <w:vAlign w:val="center"/>
          </w:tcPr>
          <w:p>
            <w:pPr>
              <w:pStyle w:val="TableContents"/>
              <w:bidi w:val="0"/>
              <w:spacing w:before="0" w:after="0"/>
              <w:ind w:left="0" w:right="0" w:hanging="0"/>
              <w:jc w:val="center"/>
              <w:rPr>
                <w:rFonts w:ascii="Arial;Helvetica;sans-serif" w:hAnsi="Arial;Helvetica;sans-serif"/>
                <w:b/>
                <w:color w:val="222222"/>
                <w:sz w:val="17"/>
              </w:rPr>
            </w:pPr>
            <w:r>
              <w:rPr>
                <w:rFonts w:ascii="Arial;Helvetica;sans-serif" w:hAnsi="Arial;Helvetica;sans-serif"/>
                <w:b/>
                <w:color w:val="222222"/>
                <w:sz w:val="17"/>
              </w:rPr>
              <w:t>Nine months ended September 30,</w:t>
            </w:r>
          </w:p>
        </w:tc>
      </w:tr>
      <w:tr>
        <w:tc>
          <w:tcPr>
            <w:tcW w:w="3948" w:type="dxa"/>
            <w:gridSpan w:val="3"/>
            <w:tcBorders/>
            <w:vAlign w:val="center"/>
          </w:tcPr>
          <w:p>
            <w:pPr>
              <w:pStyle w:val="TableContents"/>
              <w:bidi w:val="0"/>
              <w:spacing w:before="0" w:after="0"/>
              <w:ind w:left="0" w:right="0" w:hanging="0"/>
              <w:jc w:val="left"/>
            </w:pPr>
            <w:r>
              <w:t>​</w:t>
            </w:r>
          </w:p>
        </w:tc>
        <w:tc>
          <w:tcPr>
            <w:tcW w:w="916" w:type="dxa"/>
            <w:gridSpan w:val="2"/>
            <w:tcBorders>
              <w:top w:val="single" w:sz="18" w:space="0" w:color="000000"/>
              <w:bottom w:val="single" w:sz="2" w:space="0" w:color="000000"/>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2026</w:t>
            </w:r>
          </w:p>
        </w:tc>
        <w:tc>
          <w:tcPr>
            <w:tcW w:w="257" w:type="dxa"/>
            <w:tcBorders>
              <w:top w:val="single" w:sz="18" w:space="0" w:color="000000"/>
            </w:tcBorders>
            <w:tcMar>
              <w:top w:w="30" w:type="dxa"/>
            </w:tcMar>
            <w:vAlign w:val="center"/>
          </w:tcPr>
          <w:p>
            <w:pPr>
              <w:pStyle w:val="TableContents"/>
              <w:bidi w:val="0"/>
              <w:spacing w:before="0" w:after="0"/>
              <w:ind w:left="0" w:right="0" w:hanging="0"/>
              <w:jc w:val="right"/>
            </w:pPr>
            <w:r>
              <w:t>​</w:t>
            </w:r>
          </w:p>
        </w:tc>
        <w:tc>
          <w:tcPr>
            <w:tcW w:w="2173" w:type="dxa"/>
            <w:tcBorders>
              <w:top w:val="single" w:sz="18" w:space="0" w:color="000000"/>
              <w:bottom w:val="single" w:sz="2" w:space="0" w:color="000000"/>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2025</w:t>
            </w:r>
          </w:p>
        </w:tc>
        <w:tc>
          <w:tcPr>
            <w:tcW w:w="122" w:type="dxa"/>
            <w:tcBorders/>
            <w:vAlign w:val="center"/>
          </w:tcPr>
          <w:p>
            <w:pPr>
              <w:pStyle w:val="TableContents"/>
              <w:bidi w:val="0"/>
              <w:spacing w:before="0" w:after="0"/>
              <w:ind w:left="0" w:right="0" w:hanging="0"/>
              <w:jc w:val="right"/>
            </w:pPr>
            <w:r>
              <w:t>​</w:t>
            </w:r>
          </w:p>
        </w:tc>
        <w:tc>
          <w:tcPr>
            <w:tcW w:w="1285" w:type="dxa"/>
            <w:tcBorders>
              <w:top w:val="single" w:sz="18" w:space="0" w:color="000000"/>
              <w:bottom w:val="single" w:sz="2" w:space="0" w:color="000000"/>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2026</w:t>
            </w:r>
          </w:p>
        </w:tc>
        <w:tc>
          <w:tcPr>
            <w:tcW w:w="152" w:type="dxa"/>
            <w:tcBorders>
              <w:top w:val="single" w:sz="18" w:space="0" w:color="000000"/>
            </w:tcBorders>
            <w:tcMar>
              <w:top w:w="30" w:type="dxa"/>
            </w:tcMar>
            <w:vAlign w:val="center"/>
          </w:tcPr>
          <w:p>
            <w:pPr>
              <w:pStyle w:val="TableContents"/>
              <w:bidi w:val="0"/>
              <w:spacing w:before="0" w:after="0"/>
              <w:ind w:left="0" w:right="0" w:hanging="0"/>
              <w:jc w:val="right"/>
            </w:pPr>
            <w:r>
              <w:t>​</w:t>
            </w:r>
          </w:p>
        </w:tc>
        <w:tc>
          <w:tcPr>
            <w:tcW w:w="1352" w:type="dxa"/>
            <w:tcBorders>
              <w:top w:val="single" w:sz="18" w:space="0" w:color="000000"/>
              <w:bottom w:val="single" w:sz="2" w:space="0" w:color="000000"/>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2025</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Net sales</w:t>
            </w:r>
          </w:p>
        </w:tc>
        <w:tc>
          <w:tcPr>
            <w:tcW w:w="916" w:type="dxa"/>
            <w:gridSpan w:val="2"/>
            <w:tcBorders>
              <w:top w:val="single" w:sz="2" w:space="0" w:color="000000"/>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$ 1,137</w:t>
            </w:r>
          </w:p>
        </w:tc>
        <w:tc>
          <w:tcPr>
            <w:tcW w:w="257" w:type="dxa"/>
            <w:tcBorders/>
            <w:vAlign w:val="center"/>
          </w:tcPr>
          <w:p>
            <w:pPr>
              <w:pStyle w:val="TableContents"/>
              <w:bidi w:val="0"/>
              <w:spacing w:before="0" w:after="0"/>
              <w:ind w:left="0" w:right="0" w:hanging="0"/>
              <w:jc w:val="right"/>
            </w:pPr>
            <w:r>
              <w:t>​</w:t>
            </w:r>
          </w:p>
        </w:tc>
        <w:tc>
          <w:tcPr>
            <w:tcW w:w="2173" w:type="dxa"/>
            <w:tcBorders>
              <w:top w:val="single" w:sz="2" w:space="0" w:color="000000"/>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$ 944</w:t>
            </w:r>
          </w:p>
        </w:tc>
        <w:tc>
          <w:tcPr>
            <w:tcW w:w="122" w:type="dxa"/>
            <w:tcBorders/>
            <w:vAlign w:val="center"/>
          </w:tcPr>
          <w:p>
            <w:pPr>
              <w:pStyle w:val="TableContents"/>
              <w:bidi w:val="0"/>
              <w:spacing w:before="0" w:after="0"/>
              <w:ind w:left="0" w:right="0" w:hanging="0"/>
              <w:jc w:val="right"/>
            </w:pPr>
            <w:r>
              <w:t>​</w:t>
            </w:r>
          </w:p>
        </w:tc>
        <w:tc>
          <w:tcPr>
            <w:tcW w:w="1285" w:type="dxa"/>
            <w:tcBorders>
              <w:top w:val="single" w:sz="2" w:space="0" w:color="000000"/>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$ 3,306</w:t>
            </w:r>
          </w:p>
        </w:tc>
        <w:tc>
          <w:tcPr>
            <w:tcW w:w="152" w:type="dxa"/>
            <w:tcBorders/>
            <w:vAlign w:val="center"/>
          </w:tcPr>
          <w:p>
            <w:pPr>
              <w:pStyle w:val="TableContents"/>
              <w:bidi w:val="0"/>
              <w:spacing w:before="0" w:after="0"/>
              <w:ind w:left="0" w:right="0" w:hanging="0"/>
              <w:jc w:val="right"/>
            </w:pPr>
            <w:r>
              <w:t>​</w:t>
            </w:r>
          </w:p>
        </w:tc>
        <w:tc>
          <w:tcPr>
            <w:tcW w:w="1352" w:type="dxa"/>
            <w:tcBorders>
              <w:top w:val="single" w:sz="2" w:space="0" w:color="000000"/>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$ 2,007</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Cost of goods sold</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435</w:t>
            </w:r>
          </w:p>
        </w:tc>
        <w:tc>
          <w:tcPr>
            <w:tcW w:w="257" w:type="dxa"/>
            <w:tcBorders/>
            <w:vAlign w:val="center"/>
          </w:tcPr>
          <w:p>
            <w:pPr>
              <w:pStyle w:val="TableContents"/>
              <w:bidi w:val="0"/>
              <w:spacing w:before="0" w:after="0"/>
              <w:ind w:left="0" w:right="0" w:hanging="0"/>
              <w:jc w:val="right"/>
            </w:pPr>
            <w:r>
              <w:t>​</w:t>
            </w:r>
          </w:p>
        </w:tc>
        <w:tc>
          <w:tcPr>
            <w:tcW w:w="2173"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446</w:t>
            </w:r>
          </w:p>
        </w:tc>
        <w:tc>
          <w:tcPr>
            <w:tcW w:w="122" w:type="dxa"/>
            <w:tcBorders/>
            <w:vAlign w:val="center"/>
          </w:tcPr>
          <w:p>
            <w:pPr>
              <w:pStyle w:val="TableContents"/>
              <w:bidi w:val="0"/>
              <w:spacing w:before="0" w:after="0"/>
              <w:ind w:left="0" w:right="0" w:hanging="0"/>
              <w:jc w:val="right"/>
            </w:pPr>
            <w:r>
              <w:t>​</w:t>
            </w:r>
          </w:p>
        </w:tc>
        <w:tc>
          <w:tcPr>
            <w:tcW w:w="12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1,299</w:t>
            </w:r>
          </w:p>
        </w:tc>
        <w:tc>
          <w:tcPr>
            <w:tcW w:w="152" w:type="dxa"/>
            <w:tcBorders/>
            <w:vAlign w:val="center"/>
          </w:tcPr>
          <w:p>
            <w:pPr>
              <w:pStyle w:val="TableContents"/>
              <w:bidi w:val="0"/>
              <w:spacing w:before="0" w:after="0"/>
              <w:ind w:left="0" w:right="0" w:hanging="0"/>
              <w:jc w:val="right"/>
            </w:pPr>
            <w:r>
              <w:t>​</w:t>
            </w:r>
          </w:p>
        </w:tc>
        <w:tc>
          <w:tcPr>
            <w:tcW w:w="1352"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1,248</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Gross profit</w:t>
            </w:r>
          </w:p>
        </w:tc>
        <w:tc>
          <w:tcPr>
            <w:tcW w:w="916" w:type="dxa"/>
            <w:gridSpan w:val="2"/>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702</w:t>
            </w:r>
          </w:p>
        </w:tc>
        <w:tc>
          <w:tcPr>
            <w:tcW w:w="257" w:type="dxa"/>
            <w:tcBorders/>
            <w:vAlign w:val="center"/>
          </w:tcPr>
          <w:p>
            <w:pPr>
              <w:pStyle w:val="TableContents"/>
              <w:bidi w:val="0"/>
              <w:spacing w:before="0" w:after="0"/>
              <w:ind w:left="0" w:right="0" w:hanging="0"/>
              <w:jc w:val="right"/>
            </w:pPr>
            <w:r>
              <w:t>​</w:t>
            </w:r>
          </w:p>
        </w:tc>
        <w:tc>
          <w:tcPr>
            <w:tcW w:w="2173"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498</w:t>
            </w:r>
          </w:p>
        </w:tc>
        <w:tc>
          <w:tcPr>
            <w:tcW w:w="122" w:type="dxa"/>
            <w:tcBorders/>
            <w:vAlign w:val="center"/>
          </w:tcPr>
          <w:p>
            <w:pPr>
              <w:pStyle w:val="TableContents"/>
              <w:bidi w:val="0"/>
              <w:spacing w:before="0" w:after="0"/>
              <w:ind w:left="0" w:right="0" w:hanging="0"/>
              <w:jc w:val="right"/>
            </w:pPr>
            <w:r>
              <w:t>​</w:t>
            </w:r>
          </w:p>
        </w:tc>
        <w:tc>
          <w:tcPr>
            <w:tcW w:w="128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2,007</w:t>
            </w:r>
          </w:p>
        </w:tc>
        <w:tc>
          <w:tcPr>
            <w:tcW w:w="152" w:type="dxa"/>
            <w:tcBorders/>
            <w:vAlign w:val="center"/>
          </w:tcPr>
          <w:p>
            <w:pPr>
              <w:pStyle w:val="TableContents"/>
              <w:bidi w:val="0"/>
              <w:spacing w:before="0" w:after="0"/>
              <w:ind w:left="0" w:right="0" w:hanging="0"/>
              <w:jc w:val="right"/>
            </w:pPr>
            <w:r>
              <w:t>​</w:t>
            </w:r>
          </w:p>
        </w:tc>
        <w:tc>
          <w:tcPr>
            <w:tcW w:w="1352"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759</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Operating expenses:</w:t>
            </w:r>
          </w:p>
        </w:tc>
        <w:tc>
          <w:tcPr>
            <w:tcW w:w="916" w:type="dxa"/>
            <w:gridSpan w:val="2"/>
            <w:tcBorders/>
            <w:vAlign w:val="center"/>
          </w:tcPr>
          <w:p>
            <w:pPr>
              <w:pStyle w:val="TableContents"/>
              <w:bidi w:val="0"/>
              <w:spacing w:before="0" w:after="0"/>
              <w:ind w:left="0" w:right="0" w:hanging="0"/>
              <w:jc w:val="left"/>
            </w:pPr>
            <w:r>
              <w:t>​</w:t>
            </w:r>
          </w:p>
        </w:tc>
        <w:tc>
          <w:tcPr>
            <w:tcW w:w="257" w:type="dxa"/>
            <w:tcBorders/>
            <w:vAlign w:val="center"/>
          </w:tcPr>
          <w:p>
            <w:pPr>
              <w:pStyle w:val="TableContents"/>
              <w:bidi w:val="0"/>
              <w:spacing w:before="0" w:after="0"/>
              <w:ind w:left="0" w:right="0" w:hanging="0"/>
              <w:jc w:val="left"/>
            </w:pPr>
            <w:r>
              <w:t>​</w:t>
            </w:r>
          </w:p>
        </w:tc>
        <w:tc>
          <w:tcPr>
            <w:tcW w:w="2173" w:type="dxa"/>
            <w:tcBorders/>
            <w:vAlign w:val="center"/>
          </w:tcPr>
          <w:p>
            <w:pPr>
              <w:pStyle w:val="TableContents"/>
              <w:bidi w:val="0"/>
              <w:spacing w:before="0" w:after="0"/>
              <w:ind w:left="0" w:right="0" w:hanging="0"/>
              <w:jc w:val="left"/>
            </w:pPr>
            <w:r>
              <w:t>​</w:t>
            </w:r>
          </w:p>
        </w:tc>
        <w:tc>
          <w:tcPr>
            <w:tcW w:w="122" w:type="dxa"/>
            <w:tcBorders/>
            <w:vAlign w:val="center"/>
          </w:tcPr>
          <w:p>
            <w:pPr>
              <w:pStyle w:val="TableContents"/>
              <w:bidi w:val="0"/>
              <w:spacing w:before="0" w:after="0"/>
              <w:ind w:left="0" w:right="0" w:hanging="0"/>
              <w:jc w:val="left"/>
            </w:pPr>
            <w:r>
              <w:t>​</w:t>
            </w:r>
          </w:p>
        </w:tc>
        <w:tc>
          <w:tcPr>
            <w:tcW w:w="1285" w:type="dxa"/>
            <w:tcBorders/>
            <w:vAlign w:val="center"/>
          </w:tcPr>
          <w:p>
            <w:pPr>
              <w:pStyle w:val="TableContents"/>
              <w:bidi w:val="0"/>
              <w:spacing w:before="0" w:after="0"/>
              <w:ind w:left="0" w:right="0" w:hanging="0"/>
              <w:jc w:val="left"/>
            </w:pPr>
            <w:r>
              <w:t>​</w:t>
            </w:r>
          </w:p>
        </w:tc>
        <w:tc>
          <w:tcPr>
            <w:tcW w:w="152" w:type="dxa"/>
            <w:tcBorders/>
            <w:vAlign w:val="center"/>
          </w:tcPr>
          <w:p>
            <w:pPr>
              <w:pStyle w:val="TableContents"/>
              <w:bidi w:val="0"/>
              <w:spacing w:before="0" w:after="0"/>
              <w:ind w:left="0" w:right="0" w:hanging="0"/>
              <w:jc w:val="left"/>
            </w:pPr>
            <w:r>
              <w:t>​</w:t>
            </w:r>
          </w:p>
        </w:tc>
        <w:tc>
          <w:tcPr>
            <w:tcW w:w="1352" w:type="dxa"/>
            <w:tcBorders/>
            <w:vAlign w:val="center"/>
          </w:tcPr>
          <w:p>
            <w:pPr>
              <w:pStyle w:val="TableContents"/>
              <w:bidi w:val="0"/>
              <w:spacing w:before="0" w:after="0"/>
              <w:ind w:left="0" w:right="0" w:hanging="0"/>
              <w:jc w:val="left"/>
            </w:pPr>
            <w:r>
              <w:t>​</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Sales and marketing</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756</w:t>
            </w:r>
          </w:p>
        </w:tc>
        <w:tc>
          <w:tcPr>
            <w:tcW w:w="257" w:type="dxa"/>
            <w:tcBorders/>
            <w:vAlign w:val="center"/>
          </w:tcPr>
          <w:p>
            <w:pPr>
              <w:pStyle w:val="TableContents"/>
              <w:bidi w:val="0"/>
              <w:spacing w:before="0" w:after="0"/>
              <w:ind w:left="0" w:right="0" w:hanging="0"/>
              <w:jc w:val="right"/>
            </w:pPr>
            <w:r>
              <w:t>​</w:t>
            </w:r>
          </w:p>
        </w:tc>
        <w:tc>
          <w:tcPr>
            <w:tcW w:w="2173"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921</w:t>
            </w:r>
          </w:p>
        </w:tc>
        <w:tc>
          <w:tcPr>
            <w:tcW w:w="122" w:type="dxa"/>
            <w:tcBorders/>
            <w:vAlign w:val="center"/>
          </w:tcPr>
          <w:p>
            <w:pPr>
              <w:pStyle w:val="TableContents"/>
              <w:bidi w:val="0"/>
              <w:spacing w:before="0" w:after="0"/>
              <w:ind w:left="0" w:right="0" w:hanging="0"/>
              <w:jc w:val="right"/>
            </w:pPr>
            <w:r>
              <w:t>​</w:t>
            </w:r>
          </w:p>
        </w:tc>
        <w:tc>
          <w:tcPr>
            <w:tcW w:w="12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2,423</w:t>
            </w:r>
          </w:p>
        </w:tc>
        <w:tc>
          <w:tcPr>
            <w:tcW w:w="152" w:type="dxa"/>
            <w:tcBorders/>
            <w:vAlign w:val="center"/>
          </w:tcPr>
          <w:p>
            <w:pPr>
              <w:pStyle w:val="TableContents"/>
              <w:bidi w:val="0"/>
              <w:spacing w:before="0" w:after="0"/>
              <w:ind w:left="0" w:right="0" w:hanging="0"/>
              <w:jc w:val="right"/>
            </w:pPr>
            <w:r>
              <w:t>​</w:t>
            </w:r>
          </w:p>
        </w:tc>
        <w:tc>
          <w:tcPr>
            <w:tcW w:w="1352"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1,889</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General and administrative</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3,748</w:t>
            </w:r>
          </w:p>
        </w:tc>
        <w:tc>
          <w:tcPr>
            <w:tcW w:w="257" w:type="dxa"/>
            <w:tcBorders/>
            <w:vAlign w:val="center"/>
          </w:tcPr>
          <w:p>
            <w:pPr>
              <w:pStyle w:val="TableContents"/>
              <w:bidi w:val="0"/>
              <w:spacing w:before="0" w:after="0"/>
              <w:ind w:left="0" w:right="0" w:hanging="0"/>
              <w:jc w:val="right"/>
            </w:pPr>
            <w:r>
              <w:t>​</w:t>
            </w:r>
          </w:p>
        </w:tc>
        <w:tc>
          <w:tcPr>
            <w:tcW w:w="2173"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3,505</w:t>
            </w:r>
          </w:p>
        </w:tc>
        <w:tc>
          <w:tcPr>
            <w:tcW w:w="122" w:type="dxa"/>
            <w:tcBorders/>
            <w:vAlign w:val="center"/>
          </w:tcPr>
          <w:p>
            <w:pPr>
              <w:pStyle w:val="TableContents"/>
              <w:bidi w:val="0"/>
              <w:spacing w:before="0" w:after="0"/>
              <w:ind w:left="0" w:right="0" w:hanging="0"/>
              <w:jc w:val="right"/>
            </w:pPr>
            <w:r>
              <w:t>​</w:t>
            </w:r>
          </w:p>
        </w:tc>
        <w:tc>
          <w:tcPr>
            <w:tcW w:w="12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11,173</w:t>
            </w:r>
          </w:p>
        </w:tc>
        <w:tc>
          <w:tcPr>
            <w:tcW w:w="152" w:type="dxa"/>
            <w:tcBorders/>
            <w:vAlign w:val="center"/>
          </w:tcPr>
          <w:p>
            <w:pPr>
              <w:pStyle w:val="TableContents"/>
              <w:bidi w:val="0"/>
              <w:spacing w:before="0" w:after="0"/>
              <w:ind w:left="0" w:right="0" w:hanging="0"/>
              <w:jc w:val="right"/>
            </w:pPr>
            <w:r>
              <w:t>​</w:t>
            </w:r>
          </w:p>
        </w:tc>
        <w:tc>
          <w:tcPr>
            <w:tcW w:w="1352"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10,770</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Research and development</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2,977</w:t>
            </w:r>
          </w:p>
        </w:tc>
        <w:tc>
          <w:tcPr>
            <w:tcW w:w="257" w:type="dxa"/>
            <w:tcBorders/>
            <w:vAlign w:val="center"/>
          </w:tcPr>
          <w:p>
            <w:pPr>
              <w:pStyle w:val="TableContents"/>
              <w:bidi w:val="0"/>
              <w:spacing w:before="0" w:after="0"/>
              <w:ind w:left="0" w:right="0" w:hanging="0"/>
              <w:jc w:val="right"/>
            </w:pPr>
            <w:r>
              <w:t>​</w:t>
            </w:r>
          </w:p>
        </w:tc>
        <w:tc>
          <w:tcPr>
            <w:tcW w:w="2173"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1,088</w:t>
            </w:r>
          </w:p>
        </w:tc>
        <w:tc>
          <w:tcPr>
            <w:tcW w:w="122" w:type="dxa"/>
            <w:tcBorders/>
            <w:vAlign w:val="center"/>
          </w:tcPr>
          <w:p>
            <w:pPr>
              <w:pStyle w:val="TableContents"/>
              <w:bidi w:val="0"/>
              <w:spacing w:before="0" w:after="0"/>
              <w:ind w:left="0" w:right="0" w:hanging="0"/>
              <w:jc w:val="right"/>
            </w:pPr>
            <w:r>
              <w:t>​</w:t>
            </w:r>
          </w:p>
        </w:tc>
        <w:tc>
          <w:tcPr>
            <w:tcW w:w="12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7,477</w:t>
            </w:r>
          </w:p>
        </w:tc>
        <w:tc>
          <w:tcPr>
            <w:tcW w:w="152" w:type="dxa"/>
            <w:tcBorders/>
            <w:vAlign w:val="center"/>
          </w:tcPr>
          <w:p>
            <w:pPr>
              <w:pStyle w:val="TableContents"/>
              <w:bidi w:val="0"/>
              <w:spacing w:before="0" w:after="0"/>
              <w:ind w:left="0" w:right="0" w:hanging="0"/>
              <w:jc w:val="right"/>
            </w:pPr>
            <w:r>
              <w:t>​</w:t>
            </w:r>
          </w:p>
        </w:tc>
        <w:tc>
          <w:tcPr>
            <w:tcW w:w="1352"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2,948</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Litigation costs, net</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117</w:t>
            </w:r>
          </w:p>
        </w:tc>
        <w:tc>
          <w:tcPr>
            <w:tcW w:w="257" w:type="dxa"/>
            <w:tcBorders/>
            <w:vAlign w:val="center"/>
          </w:tcPr>
          <w:p>
            <w:pPr>
              <w:pStyle w:val="TableContents"/>
              <w:bidi w:val="0"/>
              <w:spacing w:before="0" w:after="0"/>
              <w:ind w:left="0" w:right="0" w:hanging="0"/>
              <w:jc w:val="right"/>
            </w:pPr>
            <w:r>
              <w:t>​</w:t>
            </w:r>
          </w:p>
        </w:tc>
        <w:tc>
          <w:tcPr>
            <w:tcW w:w="2173"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853</w:t>
            </w:r>
          </w:p>
        </w:tc>
        <w:tc>
          <w:tcPr>
            <w:tcW w:w="122" w:type="dxa"/>
            <w:tcBorders/>
            <w:vAlign w:val="center"/>
          </w:tcPr>
          <w:p>
            <w:pPr>
              <w:pStyle w:val="TableContents"/>
              <w:bidi w:val="0"/>
              <w:spacing w:before="0" w:after="0"/>
              <w:ind w:left="0" w:right="0" w:hanging="0"/>
              <w:jc w:val="right"/>
            </w:pPr>
            <w:r>
              <w:t>​</w:t>
            </w:r>
          </w:p>
        </w:tc>
        <w:tc>
          <w:tcPr>
            <w:tcW w:w="12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2,780</w:t>
            </w:r>
          </w:p>
        </w:tc>
        <w:tc>
          <w:tcPr>
            <w:tcW w:w="152" w:type="dxa"/>
            <w:tcBorders/>
            <w:vAlign w:val="center"/>
          </w:tcPr>
          <w:p>
            <w:pPr>
              <w:pStyle w:val="TableContents"/>
              <w:bidi w:val="0"/>
              <w:spacing w:before="0" w:after="0"/>
              <w:ind w:left="0" w:right="0" w:hanging="0"/>
              <w:jc w:val="right"/>
            </w:pPr>
            <w:r>
              <w:t>​</w:t>
            </w:r>
          </w:p>
        </w:tc>
        <w:tc>
          <w:tcPr>
            <w:tcW w:w="1352"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7,429</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Total operating expenses</w:t>
            </w:r>
          </w:p>
        </w:tc>
        <w:tc>
          <w:tcPr>
            <w:tcW w:w="916" w:type="dxa"/>
            <w:gridSpan w:val="2"/>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7,598</w:t>
            </w:r>
          </w:p>
        </w:tc>
        <w:tc>
          <w:tcPr>
            <w:tcW w:w="257" w:type="dxa"/>
            <w:tcBorders/>
            <w:vAlign w:val="center"/>
          </w:tcPr>
          <w:p>
            <w:pPr>
              <w:pStyle w:val="TableContents"/>
              <w:bidi w:val="0"/>
              <w:spacing w:before="0" w:after="0"/>
              <w:ind w:left="0" w:right="0" w:hanging="0"/>
              <w:jc w:val="right"/>
            </w:pPr>
            <w:r>
              <w:t>​</w:t>
            </w:r>
          </w:p>
        </w:tc>
        <w:tc>
          <w:tcPr>
            <w:tcW w:w="2173"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6,367</w:t>
            </w:r>
          </w:p>
        </w:tc>
        <w:tc>
          <w:tcPr>
            <w:tcW w:w="122" w:type="dxa"/>
            <w:tcBorders/>
            <w:vAlign w:val="center"/>
          </w:tcPr>
          <w:p>
            <w:pPr>
              <w:pStyle w:val="TableContents"/>
              <w:bidi w:val="0"/>
              <w:spacing w:before="0" w:after="0"/>
              <w:ind w:left="0" w:right="0" w:hanging="0"/>
              <w:jc w:val="right"/>
            </w:pPr>
            <w:r>
              <w:t>​</w:t>
            </w:r>
          </w:p>
        </w:tc>
        <w:tc>
          <w:tcPr>
            <w:tcW w:w="128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23,853</w:t>
            </w:r>
          </w:p>
        </w:tc>
        <w:tc>
          <w:tcPr>
            <w:tcW w:w="152" w:type="dxa"/>
            <w:tcBorders/>
            <w:vAlign w:val="center"/>
          </w:tcPr>
          <w:p>
            <w:pPr>
              <w:pStyle w:val="TableContents"/>
              <w:bidi w:val="0"/>
              <w:spacing w:before="0" w:after="0"/>
              <w:ind w:left="0" w:right="0" w:hanging="0"/>
              <w:jc w:val="right"/>
            </w:pPr>
            <w:r>
              <w:t>​</w:t>
            </w:r>
          </w:p>
        </w:tc>
        <w:tc>
          <w:tcPr>
            <w:tcW w:w="1352"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23,036</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Loss from operations</w:t>
            </w:r>
          </w:p>
        </w:tc>
        <w:tc>
          <w:tcPr>
            <w:tcW w:w="916" w:type="dxa"/>
            <w:gridSpan w:val="2"/>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(6,896)</w:t>
            </w:r>
          </w:p>
        </w:tc>
        <w:tc>
          <w:tcPr>
            <w:tcW w:w="257" w:type="dxa"/>
            <w:tcBorders/>
            <w:vAlign w:val="center"/>
          </w:tcPr>
          <w:p>
            <w:pPr>
              <w:pStyle w:val="TableContents"/>
              <w:bidi w:val="0"/>
              <w:spacing w:before="0" w:after="0"/>
              <w:ind w:left="0" w:right="0" w:hanging="0"/>
              <w:jc w:val="right"/>
            </w:pPr>
            <w:r>
              <w:t>​</w:t>
            </w:r>
          </w:p>
        </w:tc>
        <w:tc>
          <w:tcPr>
            <w:tcW w:w="2173"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(5,869)</w:t>
            </w:r>
          </w:p>
        </w:tc>
        <w:tc>
          <w:tcPr>
            <w:tcW w:w="122" w:type="dxa"/>
            <w:tcBorders/>
            <w:vAlign w:val="center"/>
          </w:tcPr>
          <w:p>
            <w:pPr>
              <w:pStyle w:val="TableContents"/>
              <w:bidi w:val="0"/>
              <w:spacing w:before="0" w:after="0"/>
              <w:ind w:left="0" w:right="0" w:hanging="0"/>
              <w:jc w:val="right"/>
            </w:pPr>
            <w:r>
              <w:t>​</w:t>
            </w:r>
          </w:p>
        </w:tc>
        <w:tc>
          <w:tcPr>
            <w:tcW w:w="128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(21,846)</w:t>
            </w:r>
          </w:p>
        </w:tc>
        <w:tc>
          <w:tcPr>
            <w:tcW w:w="152" w:type="dxa"/>
            <w:tcBorders/>
            <w:vAlign w:val="center"/>
          </w:tcPr>
          <w:p>
            <w:pPr>
              <w:pStyle w:val="TableContents"/>
              <w:bidi w:val="0"/>
              <w:spacing w:before="0" w:after="0"/>
              <w:ind w:left="0" w:right="0" w:hanging="0"/>
              <w:jc w:val="right"/>
            </w:pPr>
            <w:r>
              <w:t>​</w:t>
            </w:r>
          </w:p>
        </w:tc>
        <w:tc>
          <w:tcPr>
            <w:tcW w:w="1352"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(22,277)</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Interest (income) expense, net</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278</w:t>
            </w:r>
          </w:p>
        </w:tc>
        <w:tc>
          <w:tcPr>
            <w:tcW w:w="257" w:type="dxa"/>
            <w:tcBorders/>
            <w:vAlign w:val="center"/>
          </w:tcPr>
          <w:p>
            <w:pPr>
              <w:pStyle w:val="TableContents"/>
              <w:bidi w:val="0"/>
              <w:spacing w:before="0" w:after="0"/>
              <w:ind w:left="0" w:right="0" w:hanging="0"/>
              <w:jc w:val="right"/>
            </w:pPr>
            <w:r>
              <w:t>​</w:t>
            </w:r>
          </w:p>
        </w:tc>
        <w:tc>
          <w:tcPr>
            <w:tcW w:w="2173"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265</w:t>
            </w:r>
          </w:p>
        </w:tc>
        <w:tc>
          <w:tcPr>
            <w:tcW w:w="122" w:type="dxa"/>
            <w:tcBorders/>
            <w:vAlign w:val="center"/>
          </w:tcPr>
          <w:p>
            <w:pPr>
              <w:pStyle w:val="TableContents"/>
              <w:bidi w:val="0"/>
              <w:spacing w:before="0" w:after="0"/>
              <w:ind w:left="0" w:right="0" w:hanging="0"/>
              <w:jc w:val="right"/>
            </w:pPr>
            <w:r>
              <w:t>​</w:t>
            </w:r>
          </w:p>
        </w:tc>
        <w:tc>
          <w:tcPr>
            <w:tcW w:w="12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135</w:t>
            </w:r>
          </w:p>
        </w:tc>
        <w:tc>
          <w:tcPr>
            <w:tcW w:w="152" w:type="dxa"/>
            <w:tcBorders/>
            <w:vAlign w:val="center"/>
          </w:tcPr>
          <w:p>
            <w:pPr>
              <w:pStyle w:val="TableContents"/>
              <w:bidi w:val="0"/>
              <w:spacing w:before="0" w:after="0"/>
              <w:ind w:left="0" w:right="0" w:hanging="0"/>
              <w:jc w:val="right"/>
            </w:pPr>
            <w:r>
              <w:t>​</w:t>
            </w:r>
          </w:p>
        </w:tc>
        <w:tc>
          <w:tcPr>
            <w:tcW w:w="1352"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(42)</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Other (income) expense, net</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(679)</w:t>
            </w:r>
          </w:p>
        </w:tc>
        <w:tc>
          <w:tcPr>
            <w:tcW w:w="257" w:type="dxa"/>
            <w:tcBorders/>
            <w:vAlign w:val="center"/>
          </w:tcPr>
          <w:p>
            <w:pPr>
              <w:pStyle w:val="TableContents"/>
              <w:bidi w:val="0"/>
              <w:spacing w:before="0" w:after="0"/>
              <w:ind w:left="0" w:right="0" w:hanging="0"/>
              <w:jc w:val="right"/>
            </w:pPr>
            <w:r>
              <w:t>​</w:t>
            </w:r>
          </w:p>
        </w:tc>
        <w:tc>
          <w:tcPr>
            <w:tcW w:w="2173"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(5,098)</w:t>
            </w:r>
          </w:p>
        </w:tc>
        <w:tc>
          <w:tcPr>
            <w:tcW w:w="122" w:type="dxa"/>
            <w:tcBorders/>
            <w:vAlign w:val="center"/>
          </w:tcPr>
          <w:p>
            <w:pPr>
              <w:pStyle w:val="TableContents"/>
              <w:bidi w:val="0"/>
              <w:spacing w:before="0" w:after="0"/>
              <w:ind w:left="0" w:right="0" w:hanging="0"/>
              <w:jc w:val="right"/>
            </w:pPr>
            <w:r>
              <w:t>​</w:t>
            </w:r>
          </w:p>
        </w:tc>
        <w:tc>
          <w:tcPr>
            <w:tcW w:w="12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621</w:t>
            </w:r>
          </w:p>
        </w:tc>
        <w:tc>
          <w:tcPr>
            <w:tcW w:w="152" w:type="dxa"/>
            <w:tcBorders/>
            <w:vAlign w:val="center"/>
          </w:tcPr>
          <w:p>
            <w:pPr>
              <w:pStyle w:val="TableContents"/>
              <w:bidi w:val="0"/>
              <w:spacing w:before="0" w:after="0"/>
              <w:ind w:left="0" w:right="0" w:hanging="0"/>
              <w:jc w:val="right"/>
            </w:pPr>
            <w:r>
              <w:t>​</w:t>
            </w:r>
          </w:p>
        </w:tc>
        <w:tc>
          <w:tcPr>
            <w:tcW w:w="1352"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(10,971)</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Loss before provision for income taxes</w:t>
            </w:r>
          </w:p>
        </w:tc>
        <w:tc>
          <w:tcPr>
            <w:tcW w:w="916" w:type="dxa"/>
            <w:gridSpan w:val="2"/>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(6,495)</w:t>
            </w:r>
          </w:p>
        </w:tc>
        <w:tc>
          <w:tcPr>
            <w:tcW w:w="257" w:type="dxa"/>
            <w:tcBorders/>
            <w:vAlign w:val="center"/>
          </w:tcPr>
          <w:p>
            <w:pPr>
              <w:pStyle w:val="TableContents"/>
              <w:bidi w:val="0"/>
              <w:spacing w:before="0" w:after="0"/>
              <w:ind w:left="0" w:right="0" w:hanging="0"/>
              <w:jc w:val="right"/>
            </w:pPr>
            <w:r>
              <w:t>​</w:t>
            </w:r>
          </w:p>
        </w:tc>
        <w:tc>
          <w:tcPr>
            <w:tcW w:w="2173"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(1,036)</w:t>
            </w:r>
          </w:p>
        </w:tc>
        <w:tc>
          <w:tcPr>
            <w:tcW w:w="122" w:type="dxa"/>
            <w:tcBorders/>
            <w:vAlign w:val="center"/>
          </w:tcPr>
          <w:p>
            <w:pPr>
              <w:pStyle w:val="TableContents"/>
              <w:bidi w:val="0"/>
              <w:spacing w:before="0" w:after="0"/>
              <w:ind w:left="0" w:right="0" w:hanging="0"/>
              <w:jc w:val="right"/>
            </w:pPr>
            <w:r>
              <w:t>​</w:t>
            </w:r>
          </w:p>
        </w:tc>
        <w:tc>
          <w:tcPr>
            <w:tcW w:w="128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(22,602)</w:t>
            </w:r>
          </w:p>
        </w:tc>
        <w:tc>
          <w:tcPr>
            <w:tcW w:w="152" w:type="dxa"/>
            <w:tcBorders/>
            <w:vAlign w:val="center"/>
          </w:tcPr>
          <w:p>
            <w:pPr>
              <w:pStyle w:val="TableContents"/>
              <w:bidi w:val="0"/>
              <w:spacing w:before="0" w:after="0"/>
              <w:ind w:left="0" w:right="0" w:hanging="0"/>
              <w:jc w:val="right"/>
            </w:pPr>
            <w:r>
              <w:t>​</w:t>
            </w:r>
          </w:p>
        </w:tc>
        <w:tc>
          <w:tcPr>
            <w:tcW w:w="1352"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(11,264)</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Provision for income taxes</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8</w:t>
            </w:r>
          </w:p>
        </w:tc>
        <w:tc>
          <w:tcPr>
            <w:tcW w:w="257" w:type="dxa"/>
            <w:tcBorders/>
            <w:vAlign w:val="center"/>
          </w:tcPr>
          <w:p>
            <w:pPr>
              <w:pStyle w:val="TableContents"/>
              <w:bidi w:val="0"/>
              <w:spacing w:before="0" w:after="0"/>
              <w:ind w:left="0" w:right="0" w:hanging="0"/>
              <w:jc w:val="right"/>
            </w:pPr>
            <w:r>
              <w:t>​</w:t>
            </w:r>
          </w:p>
        </w:tc>
        <w:tc>
          <w:tcPr>
            <w:tcW w:w="2173"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8</w:t>
            </w:r>
          </w:p>
        </w:tc>
        <w:tc>
          <w:tcPr>
            <w:tcW w:w="122" w:type="dxa"/>
            <w:tcBorders/>
            <w:vAlign w:val="center"/>
          </w:tcPr>
          <w:p>
            <w:pPr>
              <w:pStyle w:val="TableContents"/>
              <w:bidi w:val="0"/>
              <w:spacing w:before="0" w:after="0"/>
              <w:ind w:left="0" w:right="0" w:hanging="0"/>
              <w:jc w:val="right"/>
            </w:pPr>
            <w:r>
              <w:t>​</w:t>
            </w:r>
          </w:p>
        </w:tc>
        <w:tc>
          <w:tcPr>
            <w:tcW w:w="12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86</w:t>
            </w:r>
          </w:p>
        </w:tc>
        <w:tc>
          <w:tcPr>
            <w:tcW w:w="152" w:type="dxa"/>
            <w:tcBorders/>
            <w:vAlign w:val="center"/>
          </w:tcPr>
          <w:p>
            <w:pPr>
              <w:pStyle w:val="TableContents"/>
              <w:bidi w:val="0"/>
              <w:spacing w:before="0" w:after="0"/>
              <w:ind w:left="0" w:right="0" w:hanging="0"/>
              <w:jc w:val="right"/>
            </w:pPr>
            <w:r>
              <w:t>​</w:t>
            </w:r>
          </w:p>
        </w:tc>
        <w:tc>
          <w:tcPr>
            <w:tcW w:w="1352"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24</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Net loss from continuing operations</w:t>
            </w:r>
          </w:p>
        </w:tc>
        <w:tc>
          <w:tcPr>
            <w:tcW w:w="916" w:type="dxa"/>
            <w:gridSpan w:val="2"/>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(6,503)</w:t>
            </w:r>
          </w:p>
        </w:tc>
        <w:tc>
          <w:tcPr>
            <w:tcW w:w="257" w:type="dxa"/>
            <w:tcBorders/>
            <w:vAlign w:val="center"/>
          </w:tcPr>
          <w:p>
            <w:pPr>
              <w:pStyle w:val="TableContents"/>
              <w:bidi w:val="0"/>
              <w:spacing w:before="0" w:after="0"/>
              <w:ind w:left="0" w:right="0" w:hanging="0"/>
              <w:jc w:val="right"/>
            </w:pPr>
            <w:r>
              <w:t>​</w:t>
            </w:r>
          </w:p>
        </w:tc>
        <w:tc>
          <w:tcPr>
            <w:tcW w:w="2173"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(1,044)</w:t>
            </w:r>
          </w:p>
        </w:tc>
        <w:tc>
          <w:tcPr>
            <w:tcW w:w="122" w:type="dxa"/>
            <w:tcBorders/>
            <w:vAlign w:val="center"/>
          </w:tcPr>
          <w:p>
            <w:pPr>
              <w:pStyle w:val="TableContents"/>
              <w:bidi w:val="0"/>
              <w:spacing w:before="0" w:after="0"/>
              <w:ind w:left="0" w:right="0" w:hanging="0"/>
              <w:jc w:val="right"/>
            </w:pPr>
            <w:r>
              <w:t>​</w:t>
            </w:r>
          </w:p>
        </w:tc>
        <w:tc>
          <w:tcPr>
            <w:tcW w:w="128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(22,688)</w:t>
            </w:r>
          </w:p>
        </w:tc>
        <w:tc>
          <w:tcPr>
            <w:tcW w:w="152" w:type="dxa"/>
            <w:tcBorders/>
            <w:vAlign w:val="center"/>
          </w:tcPr>
          <w:p>
            <w:pPr>
              <w:pStyle w:val="TableContents"/>
              <w:bidi w:val="0"/>
              <w:spacing w:before="0" w:after="0"/>
              <w:ind w:left="0" w:right="0" w:hanging="0"/>
              <w:jc w:val="right"/>
            </w:pPr>
            <w:r>
              <w:t>​</w:t>
            </w:r>
          </w:p>
        </w:tc>
        <w:tc>
          <w:tcPr>
            <w:tcW w:w="1352"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(11,288)</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Income (loss) from discontinued operations</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5,218</w:t>
            </w:r>
          </w:p>
        </w:tc>
        <w:tc>
          <w:tcPr>
            <w:tcW w:w="257" w:type="dxa"/>
            <w:tcBorders/>
            <w:vAlign w:val="center"/>
          </w:tcPr>
          <w:p>
            <w:pPr>
              <w:pStyle w:val="TableContents"/>
              <w:bidi w:val="0"/>
              <w:spacing w:before="0" w:after="0"/>
              <w:ind w:left="0" w:right="0" w:hanging="0"/>
              <w:jc w:val="right"/>
            </w:pPr>
            <w:r>
              <w:t>​</w:t>
            </w:r>
          </w:p>
        </w:tc>
        <w:tc>
          <w:tcPr>
            <w:tcW w:w="2173"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(2,824)</w:t>
            </w:r>
          </w:p>
        </w:tc>
        <w:tc>
          <w:tcPr>
            <w:tcW w:w="122" w:type="dxa"/>
            <w:tcBorders/>
            <w:vAlign w:val="center"/>
          </w:tcPr>
          <w:p>
            <w:pPr>
              <w:pStyle w:val="TableContents"/>
              <w:bidi w:val="0"/>
              <w:spacing w:before="0" w:after="0"/>
              <w:ind w:left="0" w:right="0" w:hanging="0"/>
              <w:jc w:val="right"/>
            </w:pPr>
            <w:r>
              <w:t>​</w:t>
            </w:r>
          </w:p>
        </w:tc>
        <w:tc>
          <w:tcPr>
            <w:tcW w:w="12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6,288</w:t>
            </w:r>
          </w:p>
        </w:tc>
        <w:tc>
          <w:tcPr>
            <w:tcW w:w="152" w:type="dxa"/>
            <w:tcBorders/>
            <w:vAlign w:val="center"/>
          </w:tcPr>
          <w:p>
            <w:pPr>
              <w:pStyle w:val="TableContents"/>
              <w:bidi w:val="0"/>
              <w:spacing w:before="0" w:after="0"/>
              <w:ind w:left="0" w:right="0" w:hanging="0"/>
              <w:jc w:val="right"/>
            </w:pPr>
            <w:r>
              <w:t>​</w:t>
            </w:r>
          </w:p>
        </w:tc>
        <w:tc>
          <w:tcPr>
            <w:tcW w:w="1352"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(6,123)</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b/>
                <w:color w:val="222222"/>
                <w:sz w:val="17"/>
              </w:rPr>
            </w:pPr>
            <w:r>
              <w:rPr>
                <w:rFonts w:ascii="Arial;Helvetica;sans-serif" w:hAnsi="Arial;Helvetica;sans-serif"/>
                <w:b/>
                <w:color w:val="222222"/>
                <w:sz w:val="17"/>
              </w:rPr>
              <w:t>Net loss</w:t>
            </w:r>
          </w:p>
        </w:tc>
        <w:tc>
          <w:tcPr>
            <w:tcW w:w="916" w:type="dxa"/>
            <w:gridSpan w:val="2"/>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(1,285)</w:t>
            </w:r>
          </w:p>
        </w:tc>
        <w:tc>
          <w:tcPr>
            <w:tcW w:w="257" w:type="dxa"/>
            <w:tcBorders/>
            <w:vAlign w:val="center"/>
          </w:tcPr>
          <w:p>
            <w:pPr>
              <w:pStyle w:val="TableContents"/>
              <w:bidi w:val="0"/>
              <w:spacing w:before="0" w:after="0"/>
              <w:ind w:left="0" w:right="0" w:hanging="0"/>
              <w:jc w:val="right"/>
            </w:pPr>
            <w:r>
              <w:t>​</w:t>
            </w:r>
          </w:p>
        </w:tc>
        <w:tc>
          <w:tcPr>
            <w:tcW w:w="2173"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(3,868)</w:t>
            </w:r>
          </w:p>
        </w:tc>
        <w:tc>
          <w:tcPr>
            <w:tcW w:w="122" w:type="dxa"/>
            <w:tcBorders/>
            <w:vAlign w:val="center"/>
          </w:tcPr>
          <w:p>
            <w:pPr>
              <w:pStyle w:val="TableContents"/>
              <w:bidi w:val="0"/>
              <w:spacing w:before="0" w:after="0"/>
              <w:ind w:left="0" w:right="0" w:hanging="0"/>
              <w:jc w:val="right"/>
            </w:pPr>
            <w:r>
              <w:t>​</w:t>
            </w:r>
          </w:p>
        </w:tc>
        <w:tc>
          <w:tcPr>
            <w:tcW w:w="1285"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(16,400)</w:t>
            </w:r>
          </w:p>
        </w:tc>
        <w:tc>
          <w:tcPr>
            <w:tcW w:w="152" w:type="dxa"/>
            <w:tcBorders/>
            <w:vAlign w:val="center"/>
          </w:tcPr>
          <w:p>
            <w:pPr>
              <w:pStyle w:val="TableContents"/>
              <w:bidi w:val="0"/>
              <w:spacing w:before="0" w:after="0"/>
              <w:ind w:left="0" w:right="0" w:hanging="0"/>
              <w:jc w:val="right"/>
            </w:pPr>
            <w:r>
              <w:t>​</w:t>
            </w:r>
          </w:p>
        </w:tc>
        <w:tc>
          <w:tcPr>
            <w:tcW w:w="1352"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(17,411)</w:t>
            </w:r>
          </w:p>
        </w:tc>
      </w:tr>
      <w:tr>
        <w:tc>
          <w:tcPr>
            <w:tcW w:w="3948" w:type="dxa"/>
            <w:gridSpan w:val="3"/>
            <w:tcBorders/>
            <w:vAlign w:val="center"/>
          </w:tcPr>
          <w:p>
            <w:pPr>
              <w:pStyle w:val="TableContents"/>
              <w:bidi w:val="0"/>
              <w:spacing w:before="0" w:after="0"/>
              <w:ind w:left="0" w:right="0" w:hanging="0"/>
              <w:jc w:val="left"/>
            </w:pPr>
            <w:r>
              <w:t>​</w:t>
            </w:r>
          </w:p>
        </w:tc>
        <w:tc>
          <w:tcPr>
            <w:tcW w:w="916" w:type="dxa"/>
            <w:gridSpan w:val="2"/>
            <w:tcBorders/>
            <w:vAlign w:val="center"/>
          </w:tcPr>
          <w:p>
            <w:pPr>
              <w:pStyle w:val="TableContents"/>
              <w:bidi w:val="0"/>
              <w:spacing w:before="0" w:after="0"/>
              <w:ind w:left="0" w:right="0" w:hanging="0"/>
              <w:jc w:val="left"/>
            </w:pPr>
            <w:r>
              <w:t>​</w:t>
            </w:r>
          </w:p>
        </w:tc>
        <w:tc>
          <w:tcPr>
            <w:tcW w:w="257" w:type="dxa"/>
            <w:tcBorders/>
            <w:vAlign w:val="center"/>
          </w:tcPr>
          <w:p>
            <w:pPr>
              <w:pStyle w:val="TableContents"/>
              <w:bidi w:val="0"/>
              <w:spacing w:before="0" w:after="0"/>
              <w:ind w:left="0" w:right="0" w:hanging="0"/>
              <w:jc w:val="left"/>
            </w:pPr>
            <w:r>
              <w:t>​</w:t>
            </w:r>
          </w:p>
        </w:tc>
        <w:tc>
          <w:tcPr>
            <w:tcW w:w="2173" w:type="dxa"/>
            <w:tcBorders/>
            <w:vAlign w:val="center"/>
          </w:tcPr>
          <w:p>
            <w:pPr>
              <w:pStyle w:val="TableContents"/>
              <w:bidi w:val="0"/>
              <w:spacing w:before="0" w:after="0"/>
              <w:ind w:left="0" w:right="0" w:hanging="0"/>
              <w:jc w:val="left"/>
            </w:pPr>
            <w:r>
              <w:t>​</w:t>
            </w:r>
          </w:p>
        </w:tc>
        <w:tc>
          <w:tcPr>
            <w:tcW w:w="122" w:type="dxa"/>
            <w:tcBorders/>
            <w:vAlign w:val="center"/>
          </w:tcPr>
          <w:p>
            <w:pPr>
              <w:pStyle w:val="TableContents"/>
              <w:bidi w:val="0"/>
              <w:spacing w:before="0" w:after="0"/>
              <w:ind w:left="0" w:right="0" w:hanging="0"/>
              <w:jc w:val="left"/>
            </w:pPr>
            <w:r>
              <w:t>​</w:t>
            </w:r>
          </w:p>
        </w:tc>
        <w:tc>
          <w:tcPr>
            <w:tcW w:w="1285" w:type="dxa"/>
            <w:tcBorders/>
            <w:vAlign w:val="center"/>
          </w:tcPr>
          <w:p>
            <w:pPr>
              <w:pStyle w:val="TableContents"/>
              <w:bidi w:val="0"/>
              <w:spacing w:before="0" w:after="0"/>
              <w:ind w:left="0" w:right="0" w:hanging="0"/>
              <w:jc w:val="left"/>
            </w:pPr>
            <w:r>
              <w:t>​</w:t>
            </w:r>
          </w:p>
        </w:tc>
        <w:tc>
          <w:tcPr>
            <w:tcW w:w="152" w:type="dxa"/>
            <w:tcBorders/>
            <w:vAlign w:val="center"/>
          </w:tcPr>
          <w:p>
            <w:pPr>
              <w:pStyle w:val="TableContents"/>
              <w:bidi w:val="0"/>
              <w:spacing w:before="0" w:after="0"/>
              <w:ind w:left="0" w:right="0" w:hanging="0"/>
              <w:jc w:val="left"/>
            </w:pPr>
            <w:r>
              <w:t>​</w:t>
            </w:r>
          </w:p>
        </w:tc>
        <w:tc>
          <w:tcPr>
            <w:tcW w:w="1352" w:type="dxa"/>
            <w:tcBorders/>
            <w:vAlign w:val="center"/>
          </w:tcPr>
          <w:p>
            <w:pPr>
              <w:pStyle w:val="TableContents"/>
              <w:bidi w:val="0"/>
              <w:spacing w:before="0" w:after="0"/>
              <w:ind w:left="0" w:right="0" w:hanging="0"/>
              <w:jc w:val="left"/>
            </w:pPr>
            <w:r>
              <w:t>​</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Net loss per share — basic</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(0.03)</w:t>
            </w:r>
          </w:p>
        </w:tc>
        <w:tc>
          <w:tcPr>
            <w:tcW w:w="257" w:type="dxa"/>
            <w:tcBorders/>
            <w:vAlign w:val="center"/>
          </w:tcPr>
          <w:p>
            <w:pPr>
              <w:pStyle w:val="TableContents"/>
              <w:bidi w:val="0"/>
              <w:spacing w:before="0" w:after="0"/>
              <w:ind w:left="0" w:right="0" w:hanging="0"/>
              <w:jc w:val="right"/>
            </w:pPr>
            <w:r>
              <w:t>​</w:t>
            </w:r>
          </w:p>
        </w:tc>
        <w:tc>
          <w:tcPr>
            <w:tcW w:w="2173"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(0.09)</w:t>
            </w:r>
          </w:p>
        </w:tc>
        <w:tc>
          <w:tcPr>
            <w:tcW w:w="122" w:type="dxa"/>
            <w:tcBorders/>
            <w:vAlign w:val="center"/>
          </w:tcPr>
          <w:p>
            <w:pPr>
              <w:pStyle w:val="TableContents"/>
              <w:bidi w:val="0"/>
              <w:spacing w:before="0" w:after="0"/>
              <w:ind w:left="0" w:right="0" w:hanging="0"/>
              <w:jc w:val="right"/>
            </w:pPr>
            <w:r>
              <w:t>​</w:t>
            </w:r>
          </w:p>
        </w:tc>
        <w:tc>
          <w:tcPr>
            <w:tcW w:w="12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(0.37)</w:t>
            </w:r>
          </w:p>
        </w:tc>
        <w:tc>
          <w:tcPr>
            <w:tcW w:w="152" w:type="dxa"/>
            <w:tcBorders/>
            <w:vAlign w:val="center"/>
          </w:tcPr>
          <w:p>
            <w:pPr>
              <w:pStyle w:val="TableContents"/>
              <w:bidi w:val="0"/>
              <w:spacing w:before="0" w:after="0"/>
              <w:ind w:left="0" w:right="0" w:hanging="0"/>
              <w:jc w:val="right"/>
            </w:pPr>
            <w:r>
              <w:t>​</w:t>
            </w:r>
          </w:p>
        </w:tc>
        <w:tc>
          <w:tcPr>
            <w:tcW w:w="1352"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(0.43)</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Net loss per share — diluted</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(0.04)</w:t>
            </w:r>
          </w:p>
        </w:tc>
        <w:tc>
          <w:tcPr>
            <w:tcW w:w="257" w:type="dxa"/>
            <w:tcBorders/>
            <w:vAlign w:val="center"/>
          </w:tcPr>
          <w:p>
            <w:pPr>
              <w:pStyle w:val="TableContents"/>
              <w:bidi w:val="0"/>
              <w:spacing w:before="0" w:after="0"/>
              <w:ind w:left="0" w:right="0" w:hanging="0"/>
              <w:jc w:val="right"/>
            </w:pPr>
            <w:r>
              <w:t>​</w:t>
            </w:r>
          </w:p>
        </w:tc>
        <w:tc>
          <w:tcPr>
            <w:tcW w:w="2173"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(0.19)</w:t>
            </w:r>
          </w:p>
        </w:tc>
        <w:tc>
          <w:tcPr>
            <w:tcW w:w="122" w:type="dxa"/>
            <w:tcBorders/>
            <w:vAlign w:val="center"/>
          </w:tcPr>
          <w:p>
            <w:pPr>
              <w:pStyle w:val="TableContents"/>
              <w:bidi w:val="0"/>
              <w:spacing w:before="0" w:after="0"/>
              <w:ind w:left="0" w:right="0" w:hanging="0"/>
              <w:jc w:val="right"/>
            </w:pPr>
            <w:r>
              <w:t>​</w:t>
            </w:r>
          </w:p>
        </w:tc>
        <w:tc>
          <w:tcPr>
            <w:tcW w:w="12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(0.37)</w:t>
            </w:r>
          </w:p>
        </w:tc>
        <w:tc>
          <w:tcPr>
            <w:tcW w:w="152" w:type="dxa"/>
            <w:tcBorders/>
            <w:vAlign w:val="center"/>
          </w:tcPr>
          <w:p>
            <w:pPr>
              <w:pStyle w:val="TableContents"/>
              <w:bidi w:val="0"/>
              <w:spacing w:before="0" w:after="0"/>
              <w:ind w:left="0" w:right="0" w:hanging="0"/>
              <w:jc w:val="right"/>
            </w:pPr>
            <w:r>
              <w:t>​</w:t>
            </w:r>
          </w:p>
        </w:tc>
        <w:tc>
          <w:tcPr>
            <w:tcW w:w="1352"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(0.66)</w:t>
            </w:r>
          </w:p>
        </w:tc>
      </w:tr>
      <w:tr>
        <w:tc>
          <w:tcPr>
            <w:tcW w:w="3948" w:type="dxa"/>
            <w:gridSpan w:val="3"/>
            <w:tcBorders/>
            <w:vAlign w:val="center"/>
          </w:tcPr>
          <w:p>
            <w:pPr>
              <w:pStyle w:val="TableContents"/>
              <w:bidi w:val="0"/>
              <w:spacing w:before="0" w:after="0"/>
              <w:ind w:left="0" w:right="0" w:hanging="0"/>
              <w:jc w:val="left"/>
            </w:pPr>
            <w:r>
              <w:t>​</w:t>
            </w:r>
          </w:p>
        </w:tc>
        <w:tc>
          <w:tcPr>
            <w:tcW w:w="916" w:type="dxa"/>
            <w:gridSpan w:val="2"/>
            <w:tcBorders/>
            <w:vAlign w:val="center"/>
          </w:tcPr>
          <w:p>
            <w:pPr>
              <w:pStyle w:val="TableContents"/>
              <w:bidi w:val="0"/>
              <w:spacing w:before="0" w:after="0"/>
              <w:ind w:left="0" w:right="0" w:hanging="0"/>
              <w:jc w:val="left"/>
            </w:pPr>
            <w:r>
              <w:t>​</w:t>
            </w:r>
          </w:p>
        </w:tc>
        <w:tc>
          <w:tcPr>
            <w:tcW w:w="257" w:type="dxa"/>
            <w:tcBorders/>
            <w:vAlign w:val="center"/>
          </w:tcPr>
          <w:p>
            <w:pPr>
              <w:pStyle w:val="TableContents"/>
              <w:bidi w:val="0"/>
              <w:spacing w:before="0" w:after="0"/>
              <w:ind w:left="0" w:right="0" w:hanging="0"/>
              <w:jc w:val="left"/>
            </w:pPr>
            <w:r>
              <w:t>​</w:t>
            </w:r>
          </w:p>
        </w:tc>
        <w:tc>
          <w:tcPr>
            <w:tcW w:w="2173" w:type="dxa"/>
            <w:tcBorders/>
            <w:vAlign w:val="center"/>
          </w:tcPr>
          <w:p>
            <w:pPr>
              <w:pStyle w:val="TableContents"/>
              <w:bidi w:val="0"/>
              <w:spacing w:before="0" w:after="0"/>
              <w:ind w:left="0" w:right="0" w:hanging="0"/>
              <w:jc w:val="left"/>
            </w:pPr>
            <w:r>
              <w:t>​</w:t>
            </w:r>
          </w:p>
        </w:tc>
        <w:tc>
          <w:tcPr>
            <w:tcW w:w="122" w:type="dxa"/>
            <w:tcBorders/>
            <w:vAlign w:val="center"/>
          </w:tcPr>
          <w:p>
            <w:pPr>
              <w:pStyle w:val="TableContents"/>
              <w:bidi w:val="0"/>
              <w:spacing w:before="0" w:after="0"/>
              <w:ind w:left="0" w:right="0" w:hanging="0"/>
              <w:jc w:val="left"/>
            </w:pPr>
            <w:r>
              <w:t>​</w:t>
            </w:r>
          </w:p>
        </w:tc>
        <w:tc>
          <w:tcPr>
            <w:tcW w:w="1285" w:type="dxa"/>
            <w:tcBorders/>
            <w:vAlign w:val="center"/>
          </w:tcPr>
          <w:p>
            <w:pPr>
              <w:pStyle w:val="TableContents"/>
              <w:bidi w:val="0"/>
              <w:spacing w:before="0" w:after="0"/>
              <w:ind w:left="0" w:right="0" w:hanging="0"/>
              <w:jc w:val="left"/>
            </w:pPr>
            <w:r>
              <w:t>​</w:t>
            </w:r>
          </w:p>
        </w:tc>
        <w:tc>
          <w:tcPr>
            <w:tcW w:w="152" w:type="dxa"/>
            <w:tcBorders/>
            <w:vAlign w:val="center"/>
          </w:tcPr>
          <w:p>
            <w:pPr>
              <w:pStyle w:val="TableContents"/>
              <w:bidi w:val="0"/>
              <w:spacing w:before="0" w:after="0"/>
              <w:ind w:left="0" w:right="0" w:hanging="0"/>
              <w:jc w:val="left"/>
            </w:pPr>
            <w:r>
              <w:t>​</w:t>
            </w:r>
          </w:p>
        </w:tc>
        <w:tc>
          <w:tcPr>
            <w:tcW w:w="1352" w:type="dxa"/>
            <w:tcBorders/>
            <w:vAlign w:val="center"/>
          </w:tcPr>
          <w:p>
            <w:pPr>
              <w:pStyle w:val="TableContents"/>
              <w:bidi w:val="0"/>
              <w:spacing w:before="0" w:after="0"/>
              <w:ind w:left="0" w:right="0" w:hanging="0"/>
              <w:jc w:val="left"/>
            </w:pPr>
            <w:r>
              <w:t>​</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Weighted average common shares outstanding — basic</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44,313,491</w:t>
            </w:r>
          </w:p>
        </w:tc>
        <w:tc>
          <w:tcPr>
            <w:tcW w:w="257" w:type="dxa"/>
            <w:tcBorders/>
            <w:vAlign w:val="center"/>
          </w:tcPr>
          <w:p>
            <w:pPr>
              <w:pStyle w:val="TableContents"/>
              <w:bidi w:val="0"/>
              <w:spacing w:before="0" w:after="0"/>
              <w:ind w:left="0" w:right="0" w:hanging="0"/>
              <w:jc w:val="right"/>
            </w:pPr>
            <w:r>
              <w:t>​</w:t>
            </w:r>
          </w:p>
        </w:tc>
        <w:tc>
          <w:tcPr>
            <w:tcW w:w="2173"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42,431,314</w:t>
            </w:r>
          </w:p>
        </w:tc>
        <w:tc>
          <w:tcPr>
            <w:tcW w:w="122" w:type="dxa"/>
            <w:tcBorders/>
            <w:vAlign w:val="center"/>
          </w:tcPr>
          <w:p>
            <w:pPr>
              <w:pStyle w:val="TableContents"/>
              <w:bidi w:val="0"/>
              <w:spacing w:before="0" w:after="0"/>
              <w:ind w:left="0" w:right="0" w:hanging="0"/>
              <w:jc w:val="right"/>
            </w:pPr>
            <w:r>
              <w:t>​</w:t>
            </w:r>
          </w:p>
        </w:tc>
        <w:tc>
          <w:tcPr>
            <w:tcW w:w="12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43,847,094</w:t>
            </w:r>
          </w:p>
        </w:tc>
        <w:tc>
          <w:tcPr>
            <w:tcW w:w="152" w:type="dxa"/>
            <w:tcBorders/>
            <w:vAlign w:val="center"/>
          </w:tcPr>
          <w:p>
            <w:pPr>
              <w:pStyle w:val="TableContents"/>
              <w:bidi w:val="0"/>
              <w:spacing w:before="0" w:after="0"/>
              <w:ind w:left="0" w:right="0" w:hanging="0"/>
              <w:jc w:val="right"/>
            </w:pPr>
            <w:r>
              <w:t>​</w:t>
            </w:r>
          </w:p>
        </w:tc>
        <w:tc>
          <w:tcPr>
            <w:tcW w:w="1352"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40,965,925</w:t>
            </w:r>
          </w:p>
        </w:tc>
      </w:tr>
      <w:tr>
        <w:tc>
          <w:tcPr>
            <w:tcW w:w="3948" w:type="dxa"/>
            <w:gridSpan w:val="3"/>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Weighted average common shares outstanding — diluted</w:t>
            </w:r>
          </w:p>
        </w:tc>
        <w:tc>
          <w:tcPr>
            <w:tcW w:w="916" w:type="dxa"/>
            <w:gridSpan w:val="2"/>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47,538,170</w:t>
            </w:r>
          </w:p>
        </w:tc>
        <w:tc>
          <w:tcPr>
            <w:tcW w:w="257" w:type="dxa"/>
            <w:tcBorders/>
            <w:vAlign w:val="center"/>
          </w:tcPr>
          <w:p>
            <w:pPr>
              <w:pStyle w:val="TableContents"/>
              <w:bidi w:val="0"/>
              <w:spacing w:before="0" w:after="0"/>
              <w:ind w:left="0" w:right="0" w:hanging="0"/>
              <w:jc w:val="right"/>
            </w:pPr>
            <w:r>
              <w:t>​</w:t>
            </w:r>
          </w:p>
        </w:tc>
        <w:tc>
          <w:tcPr>
            <w:tcW w:w="2173"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46,957,199</w:t>
            </w:r>
          </w:p>
        </w:tc>
        <w:tc>
          <w:tcPr>
            <w:tcW w:w="122" w:type="dxa"/>
            <w:tcBorders/>
            <w:vAlign w:val="center"/>
          </w:tcPr>
          <w:p>
            <w:pPr>
              <w:pStyle w:val="TableContents"/>
              <w:bidi w:val="0"/>
              <w:spacing w:before="0" w:after="0"/>
              <w:ind w:left="0" w:right="0" w:hanging="0"/>
              <w:jc w:val="right"/>
            </w:pPr>
            <w:r>
              <w:t>​</w:t>
            </w:r>
          </w:p>
        </w:tc>
        <w:tc>
          <w:tcPr>
            <w:tcW w:w="12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43,847,094</w:t>
            </w:r>
          </w:p>
        </w:tc>
        <w:tc>
          <w:tcPr>
            <w:tcW w:w="152" w:type="dxa"/>
            <w:tcBorders/>
            <w:vAlign w:val="center"/>
          </w:tcPr>
          <w:p>
            <w:pPr>
              <w:pStyle w:val="TableContents"/>
              <w:bidi w:val="0"/>
              <w:spacing w:before="0" w:after="0"/>
              <w:ind w:left="0" w:right="0" w:hanging="0"/>
              <w:jc w:val="right"/>
            </w:pPr>
            <w:r>
              <w:t>​</w:t>
            </w:r>
          </w:p>
        </w:tc>
        <w:tc>
          <w:tcPr>
            <w:tcW w:w="1352"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45,492,271</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p>
      <w:pPr>
        <w:pStyle w:val="HorizontalLine"/>
        <w:pBdr>
          <w:bottom w:val="double" w:sz="2" w:space="0" w:color="808080"/>
        </w:pBdr>
        <w:bidi w:val="0"/>
        <w:spacing w:before="0" w:after="283"/>
        <w:jc w:val="left"/>
      </w:pPr>
      <w:r/>
    </w:p>
    <w:p>
      <w:pPr>
        <w:pStyle w:val="TextBody"/>
        <w:bidi w:val="0"/>
        <w:spacing w:before="0" w:after="0"/>
        <w:ind w:left="0" w:right="0" w:hanging="0"/>
        <w:jc w:val="right"/>
      </w:pPr>
      <w:r>
        <w:t>​</w:t>
      </w:r>
    </w:p>
    <w:tbl>
      <w:tblPr>
        <w:tblW w:w="10062" w:type="dxa"/>
        <w:jc w:val="left"/>
        <w:tblInd w:w="0" w:type="dxa"/>
        <w:tblLayout w:type="fixed"/>
        <w:tblCellMar>
          <w:top w:w="0" w:type="dxa"/>
          <w:left w:w="0" w:type="dxa"/>
          <w:bottom w:w="0" w:type="dxa"/>
          <w:right w:w="0" w:type="dxa"/>
        </w:tblCellMar>
      </w:tblPr>
      <w:tblGrid>
        <w:gridCol w:w="4142"/>
        <w:gridCol w:w="1425"/>
        <w:gridCol w:w="239"/>
        <w:gridCol w:w="1261"/>
        <w:gridCol w:w="115"/>
        <w:gridCol w:w="1287"/>
        <w:gridCol w:w="216"/>
        <w:gridCol w:w="1377"/>
      </w:tblGrid>
      <w:tr>
        <w:tc>
          <w:tcPr>
            <w:tcW w:w="10062" w:type="dxa"/>
            <w:gridSpan w:val="8"/>
            <w:tcBorders/>
            <w:vAlign w:val="center"/>
          </w:tcPr>
          <w:p>
            <w:pPr>
              <w:pStyle w:val="TableContents"/>
              <w:bidi w:val="0"/>
              <w:spacing w:before="0" w:after="0"/>
              <w:ind w:left="0" w:right="0" w:hanging="0"/>
              <w:jc w:val="left"/>
              <w:rPr>
                <w:rFonts w:ascii="Arial;Helvetica;sans-serif" w:hAnsi="Arial;Helvetica;sans-serif"/>
                <w:b/>
                <w:color w:val="222222"/>
                <w:sz w:val="18"/>
              </w:rPr>
            </w:pPr>
            <w:r>
              <w:rPr>
                <w:rFonts w:ascii="Arial;Helvetica;sans-serif" w:hAnsi="Arial;Helvetica;sans-serif"/>
                <w:b/>
                <w:color w:val="222222"/>
                <w:sz w:val="18"/>
              </w:rPr>
              <w:t>ELUTIA INC.</w:t>
            </w:r>
          </w:p>
        </w:tc>
      </w:tr>
      <w:tr>
        <w:tc>
          <w:tcPr>
            <w:tcW w:w="10062" w:type="dxa"/>
            <w:gridSpan w:val="8"/>
            <w:tcBorders/>
            <w:vAlign w:val="center"/>
          </w:tcPr>
          <w:p>
            <w:pPr>
              <w:pStyle w:val="TableContents"/>
              <w:bidi w:val="0"/>
              <w:spacing w:before="0" w:after="0"/>
              <w:ind w:left="0" w:right="0" w:hanging="0"/>
              <w:jc w:val="left"/>
              <w:rPr>
                <w:rFonts w:ascii="Arial;Helvetica;sans-serif" w:hAnsi="Arial;Helvetica;sans-serif"/>
                <w:b/>
                <w:color w:val="222222"/>
                <w:sz w:val="18"/>
              </w:rPr>
            </w:pPr>
            <w:r>
              <w:rPr>
                <w:rFonts w:ascii="Arial;Helvetica;sans-serif" w:hAnsi="Arial;Helvetica;sans-serif"/>
                <w:b/>
                <w:color w:val="222222"/>
                <w:sz w:val="18"/>
              </w:rPr>
              <w:t>NON-GAAP GROSS PROFIT AND NON-GAAP GROSS MARGIN RECONCILIATIONS</w:t>
            </w:r>
          </w:p>
        </w:tc>
      </w:tr>
      <w:tr>
        <w:tc>
          <w:tcPr>
            <w:tcW w:w="10062" w:type="dxa"/>
            <w:gridSpan w:val="8"/>
            <w:tcBorders/>
            <w:vAlign w:val="center"/>
          </w:tcPr>
          <w:p>
            <w:pPr>
              <w:pStyle w:val="TableContents"/>
              <w:bidi w:val="0"/>
              <w:spacing w:before="0" w:after="0"/>
              <w:ind w:left="0" w:right="0" w:hanging="0"/>
              <w:jc w:val="left"/>
              <w:rPr>
                <w:rFonts w:ascii="Arial;Helvetica;sans-serif" w:hAnsi="Arial;Helvetica;sans-serif"/>
                <w:b/>
                <w:color w:val="222222"/>
                <w:sz w:val="18"/>
              </w:rPr>
            </w:pPr>
            <w:r>
              <w:rPr>
                <w:rFonts w:ascii="Arial;Helvetica;sans-serif" w:hAnsi="Arial;Helvetica;sans-serif"/>
                <w:b/>
                <w:color w:val="222222"/>
                <w:sz w:val="18"/>
              </w:rPr>
              <w:t>(Unaudited, in thousands)</w:t>
            </w:r>
          </w:p>
        </w:tc>
      </w:tr>
      <w:tr>
        <w:tc>
          <w:tcPr>
            <w:tcW w:w="4142" w:type="dxa"/>
            <w:tcBorders/>
            <w:vAlign w:val="center"/>
          </w:tcPr>
          <w:p>
            <w:pPr>
              <w:pStyle w:val="TableContents"/>
              <w:bidi w:val="0"/>
              <w:spacing w:before="0" w:after="0"/>
              <w:ind w:left="0" w:right="0" w:hanging="0"/>
              <w:jc w:val="left"/>
            </w:pPr>
            <w:r>
              <w:t>​</w:t>
            </w:r>
          </w:p>
        </w:tc>
        <w:tc>
          <w:tcPr>
            <w:tcW w:w="1425"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1261" w:type="dxa"/>
            <w:tcBorders/>
            <w:vAlign w:val="center"/>
          </w:tcPr>
          <w:p>
            <w:pPr>
              <w:pStyle w:val="TableContents"/>
              <w:bidi w:val="0"/>
              <w:spacing w:before="0" w:after="0"/>
              <w:ind w:left="0" w:right="0" w:hanging="0"/>
              <w:jc w:val="left"/>
            </w:pPr>
            <w:r>
              <w:t>​</w:t>
            </w:r>
          </w:p>
        </w:tc>
        <w:tc>
          <w:tcPr>
            <w:tcW w:w="115" w:type="dxa"/>
            <w:tcBorders/>
            <w:vAlign w:val="center"/>
          </w:tcPr>
          <w:p>
            <w:pPr>
              <w:pStyle w:val="TableContents"/>
              <w:bidi w:val="0"/>
              <w:spacing w:before="0" w:after="0"/>
              <w:ind w:left="0" w:right="0" w:hanging="0"/>
              <w:jc w:val="left"/>
            </w:pPr>
            <w:r>
              <w:t>​</w:t>
            </w:r>
          </w:p>
        </w:tc>
        <w:tc>
          <w:tcPr>
            <w:tcW w:w="1287" w:type="dxa"/>
            <w:tcBorders/>
            <w:vAlign w:val="center"/>
          </w:tcPr>
          <w:p>
            <w:pPr>
              <w:pStyle w:val="TableContents"/>
              <w:bidi w:val="0"/>
              <w:spacing w:before="0" w:after="0"/>
              <w:ind w:left="0" w:right="0" w:hanging="0"/>
              <w:jc w:val="left"/>
            </w:pPr>
            <w:r>
              <w:t>​</w:t>
            </w:r>
          </w:p>
        </w:tc>
        <w:tc>
          <w:tcPr>
            <w:tcW w:w="216" w:type="dxa"/>
            <w:tcBorders/>
            <w:vAlign w:val="center"/>
          </w:tcPr>
          <w:p>
            <w:pPr>
              <w:pStyle w:val="TableContents"/>
              <w:bidi w:val="0"/>
              <w:spacing w:before="0" w:after="0"/>
              <w:ind w:left="0" w:right="0" w:hanging="0"/>
              <w:jc w:val="left"/>
            </w:pPr>
            <w:r>
              <w:t>​</w:t>
            </w:r>
          </w:p>
        </w:tc>
        <w:tc>
          <w:tcPr>
            <w:tcW w:w="1377" w:type="dxa"/>
            <w:tcBorders/>
            <w:vAlign w:val="center"/>
          </w:tcPr>
          <w:p>
            <w:pPr>
              <w:pStyle w:val="TableContents"/>
              <w:bidi w:val="0"/>
              <w:spacing w:before="0" w:after="0"/>
              <w:ind w:left="0" w:right="0" w:hanging="0"/>
              <w:jc w:val="left"/>
            </w:pPr>
            <w:r>
              <w:t>​</w:t>
            </w:r>
          </w:p>
        </w:tc>
      </w:tr>
      <w:tr>
        <w:tc>
          <w:tcPr>
            <w:tcW w:w="4142" w:type="dxa"/>
            <w:tcBorders/>
            <w:vAlign w:val="center"/>
          </w:tcPr>
          <w:p>
            <w:pPr>
              <w:pStyle w:val="TableContents"/>
              <w:bidi w:val="0"/>
              <w:spacing w:before="0" w:after="0"/>
              <w:ind w:left="0" w:right="0" w:hanging="0"/>
              <w:jc w:val="left"/>
            </w:pPr>
            <w:r>
              <w:t>​</w:t>
            </w:r>
          </w:p>
        </w:tc>
        <w:tc>
          <w:tcPr>
            <w:tcW w:w="2925" w:type="dxa"/>
            <w:gridSpan w:val="3"/>
            <w:tcBorders/>
            <w:vAlign w:val="center"/>
          </w:tcPr>
          <w:p>
            <w:pPr>
              <w:pStyle w:val="TableContents"/>
              <w:bidi w:val="0"/>
              <w:spacing w:before="0" w:after="0"/>
              <w:ind w:left="0" w:right="0" w:hanging="0"/>
              <w:jc w:val="center"/>
              <w:rPr>
                <w:rFonts w:ascii="Arial;Helvetica;sans-serif" w:hAnsi="Arial;Helvetica;sans-serif"/>
                <w:b/>
                <w:color w:val="222222"/>
                <w:sz w:val="17"/>
              </w:rPr>
            </w:pPr>
            <w:r>
              <w:rPr>
                <w:rFonts w:ascii="Arial;Helvetica;sans-serif" w:hAnsi="Arial;Helvetica;sans-serif"/>
                <w:b/>
                <w:color w:val="222222"/>
                <w:sz w:val="17"/>
              </w:rPr>
              <w:t>Three months ended September 30,</w:t>
            </w:r>
          </w:p>
        </w:tc>
        <w:tc>
          <w:tcPr>
            <w:tcW w:w="115" w:type="dxa"/>
            <w:tcBorders/>
            <w:vAlign w:val="center"/>
          </w:tcPr>
          <w:p>
            <w:pPr>
              <w:pStyle w:val="TableContents"/>
              <w:bidi w:val="0"/>
              <w:spacing w:before="0" w:after="0"/>
              <w:ind w:left="0" w:right="0" w:hanging="0"/>
              <w:jc w:val="center"/>
            </w:pPr>
            <w:r>
              <w:t>​</w:t>
            </w:r>
          </w:p>
        </w:tc>
        <w:tc>
          <w:tcPr>
            <w:tcW w:w="2880" w:type="dxa"/>
            <w:gridSpan w:val="3"/>
            <w:tcBorders/>
            <w:vAlign w:val="center"/>
          </w:tcPr>
          <w:p>
            <w:pPr>
              <w:pStyle w:val="TableContents"/>
              <w:bidi w:val="0"/>
              <w:spacing w:before="0" w:after="0"/>
              <w:ind w:left="0" w:right="0" w:hanging="0"/>
              <w:jc w:val="center"/>
              <w:rPr>
                <w:rFonts w:ascii="Arial;Helvetica;sans-serif" w:hAnsi="Arial;Helvetica;sans-serif"/>
                <w:b/>
                <w:color w:val="222222"/>
                <w:sz w:val="17"/>
              </w:rPr>
            </w:pPr>
            <w:r>
              <w:rPr>
                <w:rFonts w:ascii="Arial;Helvetica;sans-serif" w:hAnsi="Arial;Helvetica;sans-serif"/>
                <w:b/>
                <w:color w:val="222222"/>
                <w:sz w:val="17"/>
              </w:rPr>
              <w:t>Nine months ended September 30,</w:t>
            </w:r>
          </w:p>
        </w:tc>
      </w:tr>
      <w:tr>
        <w:tc>
          <w:tcPr>
            <w:tcW w:w="4142" w:type="dxa"/>
            <w:tcBorders/>
            <w:vAlign w:val="center"/>
          </w:tcPr>
          <w:p>
            <w:pPr>
              <w:pStyle w:val="TableContents"/>
              <w:bidi w:val="0"/>
              <w:spacing w:before="0" w:after="0"/>
              <w:ind w:left="0" w:right="0" w:hanging="0"/>
              <w:jc w:val="left"/>
            </w:pPr>
            <w:r>
              <w:t>​</w:t>
            </w:r>
          </w:p>
        </w:tc>
        <w:tc>
          <w:tcPr>
            <w:tcW w:w="1425"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2026</w:t>
            </w:r>
          </w:p>
        </w:tc>
        <w:tc>
          <w:tcPr>
            <w:tcW w:w="239" w:type="dxa"/>
            <w:tcBorders>
              <w:top w:val="single" w:sz="18" w:space="0" w:color="1B2E5A"/>
            </w:tcBorders>
            <w:tcMar>
              <w:top w:w="30" w:type="dxa"/>
            </w:tcMar>
            <w:vAlign w:val="center"/>
          </w:tcPr>
          <w:p>
            <w:pPr>
              <w:pStyle w:val="TableContents"/>
              <w:bidi w:val="0"/>
              <w:spacing w:before="0" w:after="0"/>
              <w:ind w:left="0" w:right="0" w:hanging="0"/>
              <w:jc w:val="right"/>
            </w:pPr>
            <w:r>
              <w:t>​</w:t>
            </w:r>
          </w:p>
        </w:tc>
        <w:tc>
          <w:tcPr>
            <w:tcW w:w="1261"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2025</w:t>
            </w:r>
          </w:p>
        </w:tc>
        <w:tc>
          <w:tcPr>
            <w:tcW w:w="115" w:type="dxa"/>
            <w:tcBorders/>
            <w:vAlign w:val="center"/>
          </w:tcPr>
          <w:p>
            <w:pPr>
              <w:pStyle w:val="TableContents"/>
              <w:bidi w:val="0"/>
              <w:spacing w:before="0" w:after="0"/>
              <w:ind w:left="0" w:right="0" w:hanging="0"/>
              <w:jc w:val="right"/>
            </w:pPr>
            <w:r>
              <w:t>​</w:t>
            </w:r>
          </w:p>
        </w:tc>
        <w:tc>
          <w:tcPr>
            <w:tcW w:w="1287"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2026</w:t>
            </w:r>
          </w:p>
        </w:tc>
        <w:tc>
          <w:tcPr>
            <w:tcW w:w="216" w:type="dxa"/>
            <w:tcBorders>
              <w:top w:val="single" w:sz="18" w:space="0" w:color="1B2E5A"/>
            </w:tcBorders>
            <w:tcMar>
              <w:top w:w="30" w:type="dxa"/>
            </w:tcMar>
            <w:vAlign w:val="center"/>
          </w:tcPr>
          <w:p>
            <w:pPr>
              <w:pStyle w:val="TableContents"/>
              <w:bidi w:val="0"/>
              <w:spacing w:before="0" w:after="0"/>
              <w:ind w:left="0" w:right="0" w:hanging="0"/>
              <w:jc w:val="right"/>
            </w:pPr>
            <w:r>
              <w:t>​</w:t>
            </w:r>
          </w:p>
        </w:tc>
        <w:tc>
          <w:tcPr>
            <w:tcW w:w="1377"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2025</w:t>
            </w:r>
          </w:p>
        </w:tc>
      </w:tr>
      <w:tr>
        <w:tc>
          <w:tcPr>
            <w:tcW w:w="414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Net sales</w:t>
            </w:r>
          </w:p>
        </w:tc>
        <w:tc>
          <w:tcPr>
            <w:tcW w:w="142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$ 1,137</w:t>
            </w:r>
          </w:p>
        </w:tc>
        <w:tc>
          <w:tcPr>
            <w:tcW w:w="239" w:type="dxa"/>
            <w:tcBorders/>
            <w:vAlign w:val="center"/>
          </w:tcPr>
          <w:p>
            <w:pPr>
              <w:pStyle w:val="TableContents"/>
              <w:bidi w:val="0"/>
              <w:spacing w:before="0" w:after="0"/>
              <w:ind w:left="0" w:right="0" w:hanging="0"/>
              <w:jc w:val="right"/>
            </w:pPr>
            <w:r>
              <w:t>​</w:t>
            </w:r>
          </w:p>
        </w:tc>
        <w:tc>
          <w:tcPr>
            <w:tcW w:w="1261"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$ 944</w:t>
            </w:r>
          </w:p>
        </w:tc>
        <w:tc>
          <w:tcPr>
            <w:tcW w:w="115" w:type="dxa"/>
            <w:tcBorders/>
            <w:vAlign w:val="center"/>
          </w:tcPr>
          <w:p>
            <w:pPr>
              <w:pStyle w:val="TableContents"/>
              <w:bidi w:val="0"/>
              <w:spacing w:before="0" w:after="0"/>
              <w:ind w:left="0" w:right="0" w:hanging="0"/>
              <w:jc w:val="right"/>
            </w:pPr>
            <w:r>
              <w:t>​</w:t>
            </w:r>
          </w:p>
        </w:tc>
        <w:tc>
          <w:tcPr>
            <w:tcW w:w="1287"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$ 3,306</w:t>
            </w:r>
          </w:p>
        </w:tc>
        <w:tc>
          <w:tcPr>
            <w:tcW w:w="216" w:type="dxa"/>
            <w:tcBorders/>
            <w:vAlign w:val="center"/>
          </w:tcPr>
          <w:p>
            <w:pPr>
              <w:pStyle w:val="TableContents"/>
              <w:bidi w:val="0"/>
              <w:spacing w:before="0" w:after="0"/>
              <w:ind w:left="0" w:right="0" w:hanging="0"/>
              <w:jc w:val="right"/>
            </w:pPr>
            <w:r>
              <w:t>​</w:t>
            </w:r>
          </w:p>
        </w:tc>
        <w:tc>
          <w:tcPr>
            <w:tcW w:w="1377"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$ 2,007</w:t>
            </w:r>
          </w:p>
        </w:tc>
      </w:tr>
      <w:tr>
        <w:tc>
          <w:tcPr>
            <w:tcW w:w="414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Gross profit</w:t>
            </w:r>
          </w:p>
        </w:tc>
        <w:tc>
          <w:tcPr>
            <w:tcW w:w="142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702</w:t>
            </w:r>
          </w:p>
        </w:tc>
        <w:tc>
          <w:tcPr>
            <w:tcW w:w="239" w:type="dxa"/>
            <w:tcBorders/>
            <w:vAlign w:val="center"/>
          </w:tcPr>
          <w:p>
            <w:pPr>
              <w:pStyle w:val="TableContents"/>
              <w:bidi w:val="0"/>
              <w:spacing w:before="0" w:after="0"/>
              <w:ind w:left="0" w:right="0" w:hanging="0"/>
              <w:jc w:val="right"/>
            </w:pPr>
            <w:r>
              <w:t>​</w:t>
            </w:r>
          </w:p>
        </w:tc>
        <w:tc>
          <w:tcPr>
            <w:tcW w:w="126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498</w:t>
            </w:r>
          </w:p>
        </w:tc>
        <w:tc>
          <w:tcPr>
            <w:tcW w:w="115" w:type="dxa"/>
            <w:tcBorders/>
            <w:vAlign w:val="center"/>
          </w:tcPr>
          <w:p>
            <w:pPr>
              <w:pStyle w:val="TableContents"/>
              <w:bidi w:val="0"/>
              <w:spacing w:before="0" w:after="0"/>
              <w:ind w:left="0" w:right="0" w:hanging="0"/>
              <w:jc w:val="right"/>
            </w:pPr>
            <w:r>
              <w:t>​</w:t>
            </w:r>
          </w:p>
        </w:tc>
        <w:tc>
          <w:tcPr>
            <w:tcW w:w="1287"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2,007</w:t>
            </w:r>
          </w:p>
        </w:tc>
        <w:tc>
          <w:tcPr>
            <w:tcW w:w="216" w:type="dxa"/>
            <w:tcBorders/>
            <w:vAlign w:val="center"/>
          </w:tcPr>
          <w:p>
            <w:pPr>
              <w:pStyle w:val="TableContents"/>
              <w:bidi w:val="0"/>
              <w:spacing w:before="0" w:after="0"/>
              <w:ind w:left="0" w:right="0" w:hanging="0"/>
              <w:jc w:val="right"/>
            </w:pPr>
            <w:r>
              <w:t>​</w:t>
            </w:r>
          </w:p>
        </w:tc>
        <w:tc>
          <w:tcPr>
            <w:tcW w:w="1377"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759</w:t>
            </w:r>
          </w:p>
        </w:tc>
      </w:tr>
      <w:tr>
        <w:tc>
          <w:tcPr>
            <w:tcW w:w="414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Intangible asset amortization expense</w:t>
            </w:r>
          </w:p>
        </w:tc>
        <w:tc>
          <w:tcPr>
            <w:tcW w:w="142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270</w:t>
            </w:r>
          </w:p>
        </w:tc>
        <w:tc>
          <w:tcPr>
            <w:tcW w:w="239" w:type="dxa"/>
            <w:tcBorders/>
            <w:vAlign w:val="center"/>
          </w:tcPr>
          <w:p>
            <w:pPr>
              <w:pStyle w:val="TableContents"/>
              <w:bidi w:val="0"/>
              <w:spacing w:before="0" w:after="0"/>
              <w:ind w:left="0" w:right="0" w:hanging="0"/>
              <w:jc w:val="right"/>
            </w:pPr>
            <w:r>
              <w:t>​</w:t>
            </w:r>
          </w:p>
        </w:tc>
        <w:tc>
          <w:tcPr>
            <w:tcW w:w="126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269</w:t>
            </w:r>
          </w:p>
        </w:tc>
        <w:tc>
          <w:tcPr>
            <w:tcW w:w="115" w:type="dxa"/>
            <w:tcBorders/>
            <w:vAlign w:val="center"/>
          </w:tcPr>
          <w:p>
            <w:pPr>
              <w:pStyle w:val="TableContents"/>
              <w:bidi w:val="0"/>
              <w:spacing w:before="0" w:after="0"/>
              <w:ind w:left="0" w:right="0" w:hanging="0"/>
              <w:jc w:val="right"/>
            </w:pPr>
            <w:r>
              <w:t>​</w:t>
            </w:r>
          </w:p>
        </w:tc>
        <w:tc>
          <w:tcPr>
            <w:tcW w:w="1287"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810</w:t>
            </w:r>
          </w:p>
        </w:tc>
        <w:tc>
          <w:tcPr>
            <w:tcW w:w="216" w:type="dxa"/>
            <w:tcBorders/>
            <w:vAlign w:val="center"/>
          </w:tcPr>
          <w:p>
            <w:pPr>
              <w:pStyle w:val="TableContents"/>
              <w:bidi w:val="0"/>
              <w:spacing w:before="0" w:after="0"/>
              <w:ind w:left="0" w:right="0" w:hanging="0"/>
              <w:jc w:val="right"/>
            </w:pPr>
            <w:r>
              <w:t>​</w:t>
            </w:r>
          </w:p>
        </w:tc>
        <w:tc>
          <w:tcPr>
            <w:tcW w:w="1377"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807</w:t>
            </w:r>
          </w:p>
        </w:tc>
      </w:tr>
      <w:tr>
        <w:tc>
          <w:tcPr>
            <w:tcW w:w="4142" w:type="dxa"/>
            <w:tcBorders/>
            <w:vAlign w:val="center"/>
          </w:tcPr>
          <w:p>
            <w:pPr>
              <w:pStyle w:val="TableContents"/>
              <w:bidi w:val="0"/>
              <w:spacing w:before="0" w:after="0"/>
              <w:ind w:left="0" w:right="0" w:hanging="0"/>
              <w:jc w:val="left"/>
              <w:rPr>
                <w:rFonts w:ascii="Arial;Helvetica;sans-serif" w:hAnsi="Arial;Helvetica;sans-serif"/>
                <w:b/>
                <w:color w:val="222222"/>
                <w:sz w:val="17"/>
              </w:rPr>
            </w:pPr>
            <w:r>
              <w:rPr>
                <w:rFonts w:ascii="Arial;Helvetica;sans-serif" w:hAnsi="Arial;Helvetica;sans-serif"/>
                <w:b/>
                <w:color w:val="222222"/>
                <w:sz w:val="17"/>
              </w:rPr>
              <w:t>Adjusted gross profit (Non-GAAP)</w:t>
            </w:r>
          </w:p>
        </w:tc>
        <w:tc>
          <w:tcPr>
            <w:tcW w:w="142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$ 972</w:t>
            </w:r>
          </w:p>
        </w:tc>
        <w:tc>
          <w:tcPr>
            <w:tcW w:w="239" w:type="dxa"/>
            <w:tcBorders/>
            <w:vAlign w:val="center"/>
          </w:tcPr>
          <w:p>
            <w:pPr>
              <w:pStyle w:val="TableContents"/>
              <w:bidi w:val="0"/>
              <w:spacing w:before="0" w:after="0"/>
              <w:ind w:left="0" w:right="0" w:hanging="0"/>
              <w:jc w:val="right"/>
            </w:pPr>
            <w:r>
              <w:t>​</w:t>
            </w:r>
          </w:p>
        </w:tc>
        <w:tc>
          <w:tcPr>
            <w:tcW w:w="1261"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$ 767</w:t>
            </w:r>
          </w:p>
        </w:tc>
        <w:tc>
          <w:tcPr>
            <w:tcW w:w="115" w:type="dxa"/>
            <w:tcBorders/>
            <w:vAlign w:val="center"/>
          </w:tcPr>
          <w:p>
            <w:pPr>
              <w:pStyle w:val="TableContents"/>
              <w:bidi w:val="0"/>
              <w:spacing w:before="0" w:after="0"/>
              <w:ind w:left="0" w:right="0" w:hanging="0"/>
              <w:jc w:val="right"/>
            </w:pPr>
            <w:r>
              <w:t>​</w:t>
            </w:r>
          </w:p>
        </w:tc>
        <w:tc>
          <w:tcPr>
            <w:tcW w:w="1287"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$ 2,817</w:t>
            </w:r>
          </w:p>
        </w:tc>
        <w:tc>
          <w:tcPr>
            <w:tcW w:w="216" w:type="dxa"/>
            <w:tcBorders/>
            <w:vAlign w:val="center"/>
          </w:tcPr>
          <w:p>
            <w:pPr>
              <w:pStyle w:val="TableContents"/>
              <w:bidi w:val="0"/>
              <w:spacing w:before="0" w:after="0"/>
              <w:ind w:left="0" w:right="0" w:hanging="0"/>
              <w:jc w:val="right"/>
            </w:pPr>
            <w:r>
              <w:t>​</w:t>
            </w:r>
          </w:p>
        </w:tc>
        <w:tc>
          <w:tcPr>
            <w:tcW w:w="1377"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$ 1,566</w:t>
            </w:r>
          </w:p>
        </w:tc>
      </w:tr>
      <w:tr>
        <w:tc>
          <w:tcPr>
            <w:tcW w:w="4142" w:type="dxa"/>
            <w:tcBorders/>
            <w:vAlign w:val="center"/>
          </w:tcPr>
          <w:p>
            <w:pPr>
              <w:pStyle w:val="TableContents"/>
              <w:bidi w:val="0"/>
              <w:spacing w:before="0" w:after="0"/>
              <w:ind w:left="0" w:right="0" w:hanging="0"/>
              <w:jc w:val="left"/>
            </w:pPr>
            <w:r>
              <w:t>​</w:t>
            </w:r>
          </w:p>
        </w:tc>
        <w:tc>
          <w:tcPr>
            <w:tcW w:w="1425" w:type="dxa"/>
            <w:tcBorders/>
            <w:vAlign w:val="center"/>
          </w:tcPr>
          <w:p>
            <w:pPr>
              <w:pStyle w:val="TableContents"/>
              <w:bidi w:val="0"/>
              <w:spacing w:before="0" w:after="0"/>
              <w:ind w:left="0" w:right="0" w:hanging="0"/>
              <w:jc w:val="left"/>
            </w:pPr>
            <w:r>
              <w:t>​</w:t>
            </w:r>
          </w:p>
        </w:tc>
        <w:tc>
          <w:tcPr>
            <w:tcW w:w="239" w:type="dxa"/>
            <w:tcBorders/>
            <w:vAlign w:val="center"/>
          </w:tcPr>
          <w:p>
            <w:pPr>
              <w:pStyle w:val="TableContents"/>
              <w:bidi w:val="0"/>
              <w:spacing w:before="0" w:after="0"/>
              <w:ind w:left="0" w:right="0" w:hanging="0"/>
              <w:jc w:val="left"/>
            </w:pPr>
            <w:r>
              <w:t>​</w:t>
            </w:r>
          </w:p>
        </w:tc>
        <w:tc>
          <w:tcPr>
            <w:tcW w:w="1261" w:type="dxa"/>
            <w:tcBorders/>
            <w:vAlign w:val="center"/>
          </w:tcPr>
          <w:p>
            <w:pPr>
              <w:pStyle w:val="TableContents"/>
              <w:bidi w:val="0"/>
              <w:spacing w:before="0" w:after="0"/>
              <w:ind w:left="0" w:right="0" w:hanging="0"/>
              <w:jc w:val="left"/>
            </w:pPr>
            <w:r>
              <w:t>​</w:t>
            </w:r>
          </w:p>
        </w:tc>
        <w:tc>
          <w:tcPr>
            <w:tcW w:w="115" w:type="dxa"/>
            <w:tcBorders/>
            <w:vAlign w:val="center"/>
          </w:tcPr>
          <w:p>
            <w:pPr>
              <w:pStyle w:val="TableContents"/>
              <w:bidi w:val="0"/>
              <w:spacing w:before="0" w:after="0"/>
              <w:ind w:left="0" w:right="0" w:hanging="0"/>
              <w:jc w:val="left"/>
            </w:pPr>
            <w:r>
              <w:t>​</w:t>
            </w:r>
          </w:p>
        </w:tc>
        <w:tc>
          <w:tcPr>
            <w:tcW w:w="1287" w:type="dxa"/>
            <w:tcBorders/>
            <w:vAlign w:val="center"/>
          </w:tcPr>
          <w:p>
            <w:pPr>
              <w:pStyle w:val="TableContents"/>
              <w:bidi w:val="0"/>
              <w:spacing w:before="0" w:after="0"/>
              <w:ind w:left="0" w:right="0" w:hanging="0"/>
              <w:jc w:val="left"/>
            </w:pPr>
            <w:r>
              <w:t>​</w:t>
            </w:r>
          </w:p>
        </w:tc>
        <w:tc>
          <w:tcPr>
            <w:tcW w:w="216" w:type="dxa"/>
            <w:tcBorders/>
            <w:vAlign w:val="center"/>
          </w:tcPr>
          <w:p>
            <w:pPr>
              <w:pStyle w:val="TableContents"/>
              <w:bidi w:val="0"/>
              <w:spacing w:before="0" w:after="0"/>
              <w:ind w:left="0" w:right="0" w:hanging="0"/>
              <w:jc w:val="left"/>
            </w:pPr>
            <w:r>
              <w:t>​</w:t>
            </w:r>
          </w:p>
        </w:tc>
        <w:tc>
          <w:tcPr>
            <w:tcW w:w="1377" w:type="dxa"/>
            <w:tcBorders/>
            <w:vAlign w:val="center"/>
          </w:tcPr>
          <w:p>
            <w:pPr>
              <w:pStyle w:val="TableContents"/>
              <w:bidi w:val="0"/>
              <w:spacing w:before="0" w:after="0"/>
              <w:ind w:left="0" w:right="0" w:hanging="0"/>
              <w:jc w:val="left"/>
            </w:pPr>
            <w:r>
              <w:t>​</w:t>
            </w:r>
          </w:p>
        </w:tc>
      </w:tr>
      <w:tr>
        <w:tc>
          <w:tcPr>
            <w:tcW w:w="414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Gross margin</w:t>
            </w:r>
          </w:p>
        </w:tc>
        <w:tc>
          <w:tcPr>
            <w:tcW w:w="142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61.7%</w:t>
            </w:r>
          </w:p>
        </w:tc>
        <w:tc>
          <w:tcPr>
            <w:tcW w:w="239" w:type="dxa"/>
            <w:tcBorders/>
            <w:vAlign w:val="center"/>
          </w:tcPr>
          <w:p>
            <w:pPr>
              <w:pStyle w:val="TableContents"/>
              <w:bidi w:val="0"/>
              <w:spacing w:before="0" w:after="0"/>
              <w:ind w:left="0" w:right="0" w:hanging="0"/>
              <w:jc w:val="right"/>
            </w:pPr>
            <w:r>
              <w:t>​</w:t>
            </w:r>
          </w:p>
        </w:tc>
        <w:tc>
          <w:tcPr>
            <w:tcW w:w="1261"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52.8%</w:t>
            </w:r>
          </w:p>
        </w:tc>
        <w:tc>
          <w:tcPr>
            <w:tcW w:w="115" w:type="dxa"/>
            <w:tcBorders/>
            <w:vAlign w:val="center"/>
          </w:tcPr>
          <w:p>
            <w:pPr>
              <w:pStyle w:val="TableContents"/>
              <w:bidi w:val="0"/>
              <w:spacing w:before="0" w:after="0"/>
              <w:ind w:left="0" w:right="0" w:hanging="0"/>
              <w:jc w:val="right"/>
            </w:pPr>
            <w:r>
              <w:t>​</w:t>
            </w:r>
          </w:p>
        </w:tc>
        <w:tc>
          <w:tcPr>
            <w:tcW w:w="1287"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60.7%</w:t>
            </w:r>
          </w:p>
        </w:tc>
        <w:tc>
          <w:tcPr>
            <w:tcW w:w="216" w:type="dxa"/>
            <w:tcBorders/>
            <w:vAlign w:val="center"/>
          </w:tcPr>
          <w:p>
            <w:pPr>
              <w:pStyle w:val="TableContents"/>
              <w:bidi w:val="0"/>
              <w:spacing w:before="0" w:after="0"/>
              <w:ind w:left="0" w:right="0" w:hanging="0"/>
              <w:jc w:val="right"/>
            </w:pPr>
            <w:r>
              <w:t>​</w:t>
            </w:r>
          </w:p>
        </w:tc>
        <w:tc>
          <w:tcPr>
            <w:tcW w:w="1377"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37.8%</w:t>
            </w:r>
          </w:p>
        </w:tc>
      </w:tr>
      <w:tr>
        <w:tc>
          <w:tcPr>
            <w:tcW w:w="4142" w:type="dxa"/>
            <w:tcBorders/>
            <w:vAlign w:val="center"/>
          </w:tcPr>
          <w:p>
            <w:pPr>
              <w:pStyle w:val="TableContents"/>
              <w:bidi w:val="0"/>
              <w:spacing w:before="0" w:after="0"/>
              <w:ind w:left="0" w:right="0" w:hanging="0"/>
              <w:jc w:val="left"/>
              <w:rPr>
                <w:rFonts w:ascii="Arial;Helvetica;sans-serif" w:hAnsi="Arial;Helvetica;sans-serif"/>
                <w:b/>
                <w:color w:val="222222"/>
                <w:sz w:val="17"/>
              </w:rPr>
            </w:pPr>
            <w:r>
              <w:rPr>
                <w:rFonts w:ascii="Arial;Helvetica;sans-serif" w:hAnsi="Arial;Helvetica;sans-serif"/>
                <w:b/>
                <w:color w:val="222222"/>
                <w:sz w:val="17"/>
              </w:rPr>
              <w:t>Adjusted gross margin percentage (Non-GAAP)</w:t>
            </w:r>
          </w:p>
        </w:tc>
        <w:tc>
          <w:tcPr>
            <w:tcW w:w="1425" w:type="dxa"/>
            <w:tcBorders/>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85.5%</w:t>
            </w:r>
          </w:p>
        </w:tc>
        <w:tc>
          <w:tcPr>
            <w:tcW w:w="239" w:type="dxa"/>
            <w:tcBorders/>
            <w:vAlign w:val="center"/>
          </w:tcPr>
          <w:p>
            <w:pPr>
              <w:pStyle w:val="TableContents"/>
              <w:bidi w:val="0"/>
              <w:spacing w:before="0" w:after="0"/>
              <w:ind w:left="0" w:right="0" w:hanging="0"/>
              <w:jc w:val="right"/>
            </w:pPr>
            <w:r>
              <w:t>​</w:t>
            </w:r>
          </w:p>
        </w:tc>
        <w:tc>
          <w:tcPr>
            <w:tcW w:w="1261" w:type="dxa"/>
            <w:tcBorders/>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81.3%</w:t>
            </w:r>
          </w:p>
        </w:tc>
        <w:tc>
          <w:tcPr>
            <w:tcW w:w="115" w:type="dxa"/>
            <w:tcBorders/>
            <w:vAlign w:val="center"/>
          </w:tcPr>
          <w:p>
            <w:pPr>
              <w:pStyle w:val="TableContents"/>
              <w:bidi w:val="0"/>
              <w:spacing w:before="0" w:after="0"/>
              <w:ind w:left="0" w:right="0" w:hanging="0"/>
              <w:jc w:val="right"/>
            </w:pPr>
            <w:r>
              <w:t>​</w:t>
            </w:r>
          </w:p>
        </w:tc>
        <w:tc>
          <w:tcPr>
            <w:tcW w:w="1287" w:type="dxa"/>
            <w:tcBorders/>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85.2%</w:t>
            </w:r>
          </w:p>
        </w:tc>
        <w:tc>
          <w:tcPr>
            <w:tcW w:w="216" w:type="dxa"/>
            <w:tcBorders/>
            <w:vAlign w:val="center"/>
          </w:tcPr>
          <w:p>
            <w:pPr>
              <w:pStyle w:val="TableContents"/>
              <w:bidi w:val="0"/>
              <w:spacing w:before="0" w:after="0"/>
              <w:ind w:left="0" w:right="0" w:hanging="0"/>
              <w:jc w:val="right"/>
            </w:pPr>
            <w:r>
              <w:t>​</w:t>
            </w:r>
          </w:p>
        </w:tc>
        <w:tc>
          <w:tcPr>
            <w:tcW w:w="1377" w:type="dxa"/>
            <w:tcBorders/>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78.0%</w:t>
            </w:r>
          </w:p>
        </w:tc>
      </w:tr>
    </w:tbl>
    <w:p>
      <w:pPr>
        <w:pStyle w:val="TextBody"/>
        <w:bidi w:val="0"/>
        <w:spacing w:before="0" w:after="0"/>
        <w:ind w:left="0" w:right="0" w:hanging="0"/>
        <w:jc w:val="left"/>
      </w:pPr>
      <w:r>
        <w:t>​</w:t>
      </w:r>
    </w:p>
    <w:p>
      <w:pPr>
        <w:pStyle w:val="TextBody"/>
        <w:bidi w:val="0"/>
        <w:spacing w:before="0" w:after="0"/>
        <w:ind w:left="0" w:right="0" w:hanging="0"/>
        <w:jc w:val="left"/>
      </w:pPr>
      <w:r>
        <w:t>​</w:t>
      </w:r>
    </w:p>
    <w:tbl>
      <w:tblPr>
        <w:tblW w:w="10205" w:type="dxa"/>
        <w:jc w:val="left"/>
        <w:tblInd w:w="0" w:type="dxa"/>
        <w:tblLayout w:type="fixed"/>
        <w:tblCellMar>
          <w:top w:w="0" w:type="dxa"/>
          <w:left w:w="0" w:type="dxa"/>
          <w:bottom w:w="0" w:type="dxa"/>
          <w:right w:w="0" w:type="dxa"/>
        </w:tblCellMar>
      </w:tblPr>
      <w:tblGrid>
        <w:gridCol w:w="4982"/>
        <w:gridCol w:w="1185"/>
        <w:gridCol w:w="170"/>
        <w:gridCol w:w="1185"/>
        <w:gridCol w:w="109"/>
        <w:gridCol w:w="1178"/>
        <w:gridCol w:w="151"/>
        <w:gridCol w:w="1245"/>
      </w:tblGrid>
      <w:tr>
        <w:tc>
          <w:tcPr>
            <w:tcW w:w="49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3163570" cy="175260"/>
                      <wp:effectExtent l="0" t="0" r="0" b="0"/>
                      <wp:wrapNone/>
                      <wp:docPr id="20" name="Frame19"/>
                      <a:graphic xmlns:a="http://schemas.openxmlformats.org/drawingml/2006/main">
                        <a:graphicData uri="http://schemas.microsoft.com/office/word/2010/wordprocessingShape">
                          <wps:wsp>
                            <wps:cNvSpPr txBox="1"/>
                            <wps:spPr>
                              <a:xfrm>
                                <a:off x="0" y="0"/>
                                <a:ext cx="316357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52475" cy="175260"/>
                      <wp:effectExtent l="0" t="0" r="0" b="0"/>
                      <wp:wrapNone/>
                      <wp:docPr id="21" name="Frame20"/>
                      <a:graphic xmlns:a="http://schemas.openxmlformats.org/drawingml/2006/main">
                        <a:graphicData uri="http://schemas.microsoft.com/office/word/2010/wordprocessingShape">
                          <wps:wsp>
                            <wps:cNvSpPr txBox="1"/>
                            <wps:spPr>
                              <a:xfrm>
                                <a:off x="0" y="0"/>
                                <a:ext cx="7524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70" w:type="dxa"/>
            <w:tcBorders/>
            <w:vAlign w:val="center"/>
          </w:tcPr>
          <w:p>
            <w:pPr>
              <w:pStyle w:val="TableContents"/>
              <w:bidi w:val="0"/>
              <w:spacing w:before="0" w:after="0"/>
              <w:ind w:left="0" w:right="0" w:hanging="0"/>
              <w:jc w:val="left"/>
            </w:pPr>
            <w:r>
              <w:t>​</w:t>
            </w:r>
          </w:p>
        </w:tc>
        <w:tc>
          <w:tcPr>
            <w:tcW w:w="11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52475" cy="175260"/>
                      <wp:effectExtent l="0" t="0" r="0" b="0"/>
                      <wp:wrapNone/>
                      <wp:docPr id="22" name="Frame21"/>
                      <a:graphic xmlns:a="http://schemas.openxmlformats.org/drawingml/2006/main">
                        <a:graphicData uri="http://schemas.microsoft.com/office/word/2010/wordprocessingShape">
                          <wps:wsp>
                            <wps:cNvSpPr txBox="1"/>
                            <wps:spPr>
                              <a:xfrm>
                                <a:off x="0" y="0"/>
                                <a:ext cx="7524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pPr>
            <w:r>
              <w:t>​</w:t>
            </w:r>
          </w:p>
        </w:tc>
        <w:tc>
          <w:tcPr>
            <w:tcW w:w="11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48030" cy="175260"/>
                      <wp:effectExtent l="0" t="0" r="0" b="0"/>
                      <wp:wrapNone/>
                      <wp:docPr id="23" name="Frame22"/>
                      <a:graphic xmlns:a="http://schemas.openxmlformats.org/drawingml/2006/main">
                        <a:graphicData uri="http://schemas.microsoft.com/office/word/2010/wordprocessingShape">
                          <wps:wsp>
                            <wps:cNvSpPr txBox="1"/>
                            <wps:spPr>
                              <a:xfrm>
                                <a:off x="0" y="0"/>
                                <a:ext cx="748030"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c>
          <w:tcPr>
            <w:tcW w:w="151" w:type="dxa"/>
            <w:tcBorders/>
            <w:vAlign w:val="center"/>
          </w:tcPr>
          <w:p>
            <w:pPr>
              <w:pStyle w:val="TableContents"/>
              <w:bidi w:val="0"/>
              <w:spacing w:before="0" w:after="0"/>
              <w:ind w:left="0" w:right="0" w:hanging="0"/>
              <w:jc w:val="left"/>
            </w:pPr>
            <w:r>
              <w:t>​</w:t>
            </w:r>
          </w:p>
        </w:tc>
        <w:tc>
          <w:tcPr>
            <w:tcW w:w="1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790575" cy="175260"/>
                      <wp:effectExtent l="0" t="0" r="0" b="0"/>
                      <wp:wrapNone/>
                      <wp:docPr id="24" name="Frame23"/>
                      <a:graphic xmlns:a="http://schemas.openxmlformats.org/drawingml/2006/main">
                        <a:graphicData uri="http://schemas.microsoft.com/office/word/2010/wordprocessingShape">
                          <wps:wsp>
                            <wps:cNvSpPr txBox="1"/>
                            <wps:spPr>
                              <a:xfrm>
                                <a:off x="0" y="0"/>
                                <a:ext cx="790575" cy="175260"/>
                              </a:xfrm>
                              <a:prstGeom prst="rect"/>
                              <a:solidFill>
                                <a:srgbClr val="FFFFFF"/>
                              </a:solidFill>
                            </wps:spPr>
                            <wps:txbx>
                              <w:txbxContent>
                                <w:p>
                                  <w:pPr>
                                    <w:pStyle w:val="TableContents"/>
                                    <w:bidi w:val="0"/>
                                    <w:spacing w:before="0" w:after="0"/>
                                    <w:ind w:left="0" w:right="0" w:hanging="0"/>
                                    <w:jc w:val="left"/>
                                  </w:pPr>
                                  <w: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pPr>
                            <w:r>
                              <w:t>​</w:t>
                            </w:r>
                          </w:p>
                        </w:txbxContent>
                      </v:textbox>
                      <w10:wrap type="none"/>
                    </v:rect>
                  </w:pict>
                </mc:Fallback>
              </mc:AlternateContent>
            </w:r>
          </w:p>
        </w:tc>
      </w:tr>
      <w:tr>
        <w:tc>
          <w:tcPr>
            <w:tcW w:w="10205" w:type="dxa"/>
            <w:gridSpan w:val="8"/>
            <w:tcBorders/>
            <w:vAlign w:val="center"/>
          </w:tcPr>
          <w:p>
            <w:pPr>
              <w:pStyle w:val="TableContents"/>
              <w:bidi w:val="0"/>
              <w:spacing w:before="0" w:after="0"/>
              <w:ind w:left="0" w:right="0" w:hanging="0"/>
              <w:jc w:val="left"/>
              <w:rPr>
                <w:rFonts w:ascii="Arial;Helvetica;sans-serif" w:hAnsi="Arial;Helvetica;sans-serif"/>
                <w:b/>
                <w:color w:val="222222"/>
                <w:sz w:val="18"/>
              </w:rPr>
            </w:pPr>
            <w:r>
              <w:rPr>
                <w:rFonts w:ascii="Arial;Helvetica;sans-serif" w:hAnsi="Arial;Helvetica;sans-serif"/>
                <w:b/>
                <w:color w:val="222222"/>
                <w:sz w:val="18"/>
              </w:rPr>
              <w:t>ELUTIA INC.</w:t>
            </w:r>
          </w:p>
        </w:tc>
      </w:tr>
      <w:tr>
        <w:tc>
          <w:tcPr>
            <w:tcW w:w="10205" w:type="dxa"/>
            <w:gridSpan w:val="8"/>
            <w:tcBorders/>
            <w:vAlign w:val="center"/>
          </w:tcPr>
          <w:p>
            <w:pPr>
              <w:pStyle w:val="TableContents"/>
              <w:bidi w:val="0"/>
              <w:spacing w:before="0" w:after="0"/>
              <w:ind w:left="0" w:right="0" w:hanging="0"/>
              <w:jc w:val="left"/>
              <w:rPr>
                <w:rFonts w:ascii="Arial;Helvetica;sans-serif" w:hAnsi="Arial;Helvetica;sans-serif"/>
                <w:b/>
                <w:color w:val="222222"/>
                <w:sz w:val="18"/>
              </w:rPr>
            </w:pPr>
            <w:r>
              <w:rPr>
                <w:rFonts w:ascii="Arial;Helvetica;sans-serif" w:hAnsi="Arial;Helvetica;sans-serif"/>
                <w:b/>
                <w:color w:val="222222"/>
                <w:sz w:val="18"/>
              </w:rPr>
              <w:t>EBITDA AND ADJUSTED EBITDA RECONCILIATIONS</w:t>
            </w:r>
          </w:p>
        </w:tc>
      </w:tr>
      <w:tr>
        <w:tc>
          <w:tcPr>
            <w:tcW w:w="10205" w:type="dxa"/>
            <w:gridSpan w:val="8"/>
            <w:tcBorders/>
            <w:vAlign w:val="center"/>
          </w:tcPr>
          <w:p>
            <w:pPr>
              <w:pStyle w:val="TableContents"/>
              <w:bidi w:val="0"/>
              <w:spacing w:before="0" w:after="0"/>
              <w:ind w:left="0" w:right="0" w:hanging="0"/>
              <w:jc w:val="left"/>
              <w:rPr>
                <w:rFonts w:ascii="Arial;Helvetica;sans-serif" w:hAnsi="Arial;Helvetica;sans-serif"/>
                <w:b/>
                <w:color w:val="222222"/>
                <w:sz w:val="18"/>
              </w:rPr>
            </w:pPr>
            <w:r>
              <w:rPr>
                <w:rFonts w:ascii="Arial;Helvetica;sans-serif" w:hAnsi="Arial;Helvetica;sans-serif"/>
                <w:b/>
                <w:color w:val="222222"/>
                <w:sz w:val="18"/>
              </w:rPr>
              <w:t>(Unaudited, in thousands)</w:t>
            </w:r>
          </w:p>
        </w:tc>
      </w:tr>
      <w:tr>
        <w:tc>
          <w:tcPr>
            <w:tcW w:w="4982" w:type="dxa"/>
            <w:tcBorders/>
            <w:vAlign w:val="center"/>
          </w:tcPr>
          <w:p>
            <w:pPr>
              <w:pStyle w:val="TableContents"/>
              <w:bidi w:val="0"/>
              <w:spacing w:before="0" w:after="0"/>
              <w:ind w:left="0" w:right="0" w:hanging="0"/>
              <w:jc w:val="left"/>
            </w:pPr>
            <w:r>
              <w:t>​</w:t>
            </w:r>
          </w:p>
        </w:tc>
        <w:tc>
          <w:tcPr>
            <w:tcW w:w="1185" w:type="dxa"/>
            <w:tcBorders/>
            <w:vAlign w:val="center"/>
          </w:tcPr>
          <w:p>
            <w:pPr>
              <w:pStyle w:val="TableContents"/>
              <w:bidi w:val="0"/>
              <w:spacing w:before="0" w:after="0"/>
              <w:ind w:left="0" w:right="0" w:hanging="0"/>
              <w:jc w:val="left"/>
            </w:pPr>
            <w:r>
              <w:t>​</w:t>
            </w:r>
          </w:p>
        </w:tc>
        <w:tc>
          <w:tcPr>
            <w:tcW w:w="170" w:type="dxa"/>
            <w:tcBorders/>
            <w:vAlign w:val="center"/>
          </w:tcPr>
          <w:p>
            <w:pPr>
              <w:pStyle w:val="TableContents"/>
              <w:bidi w:val="0"/>
              <w:spacing w:before="0" w:after="0"/>
              <w:ind w:left="0" w:right="0" w:hanging="0"/>
              <w:jc w:val="left"/>
            </w:pPr>
            <w:r>
              <w:t>​</w:t>
            </w:r>
          </w:p>
        </w:tc>
        <w:tc>
          <w:tcPr>
            <w:tcW w:w="1185" w:type="dxa"/>
            <w:tcBorders/>
            <w:vAlign w:val="center"/>
          </w:tcPr>
          <w:p>
            <w:pPr>
              <w:pStyle w:val="TableContents"/>
              <w:bidi w:val="0"/>
              <w:spacing w:before="0" w:after="0"/>
              <w:ind w:left="0" w:right="0" w:hanging="0"/>
              <w:jc w:val="left"/>
            </w:pPr>
            <w:r>
              <w:t>​</w:t>
            </w:r>
          </w:p>
        </w:tc>
        <w:tc>
          <w:tcPr>
            <w:tcW w:w="109" w:type="dxa"/>
            <w:tcBorders/>
            <w:vAlign w:val="center"/>
          </w:tcPr>
          <w:p>
            <w:pPr>
              <w:pStyle w:val="TableContents"/>
              <w:bidi w:val="0"/>
              <w:spacing w:before="0" w:after="0"/>
              <w:ind w:left="0" w:right="0" w:hanging="0"/>
              <w:jc w:val="left"/>
            </w:pPr>
            <w:r>
              <w:t>​</w:t>
            </w:r>
          </w:p>
        </w:tc>
        <w:tc>
          <w:tcPr>
            <w:tcW w:w="1178" w:type="dxa"/>
            <w:tcBorders/>
            <w:vAlign w:val="center"/>
          </w:tcPr>
          <w:p>
            <w:pPr>
              <w:pStyle w:val="TableContents"/>
              <w:bidi w:val="0"/>
              <w:spacing w:before="0" w:after="0"/>
              <w:ind w:left="0" w:right="0" w:hanging="0"/>
              <w:jc w:val="left"/>
            </w:pPr>
            <w:r>
              <w:t>​</w:t>
            </w:r>
          </w:p>
        </w:tc>
        <w:tc>
          <w:tcPr>
            <w:tcW w:w="151" w:type="dxa"/>
            <w:tcBorders/>
            <w:vAlign w:val="center"/>
          </w:tcPr>
          <w:p>
            <w:pPr>
              <w:pStyle w:val="TableContents"/>
              <w:bidi w:val="0"/>
              <w:spacing w:before="0" w:after="0"/>
              <w:ind w:left="0" w:right="0" w:hanging="0"/>
              <w:jc w:val="left"/>
            </w:pPr>
            <w:r>
              <w:t>​</w:t>
            </w:r>
          </w:p>
        </w:tc>
        <w:tc>
          <w:tcPr>
            <w:tcW w:w="1245" w:type="dxa"/>
            <w:tcBorders/>
            <w:vAlign w:val="center"/>
          </w:tcPr>
          <w:p>
            <w:pPr>
              <w:pStyle w:val="TableContents"/>
              <w:bidi w:val="0"/>
              <w:spacing w:before="0" w:after="0"/>
              <w:ind w:left="0" w:right="0" w:hanging="0"/>
              <w:jc w:val="left"/>
            </w:pPr>
            <w:r>
              <w:t>​</w:t>
            </w:r>
          </w:p>
        </w:tc>
      </w:tr>
      <w:tr>
        <w:tc>
          <w:tcPr>
            <w:tcW w:w="4982" w:type="dxa"/>
            <w:tcBorders/>
            <w:vAlign w:val="center"/>
          </w:tcPr>
          <w:p>
            <w:pPr>
              <w:pStyle w:val="TableContents"/>
              <w:bidi w:val="0"/>
              <w:spacing w:before="0" w:after="0"/>
              <w:ind w:left="0" w:right="0" w:hanging="0"/>
              <w:jc w:val="left"/>
            </w:pPr>
            <w:r>
              <w:t>​</w:t>
            </w:r>
          </w:p>
        </w:tc>
        <w:tc>
          <w:tcPr>
            <w:tcW w:w="2540" w:type="dxa"/>
            <w:gridSpan w:val="3"/>
            <w:tcBorders/>
            <w:vAlign w:val="center"/>
          </w:tcPr>
          <w:p>
            <w:pPr>
              <w:pStyle w:val="TableContents"/>
              <w:bidi w:val="0"/>
              <w:spacing w:before="0" w:after="0"/>
              <w:ind w:left="0" w:right="0" w:hanging="0"/>
              <w:jc w:val="center"/>
              <w:rPr>
                <w:rFonts w:ascii="Arial;Helvetica;sans-serif" w:hAnsi="Arial;Helvetica;sans-serif"/>
                <w:b/>
                <w:color w:val="222222"/>
                <w:sz w:val="17"/>
              </w:rPr>
            </w:pPr>
            <w:r>
              <w:rPr>
                <w:rFonts w:ascii="Arial;Helvetica;sans-serif" w:hAnsi="Arial;Helvetica;sans-serif"/>
                <w:b/>
                <w:color w:val="222222"/>
                <w:sz w:val="17"/>
              </w:rPr>
              <w:t>Three months ended September 30,</w:t>
            </w:r>
          </w:p>
        </w:tc>
        <w:tc>
          <w:tcPr>
            <w:tcW w:w="109" w:type="dxa"/>
            <w:tcBorders/>
            <w:vAlign w:val="center"/>
          </w:tcPr>
          <w:p>
            <w:pPr>
              <w:pStyle w:val="TableContents"/>
              <w:bidi w:val="0"/>
              <w:spacing w:before="0" w:after="0"/>
              <w:ind w:left="0" w:right="0" w:hanging="0"/>
              <w:jc w:val="center"/>
            </w:pPr>
            <w:r>
              <w:t>​</w:t>
            </w:r>
          </w:p>
        </w:tc>
        <w:tc>
          <w:tcPr>
            <w:tcW w:w="2574" w:type="dxa"/>
            <w:gridSpan w:val="3"/>
            <w:tcBorders/>
            <w:vAlign w:val="center"/>
          </w:tcPr>
          <w:p>
            <w:pPr>
              <w:pStyle w:val="TableContents"/>
              <w:bidi w:val="0"/>
              <w:spacing w:before="0" w:after="0"/>
              <w:ind w:left="0" w:right="0" w:hanging="0"/>
              <w:jc w:val="center"/>
              <w:rPr>
                <w:rFonts w:ascii="Arial;Helvetica;sans-serif" w:hAnsi="Arial;Helvetica;sans-serif"/>
                <w:b/>
                <w:color w:val="222222"/>
                <w:sz w:val="17"/>
              </w:rPr>
            </w:pPr>
            <w:r>
              <w:rPr>
                <w:rFonts w:ascii="Arial;Helvetica;sans-serif" w:hAnsi="Arial;Helvetica;sans-serif"/>
                <w:b/>
                <w:color w:val="222222"/>
                <w:sz w:val="17"/>
              </w:rPr>
              <w:t>Nine months ended September 30,</w:t>
            </w:r>
          </w:p>
        </w:tc>
      </w:tr>
      <w:tr>
        <w:tc>
          <w:tcPr>
            <w:tcW w:w="4982" w:type="dxa"/>
            <w:tcBorders/>
            <w:vAlign w:val="center"/>
          </w:tcPr>
          <w:p>
            <w:pPr>
              <w:pStyle w:val="TableContents"/>
              <w:bidi w:val="0"/>
              <w:spacing w:before="0" w:after="0"/>
              <w:ind w:left="0" w:right="0" w:hanging="0"/>
              <w:jc w:val="left"/>
            </w:pPr>
            <w:r>
              <w:t>​</w:t>
            </w:r>
          </w:p>
        </w:tc>
        <w:tc>
          <w:tcPr>
            <w:tcW w:w="1185"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2026</w:t>
            </w:r>
          </w:p>
        </w:tc>
        <w:tc>
          <w:tcPr>
            <w:tcW w:w="170" w:type="dxa"/>
            <w:tcBorders>
              <w:top w:val="single" w:sz="18" w:space="0" w:color="1B2E5A"/>
            </w:tcBorders>
            <w:tcMar>
              <w:top w:w="30" w:type="dxa"/>
            </w:tcMar>
            <w:vAlign w:val="center"/>
          </w:tcPr>
          <w:p>
            <w:pPr>
              <w:pStyle w:val="TableContents"/>
              <w:bidi w:val="0"/>
              <w:spacing w:before="0" w:after="0"/>
              <w:ind w:left="0" w:right="0" w:hanging="0"/>
              <w:jc w:val="right"/>
            </w:pPr>
            <w:r>
              <w:t>​</w:t>
            </w:r>
          </w:p>
        </w:tc>
        <w:tc>
          <w:tcPr>
            <w:tcW w:w="1185"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2025</w:t>
            </w:r>
          </w:p>
        </w:tc>
        <w:tc>
          <w:tcPr>
            <w:tcW w:w="109" w:type="dxa"/>
            <w:tcBorders/>
            <w:vAlign w:val="center"/>
          </w:tcPr>
          <w:p>
            <w:pPr>
              <w:pStyle w:val="TableContents"/>
              <w:bidi w:val="0"/>
              <w:spacing w:before="0" w:after="0"/>
              <w:ind w:left="0" w:right="0" w:hanging="0"/>
              <w:jc w:val="right"/>
            </w:pPr>
            <w:r>
              <w:t>​</w:t>
            </w:r>
          </w:p>
        </w:tc>
        <w:tc>
          <w:tcPr>
            <w:tcW w:w="1178"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2026</w:t>
            </w:r>
          </w:p>
        </w:tc>
        <w:tc>
          <w:tcPr>
            <w:tcW w:w="151" w:type="dxa"/>
            <w:tcBorders>
              <w:top w:val="single" w:sz="18" w:space="0" w:color="1B2E5A"/>
            </w:tcBorders>
            <w:tcMar>
              <w:top w:w="30" w:type="dxa"/>
            </w:tcMar>
            <w:vAlign w:val="center"/>
          </w:tcPr>
          <w:p>
            <w:pPr>
              <w:pStyle w:val="TableContents"/>
              <w:bidi w:val="0"/>
              <w:spacing w:before="0" w:after="0"/>
              <w:ind w:left="0" w:right="0" w:hanging="0"/>
              <w:jc w:val="right"/>
            </w:pPr>
            <w:r>
              <w:t>​</w:t>
            </w:r>
          </w:p>
        </w:tc>
        <w:tc>
          <w:tcPr>
            <w:tcW w:w="1245" w:type="dxa"/>
            <w:tcBorders>
              <w:top w:val="single" w:sz="18"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2025</w:t>
            </w:r>
          </w:p>
        </w:tc>
      </w:tr>
      <w:tr>
        <w:tc>
          <w:tcPr>
            <w:tcW w:w="498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Net loss</w:t>
            </w:r>
          </w:p>
        </w:tc>
        <w:tc>
          <w:tcPr>
            <w:tcW w:w="118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(1,285)</w:t>
            </w:r>
          </w:p>
        </w:tc>
        <w:tc>
          <w:tcPr>
            <w:tcW w:w="170" w:type="dxa"/>
            <w:tcBorders/>
            <w:vAlign w:val="center"/>
          </w:tcPr>
          <w:p>
            <w:pPr>
              <w:pStyle w:val="TableContents"/>
              <w:bidi w:val="0"/>
              <w:spacing w:before="0" w:after="0"/>
              <w:ind w:left="0" w:right="0" w:hanging="0"/>
              <w:jc w:val="right"/>
            </w:pPr>
            <w:r>
              <w:t>​</w:t>
            </w:r>
          </w:p>
        </w:tc>
        <w:tc>
          <w:tcPr>
            <w:tcW w:w="118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(3,868)</w:t>
            </w:r>
          </w:p>
        </w:tc>
        <w:tc>
          <w:tcPr>
            <w:tcW w:w="109" w:type="dxa"/>
            <w:tcBorders/>
            <w:vAlign w:val="center"/>
          </w:tcPr>
          <w:p>
            <w:pPr>
              <w:pStyle w:val="TableContents"/>
              <w:bidi w:val="0"/>
              <w:spacing w:before="0" w:after="0"/>
              <w:ind w:left="0" w:right="0" w:hanging="0"/>
              <w:jc w:val="right"/>
            </w:pPr>
            <w:r>
              <w:t>​</w:t>
            </w:r>
          </w:p>
        </w:tc>
        <w:tc>
          <w:tcPr>
            <w:tcW w:w="1178"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(16,400)</w:t>
            </w:r>
          </w:p>
        </w:tc>
        <w:tc>
          <w:tcPr>
            <w:tcW w:w="151" w:type="dxa"/>
            <w:tcBorders/>
            <w:vAlign w:val="center"/>
          </w:tcPr>
          <w:p>
            <w:pPr>
              <w:pStyle w:val="TableContents"/>
              <w:bidi w:val="0"/>
              <w:spacing w:before="0" w:after="0"/>
              <w:ind w:left="0" w:right="0" w:hanging="0"/>
              <w:jc w:val="right"/>
            </w:pPr>
            <w:r>
              <w:t>​</w:t>
            </w:r>
          </w:p>
        </w:tc>
        <w:tc>
          <w:tcPr>
            <w:tcW w:w="124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 (17,411)</w:t>
            </w:r>
          </w:p>
        </w:tc>
      </w:tr>
      <w:tr>
        <w:tc>
          <w:tcPr>
            <w:tcW w:w="498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Interest expense (income), net (1)</w:t>
            </w:r>
          </w:p>
        </w:tc>
        <w:tc>
          <w:tcPr>
            <w:tcW w:w="11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278</w:t>
            </w:r>
          </w:p>
        </w:tc>
        <w:tc>
          <w:tcPr>
            <w:tcW w:w="170" w:type="dxa"/>
            <w:tcBorders/>
            <w:vAlign w:val="center"/>
          </w:tcPr>
          <w:p>
            <w:pPr>
              <w:pStyle w:val="TableContents"/>
              <w:bidi w:val="0"/>
              <w:spacing w:before="0" w:after="0"/>
              <w:ind w:left="0" w:right="0" w:hanging="0"/>
              <w:jc w:val="right"/>
            </w:pPr>
            <w:r>
              <w:t>​</w:t>
            </w:r>
          </w:p>
        </w:tc>
        <w:tc>
          <w:tcPr>
            <w:tcW w:w="11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265</w:t>
            </w:r>
          </w:p>
        </w:tc>
        <w:tc>
          <w:tcPr>
            <w:tcW w:w="109" w:type="dxa"/>
            <w:tcBorders/>
            <w:vAlign w:val="center"/>
          </w:tcPr>
          <w:p>
            <w:pPr>
              <w:pStyle w:val="TableContents"/>
              <w:bidi w:val="0"/>
              <w:spacing w:before="0" w:after="0"/>
              <w:ind w:left="0" w:right="0" w:hanging="0"/>
              <w:jc w:val="right"/>
            </w:pPr>
            <w:r>
              <w:t>​</w:t>
            </w:r>
          </w:p>
        </w:tc>
        <w:tc>
          <w:tcPr>
            <w:tcW w:w="1178"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135</w:t>
            </w:r>
          </w:p>
        </w:tc>
        <w:tc>
          <w:tcPr>
            <w:tcW w:w="151" w:type="dxa"/>
            <w:tcBorders/>
            <w:vAlign w:val="center"/>
          </w:tcPr>
          <w:p>
            <w:pPr>
              <w:pStyle w:val="TableContents"/>
              <w:bidi w:val="0"/>
              <w:spacing w:before="0" w:after="0"/>
              <w:ind w:left="0" w:right="0" w:hanging="0"/>
              <w:jc w:val="right"/>
            </w:pPr>
            <w:r>
              <w:t>​</w:t>
            </w:r>
          </w:p>
        </w:tc>
        <w:tc>
          <w:tcPr>
            <w:tcW w:w="124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(42)</w:t>
            </w:r>
          </w:p>
        </w:tc>
      </w:tr>
      <w:tr>
        <w:tc>
          <w:tcPr>
            <w:tcW w:w="498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Provision for income taxes</w:t>
            </w:r>
          </w:p>
        </w:tc>
        <w:tc>
          <w:tcPr>
            <w:tcW w:w="11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8</w:t>
            </w:r>
          </w:p>
        </w:tc>
        <w:tc>
          <w:tcPr>
            <w:tcW w:w="170" w:type="dxa"/>
            <w:tcBorders/>
            <w:vAlign w:val="center"/>
          </w:tcPr>
          <w:p>
            <w:pPr>
              <w:pStyle w:val="TableContents"/>
              <w:bidi w:val="0"/>
              <w:spacing w:before="0" w:after="0"/>
              <w:ind w:left="0" w:right="0" w:hanging="0"/>
              <w:jc w:val="right"/>
            </w:pPr>
            <w:r>
              <w:t>​</w:t>
            </w:r>
          </w:p>
        </w:tc>
        <w:tc>
          <w:tcPr>
            <w:tcW w:w="11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8</w:t>
            </w:r>
          </w:p>
        </w:tc>
        <w:tc>
          <w:tcPr>
            <w:tcW w:w="109" w:type="dxa"/>
            <w:tcBorders/>
            <w:vAlign w:val="center"/>
          </w:tcPr>
          <w:p>
            <w:pPr>
              <w:pStyle w:val="TableContents"/>
              <w:bidi w:val="0"/>
              <w:spacing w:before="0" w:after="0"/>
              <w:ind w:left="0" w:right="0" w:hanging="0"/>
              <w:jc w:val="right"/>
            </w:pPr>
            <w:r>
              <w:t>​</w:t>
            </w:r>
          </w:p>
        </w:tc>
        <w:tc>
          <w:tcPr>
            <w:tcW w:w="1178"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86</w:t>
            </w:r>
          </w:p>
        </w:tc>
        <w:tc>
          <w:tcPr>
            <w:tcW w:w="151" w:type="dxa"/>
            <w:tcBorders/>
            <w:vAlign w:val="center"/>
          </w:tcPr>
          <w:p>
            <w:pPr>
              <w:pStyle w:val="TableContents"/>
              <w:bidi w:val="0"/>
              <w:spacing w:before="0" w:after="0"/>
              <w:ind w:left="0" w:right="0" w:hanging="0"/>
              <w:jc w:val="right"/>
            </w:pPr>
            <w:r>
              <w:t>​</w:t>
            </w:r>
          </w:p>
        </w:tc>
        <w:tc>
          <w:tcPr>
            <w:tcW w:w="124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24</w:t>
            </w:r>
          </w:p>
        </w:tc>
      </w:tr>
      <w:tr>
        <w:tc>
          <w:tcPr>
            <w:tcW w:w="498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Depreciation and amortization</w:t>
            </w:r>
          </w:p>
        </w:tc>
        <w:tc>
          <w:tcPr>
            <w:tcW w:w="11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350</w:t>
            </w:r>
          </w:p>
        </w:tc>
        <w:tc>
          <w:tcPr>
            <w:tcW w:w="170" w:type="dxa"/>
            <w:tcBorders/>
            <w:vAlign w:val="center"/>
          </w:tcPr>
          <w:p>
            <w:pPr>
              <w:pStyle w:val="TableContents"/>
              <w:bidi w:val="0"/>
              <w:spacing w:before="0" w:after="0"/>
              <w:ind w:left="0" w:right="0" w:hanging="0"/>
              <w:jc w:val="right"/>
            </w:pPr>
            <w:r>
              <w:t>​</w:t>
            </w:r>
          </w:p>
        </w:tc>
        <w:tc>
          <w:tcPr>
            <w:tcW w:w="11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279</w:t>
            </w:r>
          </w:p>
        </w:tc>
        <w:tc>
          <w:tcPr>
            <w:tcW w:w="109" w:type="dxa"/>
            <w:tcBorders/>
            <w:vAlign w:val="center"/>
          </w:tcPr>
          <w:p>
            <w:pPr>
              <w:pStyle w:val="TableContents"/>
              <w:bidi w:val="0"/>
              <w:spacing w:before="0" w:after="0"/>
              <w:ind w:left="0" w:right="0" w:hanging="0"/>
              <w:jc w:val="right"/>
            </w:pPr>
            <w:r>
              <w:t>​</w:t>
            </w:r>
          </w:p>
        </w:tc>
        <w:tc>
          <w:tcPr>
            <w:tcW w:w="1178"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1,029</w:t>
            </w:r>
          </w:p>
        </w:tc>
        <w:tc>
          <w:tcPr>
            <w:tcW w:w="151" w:type="dxa"/>
            <w:tcBorders/>
            <w:vAlign w:val="center"/>
          </w:tcPr>
          <w:p>
            <w:pPr>
              <w:pStyle w:val="TableContents"/>
              <w:bidi w:val="0"/>
              <w:spacing w:before="0" w:after="0"/>
              <w:ind w:left="0" w:right="0" w:hanging="0"/>
              <w:jc w:val="right"/>
            </w:pPr>
            <w:r>
              <w:t>​</w:t>
            </w:r>
          </w:p>
        </w:tc>
        <w:tc>
          <w:tcPr>
            <w:tcW w:w="124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877</w:t>
            </w:r>
          </w:p>
        </w:tc>
      </w:tr>
      <w:tr>
        <w:tc>
          <w:tcPr>
            <w:tcW w:w="498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Earnings before interest, taxes, depreciation and amortization ("EBITDA") (Non-GAAP)</w:t>
            </w:r>
          </w:p>
        </w:tc>
        <w:tc>
          <w:tcPr>
            <w:tcW w:w="118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(649)</w:t>
            </w:r>
          </w:p>
        </w:tc>
        <w:tc>
          <w:tcPr>
            <w:tcW w:w="170" w:type="dxa"/>
            <w:tcBorders/>
            <w:vAlign w:val="center"/>
          </w:tcPr>
          <w:p>
            <w:pPr>
              <w:pStyle w:val="TableContents"/>
              <w:bidi w:val="0"/>
              <w:spacing w:before="0" w:after="0"/>
              <w:ind w:left="0" w:right="0" w:hanging="0"/>
              <w:jc w:val="right"/>
            </w:pPr>
            <w:r>
              <w:t>​</w:t>
            </w:r>
          </w:p>
        </w:tc>
        <w:tc>
          <w:tcPr>
            <w:tcW w:w="118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(3,316)</w:t>
            </w:r>
          </w:p>
        </w:tc>
        <w:tc>
          <w:tcPr>
            <w:tcW w:w="109" w:type="dxa"/>
            <w:tcBorders/>
            <w:vAlign w:val="center"/>
          </w:tcPr>
          <w:p>
            <w:pPr>
              <w:pStyle w:val="TableContents"/>
              <w:bidi w:val="0"/>
              <w:spacing w:before="0" w:after="0"/>
              <w:ind w:left="0" w:right="0" w:hanging="0"/>
              <w:jc w:val="right"/>
            </w:pPr>
            <w:r>
              <w:t>​</w:t>
            </w:r>
          </w:p>
        </w:tc>
        <w:tc>
          <w:tcPr>
            <w:tcW w:w="1178"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(15,150)</w:t>
            </w:r>
          </w:p>
        </w:tc>
        <w:tc>
          <w:tcPr>
            <w:tcW w:w="151" w:type="dxa"/>
            <w:tcBorders/>
            <w:vAlign w:val="center"/>
          </w:tcPr>
          <w:p>
            <w:pPr>
              <w:pStyle w:val="TableContents"/>
              <w:bidi w:val="0"/>
              <w:spacing w:before="0" w:after="0"/>
              <w:ind w:left="0" w:right="0" w:hanging="0"/>
              <w:jc w:val="right"/>
            </w:pPr>
            <w:r>
              <w:t>​</w:t>
            </w:r>
          </w:p>
        </w:tc>
        <w:tc>
          <w:tcPr>
            <w:tcW w:w="1245" w:type="dxa"/>
            <w:tcBorders>
              <w:top w:val="single" w:sz="2" w:space="0" w:color="1B2E5A"/>
            </w:tcBorders>
            <w:tcMar>
              <w:top w:w="30" w:type="dxa"/>
            </w:tcMar>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(16,552)</w:t>
            </w:r>
          </w:p>
        </w:tc>
      </w:tr>
      <w:tr>
        <w:tc>
          <w:tcPr>
            <w:tcW w:w="498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(Income) loss from discontinued operations</w:t>
            </w:r>
          </w:p>
        </w:tc>
        <w:tc>
          <w:tcPr>
            <w:tcW w:w="11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(5,218)</w:t>
            </w:r>
          </w:p>
        </w:tc>
        <w:tc>
          <w:tcPr>
            <w:tcW w:w="170" w:type="dxa"/>
            <w:tcBorders/>
            <w:vAlign w:val="center"/>
          </w:tcPr>
          <w:p>
            <w:pPr>
              <w:pStyle w:val="TableContents"/>
              <w:bidi w:val="0"/>
              <w:spacing w:before="0" w:after="0"/>
              <w:ind w:left="0" w:right="0" w:hanging="0"/>
              <w:jc w:val="right"/>
            </w:pPr>
            <w:r>
              <w:t>​</w:t>
            </w:r>
          </w:p>
        </w:tc>
        <w:tc>
          <w:tcPr>
            <w:tcW w:w="11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2,824</w:t>
            </w:r>
          </w:p>
        </w:tc>
        <w:tc>
          <w:tcPr>
            <w:tcW w:w="109" w:type="dxa"/>
            <w:tcBorders/>
            <w:vAlign w:val="center"/>
          </w:tcPr>
          <w:p>
            <w:pPr>
              <w:pStyle w:val="TableContents"/>
              <w:bidi w:val="0"/>
              <w:spacing w:before="0" w:after="0"/>
              <w:ind w:left="0" w:right="0" w:hanging="0"/>
              <w:jc w:val="right"/>
            </w:pPr>
            <w:r>
              <w:t>​</w:t>
            </w:r>
          </w:p>
        </w:tc>
        <w:tc>
          <w:tcPr>
            <w:tcW w:w="1178"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(6,288)</w:t>
            </w:r>
          </w:p>
        </w:tc>
        <w:tc>
          <w:tcPr>
            <w:tcW w:w="151" w:type="dxa"/>
            <w:tcBorders/>
            <w:vAlign w:val="center"/>
          </w:tcPr>
          <w:p>
            <w:pPr>
              <w:pStyle w:val="TableContents"/>
              <w:bidi w:val="0"/>
              <w:spacing w:before="0" w:after="0"/>
              <w:ind w:left="0" w:right="0" w:hanging="0"/>
              <w:jc w:val="right"/>
            </w:pPr>
            <w:r>
              <w:t>​</w:t>
            </w:r>
          </w:p>
        </w:tc>
        <w:tc>
          <w:tcPr>
            <w:tcW w:w="124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6,123</w:t>
            </w:r>
          </w:p>
        </w:tc>
      </w:tr>
      <w:tr>
        <w:tc>
          <w:tcPr>
            <w:tcW w:w="498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Stock-based compensation</w:t>
            </w:r>
          </w:p>
        </w:tc>
        <w:tc>
          <w:tcPr>
            <w:tcW w:w="11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860</w:t>
            </w:r>
          </w:p>
        </w:tc>
        <w:tc>
          <w:tcPr>
            <w:tcW w:w="170" w:type="dxa"/>
            <w:tcBorders/>
            <w:vAlign w:val="center"/>
          </w:tcPr>
          <w:p>
            <w:pPr>
              <w:pStyle w:val="TableContents"/>
              <w:bidi w:val="0"/>
              <w:spacing w:before="0" w:after="0"/>
              <w:ind w:left="0" w:right="0" w:hanging="0"/>
              <w:jc w:val="right"/>
            </w:pPr>
            <w:r>
              <w:t>​</w:t>
            </w:r>
          </w:p>
        </w:tc>
        <w:tc>
          <w:tcPr>
            <w:tcW w:w="11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1,334</w:t>
            </w:r>
          </w:p>
        </w:tc>
        <w:tc>
          <w:tcPr>
            <w:tcW w:w="109" w:type="dxa"/>
            <w:tcBorders/>
            <w:vAlign w:val="center"/>
          </w:tcPr>
          <w:p>
            <w:pPr>
              <w:pStyle w:val="TableContents"/>
              <w:bidi w:val="0"/>
              <w:spacing w:before="0" w:after="0"/>
              <w:ind w:left="0" w:right="0" w:hanging="0"/>
              <w:jc w:val="right"/>
            </w:pPr>
            <w:r>
              <w:t>​</w:t>
            </w:r>
          </w:p>
        </w:tc>
        <w:tc>
          <w:tcPr>
            <w:tcW w:w="1178"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2,696</w:t>
            </w:r>
          </w:p>
        </w:tc>
        <w:tc>
          <w:tcPr>
            <w:tcW w:w="151" w:type="dxa"/>
            <w:tcBorders/>
            <w:vAlign w:val="center"/>
          </w:tcPr>
          <w:p>
            <w:pPr>
              <w:pStyle w:val="TableContents"/>
              <w:bidi w:val="0"/>
              <w:spacing w:before="0" w:after="0"/>
              <w:ind w:left="0" w:right="0" w:hanging="0"/>
              <w:jc w:val="right"/>
            </w:pPr>
            <w:r>
              <w:t>​</w:t>
            </w:r>
          </w:p>
        </w:tc>
        <w:tc>
          <w:tcPr>
            <w:tcW w:w="124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3,450</w:t>
            </w:r>
          </w:p>
        </w:tc>
      </w:tr>
      <w:tr>
        <w:tc>
          <w:tcPr>
            <w:tcW w:w="498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Litigation costs, net (2)</w:t>
            </w:r>
          </w:p>
        </w:tc>
        <w:tc>
          <w:tcPr>
            <w:tcW w:w="11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117</w:t>
            </w:r>
          </w:p>
        </w:tc>
        <w:tc>
          <w:tcPr>
            <w:tcW w:w="170" w:type="dxa"/>
            <w:tcBorders/>
            <w:vAlign w:val="center"/>
          </w:tcPr>
          <w:p>
            <w:pPr>
              <w:pStyle w:val="TableContents"/>
              <w:bidi w:val="0"/>
              <w:spacing w:before="0" w:after="0"/>
              <w:ind w:left="0" w:right="0" w:hanging="0"/>
              <w:jc w:val="right"/>
            </w:pPr>
            <w:r>
              <w:t>​</w:t>
            </w:r>
          </w:p>
        </w:tc>
        <w:tc>
          <w:tcPr>
            <w:tcW w:w="11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853</w:t>
            </w:r>
          </w:p>
        </w:tc>
        <w:tc>
          <w:tcPr>
            <w:tcW w:w="109" w:type="dxa"/>
            <w:tcBorders/>
            <w:vAlign w:val="center"/>
          </w:tcPr>
          <w:p>
            <w:pPr>
              <w:pStyle w:val="TableContents"/>
              <w:bidi w:val="0"/>
              <w:spacing w:before="0" w:after="0"/>
              <w:ind w:left="0" w:right="0" w:hanging="0"/>
              <w:jc w:val="right"/>
            </w:pPr>
            <w:r>
              <w:t>​</w:t>
            </w:r>
          </w:p>
        </w:tc>
        <w:tc>
          <w:tcPr>
            <w:tcW w:w="1178"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2,780</w:t>
            </w:r>
          </w:p>
        </w:tc>
        <w:tc>
          <w:tcPr>
            <w:tcW w:w="151" w:type="dxa"/>
            <w:tcBorders/>
            <w:vAlign w:val="center"/>
          </w:tcPr>
          <w:p>
            <w:pPr>
              <w:pStyle w:val="TableContents"/>
              <w:bidi w:val="0"/>
              <w:spacing w:before="0" w:after="0"/>
              <w:ind w:left="0" w:right="0" w:hanging="0"/>
              <w:jc w:val="right"/>
            </w:pPr>
            <w:r>
              <w:t>​</w:t>
            </w:r>
          </w:p>
        </w:tc>
        <w:tc>
          <w:tcPr>
            <w:tcW w:w="124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7,429</w:t>
            </w:r>
          </w:p>
        </w:tc>
      </w:tr>
      <w:tr>
        <w:tc>
          <w:tcPr>
            <w:tcW w:w="498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(Gain) loss on revaluation of warrant and derivative liabilities (3)</w:t>
            </w:r>
          </w:p>
        </w:tc>
        <w:tc>
          <w:tcPr>
            <w:tcW w:w="11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(661)</w:t>
            </w:r>
          </w:p>
        </w:tc>
        <w:tc>
          <w:tcPr>
            <w:tcW w:w="170" w:type="dxa"/>
            <w:tcBorders/>
            <w:vAlign w:val="center"/>
          </w:tcPr>
          <w:p>
            <w:pPr>
              <w:pStyle w:val="TableContents"/>
              <w:bidi w:val="0"/>
              <w:spacing w:before="0" w:after="0"/>
              <w:ind w:left="0" w:right="0" w:hanging="0"/>
              <w:jc w:val="right"/>
            </w:pPr>
            <w:r>
              <w:t>​</w:t>
            </w:r>
          </w:p>
        </w:tc>
        <w:tc>
          <w:tcPr>
            <w:tcW w:w="118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(5,098)</w:t>
            </w:r>
          </w:p>
        </w:tc>
        <w:tc>
          <w:tcPr>
            <w:tcW w:w="109" w:type="dxa"/>
            <w:tcBorders/>
            <w:vAlign w:val="center"/>
          </w:tcPr>
          <w:p>
            <w:pPr>
              <w:pStyle w:val="TableContents"/>
              <w:bidi w:val="0"/>
              <w:spacing w:before="0" w:after="0"/>
              <w:ind w:left="0" w:right="0" w:hanging="0"/>
              <w:jc w:val="right"/>
            </w:pPr>
            <w:r>
              <w:t>​</w:t>
            </w:r>
          </w:p>
        </w:tc>
        <w:tc>
          <w:tcPr>
            <w:tcW w:w="1178"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768</w:t>
            </w:r>
          </w:p>
        </w:tc>
        <w:tc>
          <w:tcPr>
            <w:tcW w:w="151" w:type="dxa"/>
            <w:tcBorders/>
            <w:vAlign w:val="center"/>
          </w:tcPr>
          <w:p>
            <w:pPr>
              <w:pStyle w:val="TableContents"/>
              <w:bidi w:val="0"/>
              <w:spacing w:before="0" w:after="0"/>
              <w:ind w:left="0" w:right="0" w:hanging="0"/>
              <w:jc w:val="right"/>
            </w:pPr>
            <w:r>
              <w:t>​</w:t>
            </w:r>
          </w:p>
        </w:tc>
        <w:tc>
          <w:tcPr>
            <w:tcW w:w="124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(12,518)</w:t>
            </w:r>
          </w:p>
        </w:tc>
      </w:tr>
      <w:tr>
        <w:tc>
          <w:tcPr>
            <w:tcW w:w="498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Warrant issuance expenses</w:t>
            </w:r>
          </w:p>
        </w:tc>
        <w:tc>
          <w:tcPr>
            <w:tcW w:w="1185" w:type="dxa"/>
            <w:tcBorders/>
            <w:vAlign w:val="center"/>
          </w:tcPr>
          <w:p>
            <w:pPr>
              <w:pStyle w:val="TableContents"/>
              <w:bidi w:val="0"/>
              <w:spacing w:before="0" w:after="0"/>
              <w:ind w:left="0" w:right="0" w:hanging="0"/>
              <w:jc w:val="right"/>
              <w:rPr>
                <w:color w:val="222222"/>
              </w:rPr>
            </w:pPr>
            <w:r>
              <w:rPr>
                <w:color w:val="222222"/>
              </w:rPr>
              <w:t>—</w:t>
            </w:r>
          </w:p>
        </w:tc>
        <w:tc>
          <w:tcPr>
            <w:tcW w:w="170" w:type="dxa"/>
            <w:tcBorders/>
            <w:vAlign w:val="center"/>
          </w:tcPr>
          <w:p>
            <w:pPr>
              <w:pStyle w:val="TableContents"/>
              <w:bidi w:val="0"/>
              <w:spacing w:before="0" w:after="0"/>
              <w:ind w:left="0" w:right="0" w:hanging="0"/>
              <w:jc w:val="right"/>
            </w:pPr>
            <w:r>
              <w:t>​</w:t>
            </w:r>
          </w:p>
        </w:tc>
        <w:tc>
          <w:tcPr>
            <w:tcW w:w="1185" w:type="dxa"/>
            <w:tcBorders/>
            <w:vAlign w:val="center"/>
          </w:tcPr>
          <w:p>
            <w:pPr>
              <w:pStyle w:val="TableContents"/>
              <w:bidi w:val="0"/>
              <w:spacing w:before="0" w:after="0"/>
              <w:ind w:left="0" w:right="0" w:hanging="0"/>
              <w:jc w:val="right"/>
              <w:rPr>
                <w:color w:val="222222"/>
              </w:rPr>
            </w:pPr>
            <w:r>
              <w:rPr>
                <w:color w:val="222222"/>
              </w:rPr>
              <w:t>—</w:t>
            </w:r>
          </w:p>
        </w:tc>
        <w:tc>
          <w:tcPr>
            <w:tcW w:w="109" w:type="dxa"/>
            <w:tcBorders/>
            <w:vAlign w:val="center"/>
          </w:tcPr>
          <w:p>
            <w:pPr>
              <w:pStyle w:val="TableContents"/>
              <w:bidi w:val="0"/>
              <w:spacing w:before="0" w:after="0"/>
              <w:ind w:left="0" w:right="0" w:hanging="0"/>
              <w:jc w:val="right"/>
            </w:pPr>
            <w:r>
              <w:t>​</w:t>
            </w:r>
          </w:p>
        </w:tc>
        <w:tc>
          <w:tcPr>
            <w:tcW w:w="1178" w:type="dxa"/>
            <w:tcBorders/>
            <w:vAlign w:val="center"/>
          </w:tcPr>
          <w:p>
            <w:pPr>
              <w:pStyle w:val="TableContents"/>
              <w:bidi w:val="0"/>
              <w:spacing w:before="0" w:after="0"/>
              <w:ind w:left="0" w:right="0" w:hanging="0"/>
              <w:jc w:val="right"/>
              <w:rPr>
                <w:color w:val="222222"/>
              </w:rPr>
            </w:pPr>
            <w:r>
              <w:rPr>
                <w:color w:val="222222"/>
              </w:rPr>
              <w:t>—</w:t>
            </w:r>
          </w:p>
        </w:tc>
        <w:tc>
          <w:tcPr>
            <w:tcW w:w="151" w:type="dxa"/>
            <w:tcBorders/>
            <w:vAlign w:val="center"/>
          </w:tcPr>
          <w:p>
            <w:pPr>
              <w:pStyle w:val="TableContents"/>
              <w:bidi w:val="0"/>
              <w:spacing w:before="0" w:after="0"/>
              <w:ind w:left="0" w:right="0" w:hanging="0"/>
              <w:jc w:val="right"/>
            </w:pPr>
            <w:r>
              <w:t>​</w:t>
            </w:r>
          </w:p>
        </w:tc>
        <w:tc>
          <w:tcPr>
            <w:tcW w:w="124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105</w:t>
            </w:r>
          </w:p>
        </w:tc>
      </w:tr>
      <w:tr>
        <w:tc>
          <w:tcPr>
            <w:tcW w:w="4982" w:type="dxa"/>
            <w:tcBorders/>
            <w:vAlign w:val="center"/>
          </w:tcPr>
          <w:p>
            <w:pPr>
              <w:pStyle w:val="TableContents"/>
              <w:bidi w:val="0"/>
              <w:spacing w:before="0" w:after="0"/>
              <w:ind w:left="0" w:right="0" w:hanging="0"/>
              <w:jc w:val="left"/>
              <w:rPr>
                <w:rFonts w:ascii="Arial;Helvetica;sans-serif" w:hAnsi="Arial;Helvetica;sans-serif"/>
                <w:color w:val="222222"/>
                <w:sz w:val="17"/>
              </w:rPr>
            </w:pPr>
            <w:r>
              <w:rPr>
                <w:rFonts w:ascii="Arial;Helvetica;sans-serif" w:hAnsi="Arial;Helvetica;sans-serif"/>
                <w:color w:val="222222"/>
                <w:sz w:val="17"/>
              </w:rPr>
              <w:t>Loss on revaluation of revenue interest obligation (4)</w:t>
            </w:r>
          </w:p>
        </w:tc>
        <w:tc>
          <w:tcPr>
            <w:tcW w:w="1185" w:type="dxa"/>
            <w:tcBorders/>
            <w:vAlign w:val="center"/>
          </w:tcPr>
          <w:p>
            <w:pPr>
              <w:pStyle w:val="TableContents"/>
              <w:bidi w:val="0"/>
              <w:spacing w:before="0" w:after="0"/>
              <w:ind w:left="0" w:right="0" w:hanging="0"/>
              <w:jc w:val="right"/>
              <w:rPr>
                <w:color w:val="222222"/>
              </w:rPr>
            </w:pPr>
            <w:r>
              <w:rPr>
                <w:color w:val="222222"/>
              </w:rPr>
              <w:t>—</w:t>
            </w:r>
          </w:p>
        </w:tc>
        <w:tc>
          <w:tcPr>
            <w:tcW w:w="170" w:type="dxa"/>
            <w:tcBorders/>
            <w:vAlign w:val="center"/>
          </w:tcPr>
          <w:p>
            <w:pPr>
              <w:pStyle w:val="TableContents"/>
              <w:bidi w:val="0"/>
              <w:spacing w:before="0" w:after="0"/>
              <w:ind w:left="0" w:right="0" w:hanging="0"/>
              <w:jc w:val="right"/>
            </w:pPr>
            <w:r>
              <w:t>​</w:t>
            </w:r>
          </w:p>
        </w:tc>
        <w:tc>
          <w:tcPr>
            <w:tcW w:w="1185" w:type="dxa"/>
            <w:tcBorders/>
            <w:vAlign w:val="center"/>
          </w:tcPr>
          <w:p>
            <w:pPr>
              <w:pStyle w:val="TableContents"/>
              <w:bidi w:val="0"/>
              <w:spacing w:before="0" w:after="0"/>
              <w:ind w:left="0" w:right="0" w:hanging="0"/>
              <w:jc w:val="right"/>
              <w:rPr>
                <w:color w:val="222222"/>
              </w:rPr>
            </w:pPr>
            <w:r>
              <w:rPr>
                <w:color w:val="222222"/>
              </w:rPr>
              <w:t>—</w:t>
            </w:r>
          </w:p>
        </w:tc>
        <w:tc>
          <w:tcPr>
            <w:tcW w:w="109" w:type="dxa"/>
            <w:tcBorders/>
            <w:vAlign w:val="center"/>
          </w:tcPr>
          <w:p>
            <w:pPr>
              <w:pStyle w:val="TableContents"/>
              <w:bidi w:val="0"/>
              <w:spacing w:before="0" w:after="0"/>
              <w:ind w:left="0" w:right="0" w:hanging="0"/>
              <w:jc w:val="right"/>
            </w:pPr>
            <w:r>
              <w:t>​</w:t>
            </w:r>
          </w:p>
        </w:tc>
        <w:tc>
          <w:tcPr>
            <w:tcW w:w="1178" w:type="dxa"/>
            <w:tcBorders/>
            <w:vAlign w:val="center"/>
          </w:tcPr>
          <w:p>
            <w:pPr>
              <w:pStyle w:val="TableContents"/>
              <w:bidi w:val="0"/>
              <w:spacing w:before="0" w:after="0"/>
              <w:ind w:left="0" w:right="0" w:hanging="0"/>
              <w:jc w:val="right"/>
              <w:rPr>
                <w:color w:val="222222"/>
              </w:rPr>
            </w:pPr>
            <w:r>
              <w:rPr>
                <w:color w:val="222222"/>
              </w:rPr>
              <w:t>—</w:t>
            </w:r>
          </w:p>
        </w:tc>
        <w:tc>
          <w:tcPr>
            <w:tcW w:w="151" w:type="dxa"/>
            <w:tcBorders/>
            <w:vAlign w:val="center"/>
          </w:tcPr>
          <w:p>
            <w:pPr>
              <w:pStyle w:val="TableContents"/>
              <w:bidi w:val="0"/>
              <w:spacing w:before="0" w:after="0"/>
              <w:ind w:left="0" w:right="0" w:hanging="0"/>
              <w:jc w:val="right"/>
            </w:pPr>
            <w:r>
              <w:t>​</w:t>
            </w:r>
          </w:p>
        </w:tc>
        <w:tc>
          <w:tcPr>
            <w:tcW w:w="1245" w:type="dxa"/>
            <w:tcBorders/>
            <w:vAlign w:val="center"/>
          </w:tcPr>
          <w:p>
            <w:pPr>
              <w:pStyle w:val="TableContents"/>
              <w:bidi w:val="0"/>
              <w:spacing w:before="0" w:after="0"/>
              <w:ind w:left="0" w:right="0" w:hanging="0"/>
              <w:jc w:val="right"/>
              <w:rPr>
                <w:rFonts w:ascii="Arial;Helvetica;sans-serif" w:hAnsi="Arial;Helvetica;sans-serif"/>
                <w:color w:val="222222"/>
                <w:sz w:val="17"/>
              </w:rPr>
            </w:pPr>
            <w:r>
              <w:rPr>
                <w:rFonts w:ascii="Arial;Helvetica;sans-serif" w:hAnsi="Arial;Helvetica;sans-serif"/>
                <w:color w:val="222222"/>
                <w:sz w:val="17"/>
              </w:rPr>
              <w:t>1,442</w:t>
            </w:r>
          </w:p>
        </w:tc>
      </w:tr>
      <w:tr>
        <w:tc>
          <w:tcPr>
            <w:tcW w:w="4982" w:type="dxa"/>
            <w:tcBorders/>
            <w:vAlign w:val="center"/>
          </w:tcPr>
          <w:p>
            <w:pPr>
              <w:pStyle w:val="TableContents"/>
              <w:bidi w:val="0"/>
              <w:spacing w:before="0" w:after="0"/>
              <w:ind w:left="0" w:right="0" w:hanging="0"/>
              <w:jc w:val="left"/>
              <w:rPr>
                <w:rFonts w:ascii="Arial;Helvetica;sans-serif" w:hAnsi="Arial;Helvetica;sans-serif"/>
                <w:b/>
                <w:color w:val="222222"/>
                <w:sz w:val="17"/>
              </w:rPr>
            </w:pPr>
            <w:r>
              <w:rPr>
                <w:rFonts w:ascii="Arial;Helvetica;sans-serif" w:hAnsi="Arial;Helvetica;sans-serif"/>
                <w:b/>
                <w:color w:val="222222"/>
                <w:sz w:val="17"/>
              </w:rPr>
              <w:t>Adjusted EBITDA (Non-GAAP)</w:t>
            </w:r>
          </w:p>
        </w:tc>
        <w:tc>
          <w:tcPr>
            <w:tcW w:w="1185"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(5,551)</w:t>
            </w:r>
          </w:p>
        </w:tc>
        <w:tc>
          <w:tcPr>
            <w:tcW w:w="170" w:type="dxa"/>
            <w:tcBorders/>
            <w:vAlign w:val="center"/>
          </w:tcPr>
          <w:p>
            <w:pPr>
              <w:pStyle w:val="TableContents"/>
              <w:bidi w:val="0"/>
              <w:spacing w:before="0" w:after="0"/>
              <w:ind w:left="0" w:right="0" w:hanging="0"/>
              <w:jc w:val="right"/>
            </w:pPr>
            <w:r>
              <w:t>​</w:t>
            </w:r>
          </w:p>
        </w:tc>
        <w:tc>
          <w:tcPr>
            <w:tcW w:w="1185"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(3,403)</w:t>
            </w:r>
          </w:p>
        </w:tc>
        <w:tc>
          <w:tcPr>
            <w:tcW w:w="109" w:type="dxa"/>
            <w:tcBorders/>
            <w:vAlign w:val="center"/>
          </w:tcPr>
          <w:p>
            <w:pPr>
              <w:pStyle w:val="TableContents"/>
              <w:bidi w:val="0"/>
              <w:spacing w:before="0" w:after="0"/>
              <w:ind w:left="0" w:right="0" w:hanging="0"/>
              <w:jc w:val="right"/>
            </w:pPr>
            <w:r>
              <w:t>​</w:t>
            </w:r>
          </w:p>
        </w:tc>
        <w:tc>
          <w:tcPr>
            <w:tcW w:w="1178"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(15,194)</w:t>
            </w:r>
          </w:p>
        </w:tc>
        <w:tc>
          <w:tcPr>
            <w:tcW w:w="151" w:type="dxa"/>
            <w:tcBorders/>
            <w:vAlign w:val="center"/>
          </w:tcPr>
          <w:p>
            <w:pPr>
              <w:pStyle w:val="TableContents"/>
              <w:bidi w:val="0"/>
              <w:spacing w:before="0" w:after="0"/>
              <w:ind w:left="0" w:right="0" w:hanging="0"/>
              <w:jc w:val="right"/>
            </w:pPr>
            <w:r>
              <w:t>​</w:t>
            </w:r>
          </w:p>
        </w:tc>
        <w:tc>
          <w:tcPr>
            <w:tcW w:w="1245" w:type="dxa"/>
            <w:tcBorders>
              <w:top w:val="single" w:sz="2" w:space="0" w:color="1B2E5A"/>
              <w:bottom w:val="single" w:sz="2" w:space="0" w:color="1B2E5A"/>
            </w:tcBorders>
            <w:tcMar>
              <w:top w:w="30" w:type="dxa"/>
              <w:bottom w:w="30" w:type="dxa"/>
            </w:tcMar>
            <w:vAlign w:val="center"/>
          </w:tcPr>
          <w:p>
            <w:pPr>
              <w:pStyle w:val="TableContents"/>
              <w:bidi w:val="0"/>
              <w:spacing w:before="0" w:after="0"/>
              <w:ind w:left="0" w:right="0" w:hanging="0"/>
              <w:jc w:val="right"/>
              <w:rPr>
                <w:rFonts w:ascii="Arial;Helvetica;sans-serif" w:hAnsi="Arial;Helvetica;sans-serif"/>
                <w:b/>
                <w:color w:val="222222"/>
                <w:sz w:val="17"/>
              </w:rPr>
            </w:pPr>
            <w:r>
              <w:rPr>
                <w:rFonts w:ascii="Arial;Helvetica;sans-serif" w:hAnsi="Arial;Helvetica;sans-serif"/>
                <w:b/>
                <w:color w:val="222222"/>
                <w:sz w:val="17"/>
              </w:rPr>
              <w:t>$ (10,521)</w:t>
            </w:r>
          </w:p>
        </w:tc>
      </w:tr>
    </w:tbl>
    <w:p>
      <w:pPr>
        <w:pStyle w:val="TextBody"/>
        <w:bidi w:val="0"/>
        <w:spacing w:before="0" w:after="0"/>
        <w:ind w:left="0" w:right="0" w:hanging="0"/>
        <w:jc w:val="left"/>
      </w:pPr>
      <w:r>
        <w:t>​</w:t>
      </w:r>
    </w:p>
    <w:p>
      <w:pPr>
        <w:pStyle w:val="TextBody"/>
        <w:bidi w:val="0"/>
        <w:spacing w:lineRule="auto" w:line="268" w:before="0" w:after="0"/>
        <w:ind w:left="0" w:right="0" w:hanging="0"/>
        <w:jc w:val="left"/>
        <w:rPr>
          <w:rFonts w:ascii="Arial;Helvetica;sans-serif" w:hAnsi="Arial;Helvetica;sans-serif"/>
          <w:color w:val="222222"/>
          <w:sz w:val="16"/>
        </w:rPr>
      </w:pPr>
      <w:r>
        <w:rPr>
          <w:rFonts w:ascii="Arial;Helvetica;sans-serif" w:hAnsi="Arial;Helvetica;sans-serif"/>
          <w:color w:val="222222"/>
          <w:sz w:val="16"/>
        </w:rPr>
        <w:t>(1) Represents interest expense recorded on all outstanding long-term debt as well as the revenue interest obligation.</w:t>
      </w:r>
    </w:p>
    <w:p>
      <w:pPr>
        <w:pStyle w:val="TextBody"/>
        <w:bidi w:val="0"/>
        <w:spacing w:lineRule="auto" w:line="268" w:before="0" w:after="0"/>
        <w:ind w:left="0" w:right="0" w:hanging="0"/>
        <w:jc w:val="left"/>
        <w:rPr>
          <w:rFonts w:ascii="Arial;Helvetica;sans-serif" w:hAnsi="Arial;Helvetica;sans-serif"/>
          <w:color w:val="222222"/>
          <w:sz w:val="16"/>
        </w:rPr>
      </w:pPr>
      <w:r>
        <w:rPr>
          <w:rFonts w:ascii="Arial;Helvetica;sans-serif" w:hAnsi="Arial;Helvetica;sans-serif"/>
          <w:color w:val="222222"/>
          <w:sz w:val="16"/>
        </w:rPr>
        <w:t>(2) Represents litigation costs consisting primarily of legal fees and the estimated and actual costs to resolve the outstanding FiberCel and VBM litigation cases offset by the amounts recovered and recoverable under insurance, indemnity and contribution agreements for such costs.</w:t>
      </w:r>
    </w:p>
    <w:p>
      <w:pPr>
        <w:pStyle w:val="TextBody"/>
        <w:bidi w:val="0"/>
        <w:spacing w:lineRule="auto" w:line="268" w:before="0" w:after="0"/>
        <w:ind w:left="0" w:right="0" w:hanging="0"/>
        <w:jc w:val="left"/>
        <w:rPr>
          <w:rFonts w:ascii="Arial;Helvetica;sans-serif" w:hAnsi="Arial;Helvetica;sans-serif"/>
          <w:color w:val="222222"/>
          <w:sz w:val="16"/>
        </w:rPr>
      </w:pPr>
      <w:r>
        <w:rPr>
          <w:rFonts w:ascii="Arial;Helvetica;sans-serif" w:hAnsi="Arial;Helvetica;sans-serif"/>
          <w:color w:val="222222"/>
          <w:sz w:val="16"/>
        </w:rPr>
        <w:t>(3) Represents the non-cash revaluation of Common Warrants, Prefunded Warrants, Avenue Warrants and Avenue Conversion Option.</w:t>
      </w:r>
    </w:p>
    <w:p>
      <w:pPr>
        <w:pStyle w:val="TextBody"/>
        <w:bidi w:val="0"/>
        <w:spacing w:lineRule="auto" w:line="268" w:before="0" w:after="0"/>
        <w:ind w:left="0" w:right="0" w:hanging="0"/>
        <w:jc w:val="left"/>
        <w:rPr>
          <w:rFonts w:ascii="Arial;Helvetica;sans-serif" w:hAnsi="Arial;Helvetica;sans-serif"/>
          <w:color w:val="222222"/>
          <w:sz w:val="16"/>
        </w:rPr>
      </w:pPr>
      <w:r>
        <w:rPr>
          <w:rFonts w:ascii="Arial;Helvetica;sans-serif" w:hAnsi="Arial;Helvetica;sans-serif"/>
          <w:color w:val="222222"/>
          <w:sz w:val="16"/>
        </w:rPr>
        <w:t xml:space="preserve">(4) Represents the non-cash revaluation of the revenue interest obligation. </w:t>
      </w:r>
    </w:p>
    <w:p>
      <w:pPr>
        <w:pStyle w:val="HorizontalLine"/>
        <w:pBdr>
          <w:bottom w:val="double" w:sz="2" w:space="0" w:color="808080"/>
        </w:pBdr>
        <w:bidi w:val="0"/>
        <w:spacing w:before="0" w:after="283"/>
        <w:jc w:val="left"/>
      </w:p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4182</Words>
  <Characters>23786</Characters>
  <CharactersWithSpaces>27872</CharactersWithSpaces>
  <Paragraphs>811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