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254635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69850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5" w:lineRule="exact"/>
        <w:rPr>
          <w:sz w:val="24"/>
          <w:szCs w:val="24"/>
          <w:color w:val="auto"/>
        </w:rPr>
      </w:pPr>
    </w:p>
    <w:p>
      <w:pPr>
        <w:ind w:left="10"/>
        <w:spacing w:after="0"/>
        <w:rPr>
          <w:sz w:val="20"/>
          <w:szCs w:val="20"/>
          <w:color w:val="auto"/>
        </w:rPr>
      </w:pPr>
      <w:r>
        <w:rPr>
          <w:rFonts w:ascii="Arial" w:cs="Arial" w:eastAsia="Arial" w:hAnsi="Arial"/>
          <w:sz w:val="16"/>
          <w:szCs w:val="16"/>
          <w:color w:val="auto"/>
        </w:rPr>
        <w:t>(Mark One)</w:t>
      </w:r>
    </w:p>
    <w:p>
      <w:pPr>
        <w:spacing w:after="0" w:line="136" w:lineRule="exact"/>
        <w:rPr>
          <w:sz w:val="24"/>
          <w:szCs w:val="24"/>
          <w:color w:val="auto"/>
        </w:rPr>
      </w:pPr>
    </w:p>
    <w:p>
      <w:pPr>
        <w:ind w:left="3550" w:right="1680" w:hanging="3550"/>
        <w:spacing w:after="0" w:line="269" w:lineRule="auto"/>
        <w:tabs>
          <w:tab w:leader="none" w:pos="32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2022</w:t>
      </w: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46" w:lineRule="exact"/>
        <w:rPr>
          <w:sz w:val="24"/>
          <w:szCs w:val="24"/>
          <w:color w:val="auto"/>
        </w:rPr>
      </w:pPr>
    </w:p>
    <w:p>
      <w:pPr>
        <w:ind w:left="330" w:hanging="330"/>
        <w:spacing w:after="0"/>
        <w:tabs>
          <w:tab w:leader="none" w:pos="33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tbl>
      <w:tblPr>
        <w:tblLayout w:type="fixed"/>
        <w:tblInd w:w="1010" w:type="dxa"/>
        <w:tblCellMar>
          <w:top w:w="0" w:type="dxa"/>
          <w:left w:w="0" w:type="dxa"/>
          <w:bottom w:w="0" w:type="dxa"/>
          <w:right w:w="0" w:type="dxa"/>
        </w:tblCellMar>
      </w:tblPr>
      <w:tr>
        <w:trPr>
          <w:trHeight w:val="210"/>
        </w:trPr>
        <w:tc>
          <w:tcPr>
            <w:tcW w:w="5380" w:type="dxa"/>
            <w:vAlign w:val="bottom"/>
            <w:gridSpan w:val="2"/>
          </w:tcPr>
          <w:p>
            <w:pPr>
              <w:ind w:left="2660"/>
              <w:spacing w:after="0"/>
              <w:rPr>
                <w:sz w:val="20"/>
                <w:szCs w:val="20"/>
                <w:color w:val="auto"/>
              </w:rPr>
            </w:pPr>
            <w:r>
              <w:rPr>
                <w:rFonts w:ascii="Arial" w:cs="Arial" w:eastAsia="Arial" w:hAnsi="Arial"/>
                <w:sz w:val="16"/>
                <w:szCs w:val="16"/>
                <w:b w:val="1"/>
                <w:bCs w:val="1"/>
                <w:color w:val="auto"/>
              </w:rPr>
              <w:t>For the transition period from</w:t>
            </w:r>
          </w:p>
        </w:tc>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to</w:t>
            </w:r>
          </w:p>
        </w:tc>
      </w:tr>
      <w:tr>
        <w:trPr>
          <w:trHeight w:val="319"/>
        </w:trPr>
        <w:tc>
          <w:tcPr>
            <w:tcW w:w="282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91"/>
              </w:rPr>
              <w:t>Commission file number: 001-39577</w:t>
            </w:r>
          </w:p>
        </w:tc>
        <w:tc>
          <w:tcPr>
            <w:tcW w:w="2500" w:type="dxa"/>
            <w:vAlign w:val="bottom"/>
          </w:tcPr>
          <w:p>
            <w:pPr>
              <w:spacing w:after="0"/>
              <w:rPr>
                <w:sz w:val="24"/>
                <w:szCs w:val="24"/>
                <w:color w:val="auto"/>
              </w:rPr>
            </w:pPr>
          </w:p>
        </w:tc>
      </w:tr>
      <w:tr>
        <w:trPr>
          <w:trHeight w:val="128"/>
        </w:trPr>
        <w:tc>
          <w:tcPr>
            <w:tcW w:w="2820" w:type="dxa"/>
            <w:vAlign w:val="bottom"/>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r>
      <w:tr>
        <w:trPr>
          <w:trHeight w:val="376"/>
        </w:trPr>
        <w:tc>
          <w:tcPr>
            <w:tcW w:w="282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9"/>
                <w:szCs w:val="29"/>
                <w:b w:val="1"/>
                <w:bCs w:val="1"/>
                <w:color w:val="auto"/>
                <w:w w:val="88"/>
              </w:rPr>
              <w:t>Aziyo Biologics, Inc.</w:t>
            </w:r>
          </w:p>
        </w:tc>
        <w:tc>
          <w:tcPr>
            <w:tcW w:w="2500" w:type="dxa"/>
            <w:vAlign w:val="bottom"/>
          </w:tcPr>
          <w:p>
            <w:pPr>
              <w:spacing w:after="0"/>
              <w:rPr>
                <w:sz w:val="24"/>
                <w:szCs w:val="24"/>
                <w:color w:val="auto"/>
              </w:rPr>
            </w:pPr>
          </w:p>
        </w:tc>
      </w:tr>
      <w:tr>
        <w:trPr>
          <w:trHeight w:val="219"/>
        </w:trPr>
        <w:tc>
          <w:tcPr>
            <w:tcW w:w="7880" w:type="dxa"/>
            <w:vAlign w:val="bottom"/>
            <w:gridSpan w:val="3"/>
          </w:tcPr>
          <w:p>
            <w:pPr>
              <w:jc w:val="center"/>
              <w:ind w:left="259"/>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67"/>
        </w:trPr>
        <w:tc>
          <w:tcPr>
            <w:tcW w:w="2820" w:type="dxa"/>
            <w:vAlign w:val="bottom"/>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2500" w:type="dxa"/>
            <w:vAlign w:val="bottom"/>
          </w:tcPr>
          <w:p>
            <w:pPr>
              <w:spacing w:after="0"/>
              <w:rPr>
                <w:sz w:val="5"/>
                <w:szCs w:val="5"/>
                <w:color w:val="auto"/>
              </w:rPr>
            </w:pPr>
          </w:p>
        </w:tc>
      </w:tr>
      <w:tr>
        <w:trPr>
          <w:trHeight w:val="382"/>
        </w:trPr>
        <w:tc>
          <w:tcPr>
            <w:tcW w:w="5380" w:type="dxa"/>
            <w:vAlign w:val="bottom"/>
            <w:gridSpan w:val="2"/>
          </w:tcPr>
          <w:p>
            <w:pPr>
              <w:jc w:val="center"/>
              <w:ind w:right="2268"/>
              <w:spacing w:after="0"/>
              <w:rPr>
                <w:sz w:val="20"/>
                <w:szCs w:val="20"/>
                <w:color w:val="auto"/>
              </w:rPr>
            </w:pPr>
            <w:r>
              <w:rPr>
                <w:rFonts w:ascii="Arial" w:cs="Arial" w:eastAsia="Arial" w:hAnsi="Arial"/>
                <w:sz w:val="16"/>
                <w:szCs w:val="16"/>
                <w:b w:val="1"/>
                <w:bCs w:val="1"/>
                <w:color w:val="auto"/>
                <w:w w:val="91"/>
              </w:rPr>
              <w:t>Delaware</w:t>
            </w:r>
          </w:p>
        </w:tc>
        <w:tc>
          <w:tcPr>
            <w:tcW w:w="2500" w:type="dxa"/>
            <w:vAlign w:val="bottom"/>
          </w:tcPr>
          <w:p>
            <w:pPr>
              <w:jc w:val="right"/>
              <w:ind w:right="699"/>
              <w:spacing w:after="0"/>
              <w:rPr>
                <w:sz w:val="20"/>
                <w:szCs w:val="20"/>
                <w:color w:val="auto"/>
              </w:rPr>
            </w:pPr>
            <w:r>
              <w:rPr>
                <w:rFonts w:ascii="Arial" w:cs="Arial" w:eastAsia="Arial" w:hAnsi="Arial"/>
                <w:sz w:val="16"/>
                <w:szCs w:val="16"/>
                <w:b w:val="1"/>
                <w:bCs w:val="1"/>
                <w:color w:val="auto"/>
              </w:rPr>
              <w:t>47-4790334</w:t>
            </w:r>
          </w:p>
        </w:tc>
      </w:tr>
      <w:tr>
        <w:trPr>
          <w:trHeight w:val="203"/>
        </w:trPr>
        <w:tc>
          <w:tcPr>
            <w:tcW w:w="5380" w:type="dxa"/>
            <w:vAlign w:val="bottom"/>
            <w:gridSpan w:val="2"/>
          </w:tcPr>
          <w:p>
            <w:pPr>
              <w:jc w:val="center"/>
              <w:ind w:right="2308"/>
              <w:spacing w:after="0"/>
              <w:rPr>
                <w:sz w:val="20"/>
                <w:szCs w:val="20"/>
                <w:color w:val="auto"/>
              </w:rPr>
            </w:pPr>
            <w:r>
              <w:rPr>
                <w:rFonts w:ascii="Arial" w:cs="Arial" w:eastAsia="Arial" w:hAnsi="Arial"/>
                <w:sz w:val="16"/>
                <w:szCs w:val="16"/>
                <w:color w:val="auto"/>
                <w:w w:val="93"/>
              </w:rPr>
              <w:t>(State or other jurisdiction of incorporation or</w:t>
            </w:r>
          </w:p>
        </w:tc>
        <w:tc>
          <w:tcPr>
            <w:tcW w:w="2500" w:type="dxa"/>
            <w:vAlign w:val="bottom"/>
          </w:tcPr>
          <w:p>
            <w:pPr>
              <w:jc w:val="center"/>
              <w:ind w:left="79"/>
              <w:spacing w:after="0"/>
              <w:rPr>
                <w:sz w:val="20"/>
                <w:szCs w:val="20"/>
                <w:color w:val="auto"/>
              </w:rPr>
            </w:pPr>
            <w:r>
              <w:rPr>
                <w:rFonts w:ascii="Arial" w:cs="Arial" w:eastAsia="Arial" w:hAnsi="Arial"/>
                <w:sz w:val="16"/>
                <w:szCs w:val="16"/>
                <w:color w:val="auto"/>
                <w:w w:val="94"/>
              </w:rPr>
              <w:t>(I.R.S. Employer Identification No.)</w:t>
            </w:r>
          </w:p>
        </w:tc>
      </w:tr>
      <w:tr>
        <w:trPr>
          <w:trHeight w:val="206"/>
        </w:trPr>
        <w:tc>
          <w:tcPr>
            <w:tcW w:w="5380" w:type="dxa"/>
            <w:vAlign w:val="bottom"/>
            <w:gridSpan w:val="2"/>
          </w:tcPr>
          <w:p>
            <w:pPr>
              <w:jc w:val="center"/>
              <w:ind w:right="2288"/>
              <w:spacing w:after="0"/>
              <w:rPr>
                <w:sz w:val="20"/>
                <w:szCs w:val="20"/>
                <w:color w:val="auto"/>
              </w:rPr>
            </w:pPr>
            <w:r>
              <w:rPr>
                <w:rFonts w:ascii="Arial" w:cs="Arial" w:eastAsia="Arial" w:hAnsi="Arial"/>
                <w:sz w:val="16"/>
                <w:szCs w:val="16"/>
                <w:color w:val="auto"/>
                <w:w w:val="92"/>
              </w:rPr>
              <w:t>organization)</w:t>
            </w:r>
          </w:p>
        </w:tc>
        <w:tc>
          <w:tcPr>
            <w:tcW w:w="2500" w:type="dxa"/>
            <w:vAlign w:val="bottom"/>
          </w:tcPr>
          <w:p>
            <w:pPr>
              <w:spacing w:after="0"/>
              <w:rPr>
                <w:sz w:val="17"/>
                <w:szCs w:val="17"/>
                <w:color w:val="auto"/>
              </w:rPr>
            </w:pPr>
          </w:p>
        </w:tc>
      </w:tr>
    </w:tbl>
    <w:p>
      <w:pPr>
        <w:spacing w:after="0" w:line="208"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12510 Prosperity Drive, Suite 370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Silver Spring, MD 20904</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(Address of principal executive offices and Zip Code)</w:t>
      </w:r>
    </w:p>
    <w:p>
      <w:pPr>
        <w:spacing w:after="0" w:line="105" w:lineRule="exact"/>
        <w:rPr>
          <w:sz w:val="24"/>
          <w:szCs w:val="24"/>
          <w:color w:val="auto"/>
        </w:rPr>
      </w:pPr>
    </w:p>
    <w:p>
      <w:pPr>
        <w:jc w:val="center"/>
        <w:ind w:right="-29"/>
        <w:spacing w:after="0"/>
        <w:rPr>
          <w:sz w:val="20"/>
          <w:szCs w:val="20"/>
          <w:color w:val="auto"/>
        </w:rPr>
      </w:pPr>
      <w:r>
        <w:rPr>
          <w:rFonts w:ascii="Arial" w:cs="Arial" w:eastAsia="Arial" w:hAnsi="Arial"/>
          <w:sz w:val="16"/>
          <w:szCs w:val="16"/>
          <w:b w:val="1"/>
          <w:bCs w:val="1"/>
          <w:color w:val="auto"/>
        </w:rPr>
        <w:t>(240) 247-1170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(Registrant’s telephone number, including area code)</w:t>
      </w:r>
    </w:p>
    <w:p>
      <w:pPr>
        <w:spacing w:after="0" w:line="10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N/A</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0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213"/>
        </w:trPr>
        <w:tc>
          <w:tcPr>
            <w:tcW w:w="3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Title of each class</w:t>
            </w:r>
          </w:p>
        </w:tc>
        <w:tc>
          <w:tcPr>
            <w:tcW w:w="3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Trading Symbol(s)</w:t>
            </w:r>
          </w:p>
        </w:tc>
        <w:tc>
          <w:tcPr>
            <w:tcW w:w="32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9"/>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Class A Common Stock, par value $0.001 per</w:t>
            </w:r>
          </w:p>
        </w:tc>
        <w:tc>
          <w:tcPr>
            <w:tcW w:w="220" w:type="dxa"/>
            <w:vAlign w:val="bottom"/>
          </w:tcPr>
          <w:p>
            <w:pPr>
              <w:spacing w:after="0"/>
              <w:rPr>
                <w:sz w:val="16"/>
                <w:szCs w:val="16"/>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AZYO</w:t>
            </w:r>
          </w:p>
        </w:tc>
        <w:tc>
          <w:tcPr>
            <w:tcW w:w="200" w:type="dxa"/>
            <w:vAlign w:val="bottom"/>
          </w:tcPr>
          <w:p>
            <w:pPr>
              <w:spacing w:after="0"/>
              <w:rPr>
                <w:sz w:val="16"/>
                <w:szCs w:val="16"/>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The Nasdaq Capital Market</w:t>
            </w:r>
          </w:p>
        </w:tc>
      </w:tr>
      <w:tr>
        <w:trPr>
          <w:trHeight w:val="206"/>
        </w:trPr>
        <w:tc>
          <w:tcPr>
            <w:tcW w:w="3480" w:type="dxa"/>
            <w:vAlign w:val="bottom"/>
            <w:gridSpan w:val="2"/>
          </w:tcPr>
          <w:p>
            <w:pPr>
              <w:jc w:val="center"/>
              <w:ind w:right="220"/>
              <w:spacing w:after="0"/>
              <w:rPr>
                <w:sz w:val="20"/>
                <w:szCs w:val="20"/>
                <w:color w:val="auto"/>
              </w:rPr>
            </w:pPr>
            <w:r>
              <w:rPr>
                <w:rFonts w:ascii="Arial" w:cs="Arial" w:eastAsia="Arial" w:hAnsi="Arial"/>
                <w:sz w:val="16"/>
                <w:szCs w:val="16"/>
                <w:color w:val="auto"/>
                <w:w w:val="84"/>
              </w:rPr>
              <w:t>share</w:t>
            </w: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106680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6"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2750" w:type="dxa"/>
        <w:tblCellMar>
          <w:top w:w="0" w:type="dxa"/>
          <w:left w:w="0" w:type="dxa"/>
          <w:bottom w:w="0" w:type="dxa"/>
          <w:right w:w="0" w:type="dxa"/>
        </w:tblCellMar>
      </w:tblPr>
      <w:tr>
        <w:trPr>
          <w:trHeight w:val="202"/>
        </w:trPr>
        <w:tc>
          <w:tcPr>
            <w:tcW w:w="1600" w:type="dxa"/>
            <w:vAlign w:val="bottom"/>
          </w:tcPr>
          <w:p>
            <w:pPr>
              <w:spacing w:after="0"/>
              <w:rPr>
                <w:sz w:val="20"/>
                <w:szCs w:val="20"/>
                <w:color w:val="auto"/>
              </w:rPr>
            </w:pPr>
            <w:r>
              <w:rPr>
                <w:rFonts w:ascii="Arial" w:cs="Arial" w:eastAsia="Arial" w:hAnsi="Arial"/>
                <w:sz w:val="16"/>
                <w:szCs w:val="16"/>
                <w:color w:val="auto"/>
                <w:w w:val="99"/>
              </w:rPr>
              <w:t>Large accelerated filer</w:t>
            </w:r>
          </w:p>
        </w:tc>
        <w:tc>
          <w:tcPr>
            <w:tcW w:w="18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66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600" w:type="dxa"/>
            <w:vAlign w:val="bottom"/>
          </w:tcPr>
          <w:p>
            <w:pPr>
              <w:spacing w:after="0"/>
              <w:rPr>
                <w:sz w:val="20"/>
                <w:szCs w:val="20"/>
                <w:color w:val="auto"/>
              </w:rPr>
            </w:pPr>
            <w:r>
              <w:rPr>
                <w:rFonts w:ascii="Arial" w:cs="Arial" w:eastAsia="Arial" w:hAnsi="Arial"/>
                <w:sz w:val="16"/>
                <w:szCs w:val="16"/>
                <w:color w:val="auto"/>
              </w:rPr>
              <w:t>Non-accelerated filer</w:t>
            </w:r>
          </w:p>
        </w:tc>
        <w:tc>
          <w:tcPr>
            <w:tcW w:w="18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58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620" w:type="dxa"/>
            <w:vAlign w:val="bottom"/>
          </w:tcPr>
          <w:p>
            <w:pPr>
              <w:ind w:left="162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left="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left="10" w:firstLine="648"/>
        <w:spacing w:after="0" w:line="293" w:lineRule="auto"/>
        <w:rPr>
          <w:sz w:val="20"/>
          <w:szCs w:val="20"/>
          <w:color w:val="auto"/>
        </w:rPr>
      </w:pPr>
      <w:r>
        <w:rPr>
          <w:rFonts w:ascii="Arial" w:cs="Arial" w:eastAsia="Arial" w:hAnsi="Arial"/>
          <w:sz w:val="16"/>
          <w:szCs w:val="16"/>
          <w:color w:val="auto"/>
        </w:rPr>
        <w:t>As of August 15, 2022, there were 9,308,719 shares of the registrant’s Class A common stock and 4,313,406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501015</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38100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81280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results of operations, financial position, projected growth in our net sales, increases in expenses, seasonality, business strategy, policies and approach, including, without limitation, expectations regarding our products and their targeted effects, plans for our sales and marketing growth and anticipated expansion of our product development and clinical and research activities, expectations regarding competition, our competitive advantages, regulations that impact our business, and overall clinical and commercial success, expectations regarding the lawsuits currently pending related to our recall of a single lot of Fiber Viable Bone Matrix (“FiberCel”) and the potential impact of the pandemic related to COVID-19 and variants thereof, or Russia’s war with Ukraine, on our business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Without limiting the foregoing, in some cases, you can identify forward-looking statements by terms such as “aim”, “believe,”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 xml:space="preserve">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the other important factors identified in Part I, Item 2. “Management’s Discussion and Analysis of Financial Condition and Results of Operations” and Part II, Item 1A. “Risk Factors” in this Quarterly Report, in Part I, Item 1A. “Risk Factors” and Part II, Item 7. “Management’s Discussion and Analysis of Financial Condition and Results of Operations” in our Annual Report on Form 10-K for the fiscal year ended December 31, 2021 (the “Annual Report”) and in our other filings with the Securities and Exchange Commission (the “SEC”), each of which filings are accessible on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and the Investor Relations page of our website at https://investors.aziyo.com/financials/sec-filings. These risks and uncertainties include, but are not limited to:</w:t>
      </w:r>
    </w:p>
    <w:p>
      <w:pPr>
        <w:spacing w:after="0" w:line="182" w:lineRule="exact"/>
        <w:rPr>
          <w:sz w:val="20"/>
          <w:szCs w:val="20"/>
          <w:color w:val="auto"/>
        </w:rPr>
      </w:pPr>
    </w:p>
    <w:p>
      <w:pPr>
        <w:ind w:left="700" w:right="53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enhance our products, expand our product indications and develop, acquire and commercialize additional product offerings;</w:t>
      </w:r>
    </w:p>
    <w:p>
      <w:pPr>
        <w:spacing w:after="0" w:line="170" w:lineRule="exact"/>
        <w:rPr>
          <w:rFonts w:ascii="Arial" w:cs="Arial" w:eastAsia="Arial" w:hAnsi="Arial"/>
          <w:sz w:val="18"/>
          <w:szCs w:val="18"/>
          <w:color w:val="auto"/>
        </w:rPr>
      </w:pPr>
    </w:p>
    <w:p>
      <w:pPr>
        <w:ind w:left="700" w:right="19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commercial partners and independent sales agents to generate a substantial portion of our net sales;</w:t>
      </w:r>
    </w:p>
    <w:p>
      <w:pPr>
        <w:spacing w:after="0" w:line="170" w:lineRule="exact"/>
        <w:rPr>
          <w:rFonts w:ascii="Arial" w:cs="Arial" w:eastAsia="Arial" w:hAnsi="Arial"/>
          <w:sz w:val="18"/>
          <w:szCs w:val="18"/>
          <w:color w:val="auto"/>
        </w:rPr>
      </w:pPr>
    </w:p>
    <w:p>
      <w:pPr>
        <w:ind w:left="700" w:right="279" w:hanging="326"/>
        <w:spacing w:after="0" w:line="26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existing contract manufacturing customers and enter into agreements with new contract manufacturing customers, or if existing contract manufacturing customers reduce purchases of our products;</w:t>
      </w:r>
    </w:p>
    <w:p>
      <w:pPr>
        <w:spacing w:after="0" w:line="183" w:lineRule="exact"/>
        <w:rPr>
          <w:rFonts w:ascii="Arial" w:cs="Arial" w:eastAsia="Arial" w:hAnsi="Arial"/>
          <w:sz w:val="18"/>
          <w:szCs w:val="18"/>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manage and maintain our direct sales force;</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w:t>
      </w:r>
    </w:p>
    <w:p>
      <w:pPr>
        <w:spacing w:after="0" w:line="225" w:lineRule="exact"/>
        <w:rPr>
          <w:rFonts w:ascii="Arial" w:cs="Arial" w:eastAsia="Arial" w:hAnsi="Arial"/>
          <w:sz w:val="18"/>
          <w:szCs w:val="18"/>
          <w:color w:val="auto"/>
        </w:rPr>
      </w:pPr>
    </w:p>
    <w:p>
      <w:pPr>
        <w:ind w:left="700" w:right="139" w:hanging="326"/>
        <w:spacing w:after="0" w:line="308"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adverse impacts of the novel strain of coronavirus disease, COVID-19 and variants thereof or any other future pandemic, epidemic or outbreak of an infectious disease in the United States or worldwide;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3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general domestic and global economic conditions and instability and disruption of credit markets, including as a result of the current COVID-19 pandemic or any other outbreak of an infectious disease, or any impacts of Russia’s war with Ukraine;</w:t>
      </w:r>
    </w:p>
    <w:p>
      <w:pPr>
        <w:spacing w:after="0" w:line="183"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awareness of the distinctive characteristics, benefits, safety, clinical efficacy and cost-effectiveness of our products;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and future acceptance of our products by the medical community;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jc w:val="both"/>
        <w:ind w:left="700" w:right="999" w:hanging="32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regulatory approval or other marketing authorizations by the U.S. Food and Drug Administration (“FDA”) and comparable foreign authorities for our products and product candidates;</w:t>
      </w:r>
    </w:p>
    <w:p>
      <w:pPr>
        <w:spacing w:after="0" w:line="123" w:lineRule="exact"/>
        <w:rPr>
          <w:rFonts w:ascii="Arial" w:cs="Arial" w:eastAsia="Arial" w:hAnsi="Arial"/>
          <w:sz w:val="16"/>
          <w:szCs w:val="16"/>
          <w:color w:val="auto"/>
        </w:rPr>
      </w:pPr>
    </w:p>
    <w:p>
      <w:pPr>
        <w:ind w:left="720" w:hanging="319"/>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dependence on a limited number of third-party suppliers;</w:t>
      </w:r>
    </w:p>
    <w:p>
      <w:pPr>
        <w:spacing w:after="0" w:line="225" w:lineRule="exact"/>
        <w:rPr>
          <w:rFonts w:ascii="Arial" w:cs="Arial" w:eastAsia="Arial" w:hAnsi="Arial"/>
          <w:sz w:val="18"/>
          <w:szCs w:val="18"/>
          <w:color w:val="auto"/>
        </w:rPr>
      </w:pPr>
    </w:p>
    <w:p>
      <w:pPr>
        <w:ind w:left="720" w:right="579" w:hanging="319"/>
        <w:spacing w:after="0" w:line="277"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defend against the various lawsuits related to our recall of a single lot of FiberCel and avoid a material adverse financial consequence; and</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maintain and adequately protect our intellectual property rights.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As used in this Quarterly Report, unless otherwise specified or the context otherwise requires, references to “we,” “us,” “our,” the “Company” and “Aziyo” refer to the operations of Aziyo Biologics, Inc. and its consolidated subsidiaries.</w:t>
      </w:r>
    </w:p>
    <w:p>
      <w:pPr>
        <w:spacing w:after="0" w:line="12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Arial" w:cs="Arial" w:eastAsia="Arial" w:hAnsi="Arial"/>
          <w:sz w:val="17"/>
          <w:szCs w:val="17"/>
          <w:i w:val="1"/>
          <w:iCs w:val="1"/>
          <w:color w:val="auto"/>
        </w:rPr>
        <w:t>www.aziyo.com</w:t>
      </w:r>
      <w:r>
        <w:rPr>
          <w:rFonts w:ascii="Arial" w:cs="Arial" w:eastAsia="Arial" w:hAnsi="Arial"/>
          <w:sz w:val="17"/>
          <w:szCs w:val="17"/>
          <w:color w:val="auto"/>
        </w:rPr>
        <w:t xml:space="preserve">. In addition, you may automatically receive email alerts and other information about the Company when you enroll your email address by visiting the “Email Alerts” option under the IR Resources menu of the Investor Relations of our website at </w:t>
      </w:r>
      <w:r>
        <w:rPr>
          <w:rFonts w:ascii="Arial" w:cs="Arial" w:eastAsia="Arial" w:hAnsi="Arial"/>
          <w:sz w:val="17"/>
          <w:szCs w:val="17"/>
          <w:i w:val="1"/>
          <w:iCs w:val="1"/>
          <w:color w:val="auto"/>
        </w:rPr>
        <w:t>www.aziyo.com</w:t>
      </w:r>
      <w:r>
        <w:rPr>
          <w:rFonts w:ascii="Arial" w:cs="Arial" w:eastAsia="Arial" w:hAnsi="Arial"/>
          <w:sz w:val="17"/>
          <w:szCs w:val="17"/>
          <w:color w:val="auto"/>
        </w:rPr>
        <w:t>. The reference to our website address does not constitute incorporation by reference of the information contained on or available through our website, and you should not consider such information to be a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This Quarterly Report includes our trademarks, trade names and service marks, including, without limitation, “Aziyo®,” “CanGaroo®,” “ProxiCor®,” “Tyke®,” “VasCure®,” “ViBone®,” “OsteGro®,” “SimpliDerm®” and our logo, which are our property and are protected under applicable intellectual property laws. This Quarterly Report also contains trademarks, trade names and service marks of other companies, which are the property of their respective owners. Solely for convenience, trademarks, trade names and service marks may appear in this Quarterly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OTHER DATA</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Quarterly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Part I, Item 1A. “Risk Factors” in our Annual Report which can be found at https://investors.aziyo.com/financials/sec-filings. These and other factors could cause our future performance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8"/>
                <w:szCs w:val="18"/>
                <w:color w:val="auto"/>
                <w:w w:val="90"/>
              </w:rPr>
              <w:t>Page</w:t>
            </w: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0000EE"/>
            </w:tcBorders>
            <w:gridSpan w:val="12"/>
            <w:shd w:val="clear" w:color="auto" w:fill="CCEEFF"/>
          </w:tcPr>
          <w:p>
            <w:pPr>
              <w:spacing w:after="0" w:line="202" w:lineRule="exact"/>
              <w:rPr>
                <w:sz w:val="20"/>
                <w:szCs w:val="20"/>
                <w:color w:val="auto"/>
              </w:rPr>
            </w:pPr>
            <w:r>
              <w:rPr>
                <w:rFonts w:ascii="Arial" w:cs="Arial" w:eastAsia="Arial" w:hAnsi="Arial"/>
                <w:sz w:val="18"/>
                <w:szCs w:val="18"/>
                <w:color w:val="0000EE"/>
                <w:w w:val="95"/>
              </w:rPr>
              <w:t>FORWARD-LOOKING STATEMENTS</w:t>
            </w:r>
          </w:p>
        </w:tc>
        <w:tc>
          <w:tcPr>
            <w:tcW w:w="4860" w:type="dxa"/>
            <w:vAlign w:val="bottom"/>
            <w:tcBorders>
              <w:bottom w:val="single" w:sz="8" w:color="CCEEFF"/>
            </w:tcBorders>
            <w:gridSpan w:val="12"/>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w w:val="79"/>
              </w:rPr>
              <w:t>1</w:t>
            </w:r>
          </w:p>
        </w:tc>
      </w:tr>
      <w:tr>
        <w:trPr>
          <w:trHeight w:val="203"/>
        </w:trPr>
        <w:tc>
          <w:tcPr>
            <w:tcW w:w="20" w:type="dxa"/>
            <w:vAlign w:val="bottom"/>
          </w:tcPr>
          <w:p>
            <w:pPr>
              <w:spacing w:after="0"/>
              <w:rPr>
                <w:sz w:val="17"/>
                <w:szCs w:val="17"/>
                <w:color w:val="auto"/>
              </w:rPr>
            </w:pPr>
          </w:p>
        </w:tc>
        <w:tc>
          <w:tcPr>
            <w:tcW w:w="7800" w:type="dxa"/>
            <w:vAlign w:val="bottom"/>
            <w:gridSpan w:val="24"/>
          </w:tcPr>
          <w:p>
            <w:pPr>
              <w:spacing w:after="0" w:line="202" w:lineRule="exact"/>
              <w:rPr>
                <w:sz w:val="20"/>
                <w:szCs w:val="20"/>
                <w:color w:val="auto"/>
              </w:rPr>
            </w:pPr>
            <w:r>
              <w:rPr>
                <w:rFonts w:ascii="Arial" w:cs="Arial" w:eastAsia="Arial" w:hAnsi="Arial"/>
                <w:sz w:val="18"/>
                <w:szCs w:val="18"/>
                <w:color w:val="0000EE"/>
              </w:rPr>
              <w:t>TRADEMARKS, TRADE NAMES AND SERVICE MARKS</w:t>
            </w:r>
          </w:p>
        </w:tc>
        <w:tc>
          <w:tcPr>
            <w:tcW w:w="94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79"/>
              </w:rPr>
              <w:t>3</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0000EE"/>
            </w:tcBorders>
            <w:gridSpan w:val="9"/>
            <w:shd w:val="clear" w:color="auto" w:fill="CCEEFF"/>
          </w:tcPr>
          <w:p>
            <w:pPr>
              <w:spacing w:after="0" w:line="202" w:lineRule="exact"/>
              <w:rPr>
                <w:sz w:val="20"/>
                <w:szCs w:val="20"/>
                <w:color w:val="auto"/>
              </w:rPr>
            </w:pPr>
            <w:r>
              <w:rPr>
                <w:rFonts w:ascii="Arial" w:cs="Arial" w:eastAsia="Arial" w:hAnsi="Arial"/>
                <w:sz w:val="18"/>
                <w:szCs w:val="18"/>
                <w:color w:val="0000EE"/>
                <w:w w:val="96"/>
              </w:rPr>
              <w:t>INDUSTRY AND OTHER DATA</w:t>
            </w:r>
          </w:p>
        </w:tc>
        <w:tc>
          <w:tcPr>
            <w:tcW w:w="5300" w:type="dxa"/>
            <w:vAlign w:val="bottom"/>
            <w:tcBorders>
              <w:bottom w:val="single" w:sz="8" w:color="CCEEFF"/>
            </w:tcBorders>
            <w:gridSpan w:val="15"/>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w w:val="79"/>
              </w:rPr>
              <w:t>3</w:t>
            </w:r>
          </w:p>
        </w:tc>
      </w:tr>
      <w:tr>
        <w:trPr>
          <w:trHeight w:val="203"/>
        </w:trPr>
        <w:tc>
          <w:tcPr>
            <w:tcW w:w="20" w:type="dxa"/>
            <w:vAlign w:val="bottom"/>
          </w:tcPr>
          <w:p>
            <w:pPr>
              <w:spacing w:after="0"/>
              <w:rPr>
                <w:sz w:val="17"/>
                <w:szCs w:val="17"/>
                <w:color w:val="auto"/>
              </w:rPr>
            </w:pPr>
          </w:p>
        </w:tc>
        <w:tc>
          <w:tcPr>
            <w:tcW w:w="7800" w:type="dxa"/>
            <w:vAlign w:val="bottom"/>
            <w:gridSpan w:val="24"/>
          </w:tcPr>
          <w:p>
            <w:pPr>
              <w:spacing w:after="0" w:line="202" w:lineRule="exact"/>
              <w:rPr>
                <w:sz w:val="20"/>
                <w:szCs w:val="20"/>
                <w:color w:val="auto"/>
              </w:rPr>
            </w:pPr>
            <w:r>
              <w:rPr>
                <w:rFonts w:ascii="Arial" w:cs="Arial" w:eastAsia="Arial" w:hAnsi="Arial"/>
                <w:sz w:val="18"/>
                <w:szCs w:val="18"/>
                <w:color w:val="0000EE"/>
              </w:rPr>
              <w:t>PART I – FINANCIAL INFORMATION</w:t>
            </w:r>
          </w:p>
        </w:tc>
        <w:tc>
          <w:tcPr>
            <w:tcW w:w="9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0000EE"/>
                <w:w w:val="90"/>
              </w:rPr>
              <w:t>Item 1.</w:t>
            </w:r>
          </w:p>
        </w:tc>
        <w:tc>
          <w:tcPr>
            <w:tcW w:w="240" w:type="dxa"/>
            <w:vAlign w:val="bottom"/>
            <w:gridSpan w:val="2"/>
            <w:shd w:val="clear" w:color="auto" w:fill="CCEEFF"/>
          </w:tcPr>
          <w:p>
            <w:pPr>
              <w:spacing w:after="0"/>
              <w:rPr>
                <w:sz w:val="17"/>
                <w:szCs w:val="17"/>
                <w:color w:val="auto"/>
              </w:rPr>
            </w:pPr>
          </w:p>
        </w:tc>
        <w:tc>
          <w:tcPr>
            <w:tcW w:w="704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EE"/>
              </w:rPr>
              <w:t>Financial Statements (Unaudited)</w:t>
            </w:r>
          </w:p>
        </w:tc>
        <w:tc>
          <w:tcPr>
            <w:tcW w:w="9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gridSpan w:val="21"/>
          </w:tcPr>
          <w:p>
            <w:pPr>
              <w:spacing w:after="0" w:line="202" w:lineRule="exact"/>
              <w:rPr>
                <w:sz w:val="20"/>
                <w:szCs w:val="20"/>
                <w:color w:val="auto"/>
              </w:rPr>
            </w:pPr>
            <w:r>
              <w:rPr>
                <w:rFonts w:ascii="Arial" w:cs="Arial" w:eastAsia="Arial" w:hAnsi="Arial"/>
                <w:sz w:val="18"/>
                <w:szCs w:val="18"/>
                <w:color w:val="0000EE"/>
              </w:rPr>
              <w:t>Condensed Consolidated Balance Sheets</w:t>
            </w:r>
          </w:p>
        </w:tc>
        <w:tc>
          <w:tcPr>
            <w:tcW w:w="94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79"/>
              </w:rPr>
              <w:t>5</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4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EE"/>
              </w:rPr>
              <w:t>Condensed Consolidated Statements of Operations</w:t>
            </w:r>
          </w:p>
        </w:tc>
        <w:tc>
          <w:tcPr>
            <w:tcW w:w="940" w:type="dxa"/>
            <w:vAlign w:val="bottom"/>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w w:val="79"/>
              </w:rPr>
              <w:t>6</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gridSpan w:val="21"/>
          </w:tcPr>
          <w:p>
            <w:pPr>
              <w:spacing w:after="0" w:line="202" w:lineRule="exact"/>
              <w:rPr>
                <w:sz w:val="20"/>
                <w:szCs w:val="20"/>
                <w:color w:val="auto"/>
              </w:rPr>
            </w:pPr>
            <w:r>
              <w:rPr>
                <w:rFonts w:ascii="Arial" w:cs="Arial" w:eastAsia="Arial" w:hAnsi="Arial"/>
                <w:sz w:val="18"/>
                <w:szCs w:val="18"/>
                <w:color w:val="0000EE"/>
              </w:rPr>
              <w:t>Condensed Consolidated Statements of Changes in Stockholders’ Equity (Deficit)</w:t>
            </w:r>
          </w:p>
        </w:tc>
        <w:tc>
          <w:tcPr>
            <w:tcW w:w="94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79"/>
              </w:rPr>
              <w:t>7</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56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4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EE"/>
              </w:rPr>
              <w:t>Condensed Consolidated Statements of Cash Flows</w:t>
            </w:r>
          </w:p>
        </w:tc>
        <w:tc>
          <w:tcPr>
            <w:tcW w:w="940" w:type="dxa"/>
            <w:vAlign w:val="bottom"/>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w w:val="79"/>
              </w:rPr>
              <w:t>8</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gridSpan w:val="21"/>
          </w:tcPr>
          <w:p>
            <w:pPr>
              <w:spacing w:after="0" w:line="202" w:lineRule="exact"/>
              <w:rPr>
                <w:sz w:val="20"/>
                <w:szCs w:val="20"/>
                <w:color w:val="auto"/>
              </w:rPr>
            </w:pPr>
            <w:r>
              <w:rPr>
                <w:rFonts w:ascii="Arial" w:cs="Arial" w:eastAsia="Arial" w:hAnsi="Arial"/>
                <w:sz w:val="18"/>
                <w:szCs w:val="18"/>
                <w:color w:val="0000EE"/>
              </w:rPr>
              <w:t>Notes to the Condensed Consolidated Financial Statements</w:t>
            </w:r>
          </w:p>
        </w:tc>
        <w:tc>
          <w:tcPr>
            <w:tcW w:w="94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79"/>
              </w:rPr>
              <w:t>9</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0000EE"/>
                <w:w w:val="90"/>
              </w:rPr>
              <w:t>Item 2.</w:t>
            </w:r>
          </w:p>
        </w:tc>
        <w:tc>
          <w:tcPr>
            <w:tcW w:w="240" w:type="dxa"/>
            <w:vAlign w:val="bottom"/>
            <w:gridSpan w:val="2"/>
            <w:shd w:val="clear" w:color="auto" w:fill="CCEEFF"/>
          </w:tcPr>
          <w:p>
            <w:pPr>
              <w:spacing w:after="0"/>
              <w:rPr>
                <w:sz w:val="21"/>
                <w:szCs w:val="21"/>
                <w:color w:val="auto"/>
              </w:rPr>
            </w:pPr>
          </w:p>
        </w:tc>
        <w:tc>
          <w:tcPr>
            <w:tcW w:w="704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EE"/>
                <w:w w:val="98"/>
              </w:rPr>
              <w:t>Management’s Discussion and Analysis of Financial Condition and Results Of Operations</w:t>
            </w:r>
          </w:p>
        </w:tc>
        <w:tc>
          <w:tcPr>
            <w:tcW w:w="940" w:type="dxa"/>
            <w:vAlign w:val="bottom"/>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27</w:t>
            </w:r>
          </w:p>
        </w:tc>
      </w:tr>
      <w:tr>
        <w:trPr>
          <w:trHeight w:val="203"/>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sz w:val="20"/>
                <w:szCs w:val="20"/>
                <w:color w:val="auto"/>
              </w:rPr>
            </w:pPr>
            <w:r>
              <w:rPr>
                <w:rFonts w:ascii="Arial" w:cs="Arial" w:eastAsia="Arial" w:hAnsi="Arial"/>
                <w:sz w:val="18"/>
                <w:szCs w:val="18"/>
                <w:color w:val="0000EE"/>
                <w:w w:val="90"/>
              </w:rPr>
              <w:t>Item 3.</w:t>
            </w:r>
          </w:p>
        </w:tc>
        <w:tc>
          <w:tcPr>
            <w:tcW w:w="240" w:type="dxa"/>
            <w:vAlign w:val="bottom"/>
            <w:tcBorders>
              <w:top w:val="single" w:sz="8" w:color="CCEEFF"/>
            </w:tcBorders>
            <w:gridSpan w:val="2"/>
          </w:tcPr>
          <w:p>
            <w:pPr>
              <w:spacing w:after="0"/>
              <w:rPr>
                <w:sz w:val="17"/>
                <w:szCs w:val="17"/>
                <w:color w:val="auto"/>
              </w:rPr>
            </w:pPr>
          </w:p>
        </w:tc>
        <w:tc>
          <w:tcPr>
            <w:tcW w:w="6480" w:type="dxa"/>
            <w:vAlign w:val="bottom"/>
            <w:tcBorders>
              <w:top w:val="single" w:sz="8" w:color="0000EE"/>
            </w:tcBorders>
            <w:gridSpan w:val="20"/>
          </w:tcPr>
          <w:p>
            <w:pPr>
              <w:spacing w:after="0" w:line="202" w:lineRule="exact"/>
              <w:rPr>
                <w:sz w:val="20"/>
                <w:szCs w:val="20"/>
                <w:color w:val="auto"/>
              </w:rPr>
            </w:pPr>
            <w:r>
              <w:rPr>
                <w:rFonts w:ascii="Arial" w:cs="Arial" w:eastAsia="Arial" w:hAnsi="Arial"/>
                <w:sz w:val="18"/>
                <w:szCs w:val="18"/>
                <w:color w:val="0000EE"/>
              </w:rPr>
              <w:t>Quantitative and Qualitative Disclosures About Market Risk</w:t>
            </w:r>
          </w:p>
        </w:tc>
        <w:tc>
          <w:tcPr>
            <w:tcW w:w="5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jc w:val="center"/>
              <w:ind w:left="430"/>
              <w:spacing w:after="0" w:line="202" w:lineRule="exact"/>
              <w:rPr>
                <w:sz w:val="20"/>
                <w:szCs w:val="20"/>
                <w:color w:val="auto"/>
              </w:rPr>
            </w:pPr>
            <w:r>
              <w:rPr>
                <w:rFonts w:ascii="Arial" w:cs="Arial" w:eastAsia="Arial" w:hAnsi="Arial"/>
                <w:sz w:val="18"/>
                <w:szCs w:val="18"/>
                <w:color w:val="auto"/>
                <w:w w:val="89"/>
              </w:rPr>
              <w:t>42</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sz w:val="20"/>
                <w:szCs w:val="20"/>
                <w:color w:val="auto"/>
              </w:rPr>
            </w:pPr>
            <w:r>
              <w:rPr>
                <w:rFonts w:ascii="Arial" w:cs="Arial" w:eastAsia="Arial" w:hAnsi="Arial"/>
                <w:sz w:val="18"/>
                <w:szCs w:val="18"/>
                <w:color w:val="0000EE"/>
                <w:w w:val="90"/>
              </w:rPr>
              <w:t>Item 4.</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760" w:type="dxa"/>
            <w:vAlign w:val="bottom"/>
            <w:tcBorders>
              <w:bottom w:val="single" w:sz="8" w:color="0000EE"/>
            </w:tcBorders>
            <w:gridSpan w:val="7"/>
            <w:shd w:val="clear" w:color="auto" w:fill="CCEEFF"/>
          </w:tcPr>
          <w:p>
            <w:pPr>
              <w:spacing w:after="0" w:line="202" w:lineRule="exact"/>
              <w:rPr>
                <w:sz w:val="20"/>
                <w:szCs w:val="20"/>
                <w:color w:val="auto"/>
              </w:rPr>
            </w:pPr>
            <w:r>
              <w:rPr>
                <w:rFonts w:ascii="Arial" w:cs="Arial" w:eastAsia="Arial" w:hAnsi="Arial"/>
                <w:sz w:val="18"/>
                <w:szCs w:val="18"/>
                <w:color w:val="0000EE"/>
                <w:w w:val="87"/>
              </w:rPr>
              <w:t>Controls and Procedures</w:t>
            </w:r>
          </w:p>
        </w:tc>
        <w:tc>
          <w:tcPr>
            <w:tcW w:w="5280" w:type="dxa"/>
            <w:vAlign w:val="bottom"/>
            <w:tcBorders>
              <w:bottom w:val="single" w:sz="8" w:color="CCEEFF"/>
            </w:tcBorders>
            <w:gridSpan w:val="14"/>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43</w:t>
            </w:r>
          </w:p>
        </w:tc>
      </w:tr>
      <w:tr>
        <w:trPr>
          <w:trHeight w:val="203"/>
        </w:trPr>
        <w:tc>
          <w:tcPr>
            <w:tcW w:w="20" w:type="dxa"/>
            <w:vAlign w:val="bottom"/>
          </w:tcPr>
          <w:p>
            <w:pPr>
              <w:spacing w:after="0"/>
              <w:rPr>
                <w:sz w:val="17"/>
                <w:szCs w:val="17"/>
                <w:color w:val="auto"/>
              </w:rPr>
            </w:pPr>
          </w:p>
        </w:tc>
        <w:tc>
          <w:tcPr>
            <w:tcW w:w="7800" w:type="dxa"/>
            <w:vAlign w:val="bottom"/>
            <w:gridSpan w:val="24"/>
          </w:tcPr>
          <w:p>
            <w:pPr>
              <w:spacing w:after="0" w:line="202" w:lineRule="exact"/>
              <w:rPr>
                <w:sz w:val="20"/>
                <w:szCs w:val="20"/>
                <w:color w:val="auto"/>
              </w:rPr>
            </w:pPr>
            <w:r>
              <w:rPr>
                <w:rFonts w:ascii="Arial" w:cs="Arial" w:eastAsia="Arial" w:hAnsi="Arial"/>
                <w:sz w:val="18"/>
                <w:szCs w:val="18"/>
                <w:color w:val="0000EE"/>
              </w:rPr>
              <w:t>PART II – OTHER INFORMATION</w:t>
            </w:r>
          </w:p>
        </w:tc>
        <w:tc>
          <w:tcPr>
            <w:tcW w:w="9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0000EE"/>
                <w:w w:val="90"/>
              </w:rPr>
              <w:t>Item 1.</w:t>
            </w:r>
          </w:p>
        </w:tc>
        <w:tc>
          <w:tcPr>
            <w:tcW w:w="240" w:type="dxa"/>
            <w:vAlign w:val="bottom"/>
            <w:gridSpan w:val="2"/>
            <w:shd w:val="clear" w:color="auto" w:fill="CCEEFF"/>
          </w:tcPr>
          <w:p>
            <w:pPr>
              <w:spacing w:after="0"/>
              <w:rPr>
                <w:sz w:val="17"/>
                <w:szCs w:val="17"/>
                <w:color w:val="auto"/>
              </w:rPr>
            </w:pPr>
          </w:p>
        </w:tc>
        <w:tc>
          <w:tcPr>
            <w:tcW w:w="704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EE"/>
              </w:rPr>
              <w:t>Legal Proceedings</w:t>
            </w:r>
          </w:p>
        </w:tc>
        <w:tc>
          <w:tcPr>
            <w:tcW w:w="940" w:type="dxa"/>
            <w:vAlign w:val="bottom"/>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43</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sz w:val="20"/>
                <w:szCs w:val="20"/>
                <w:color w:val="auto"/>
              </w:rPr>
            </w:pPr>
            <w:r>
              <w:rPr>
                <w:rFonts w:ascii="Arial" w:cs="Arial" w:eastAsia="Arial" w:hAnsi="Arial"/>
                <w:sz w:val="18"/>
                <w:szCs w:val="18"/>
                <w:color w:val="0000EE"/>
              </w:rPr>
              <w:t>Item 1A.</w:t>
            </w:r>
          </w:p>
        </w:tc>
        <w:tc>
          <w:tcPr>
            <w:tcW w:w="7040" w:type="dxa"/>
            <w:vAlign w:val="bottom"/>
            <w:gridSpan w:val="21"/>
          </w:tcPr>
          <w:p>
            <w:pPr>
              <w:spacing w:after="0" w:line="202" w:lineRule="exact"/>
              <w:rPr>
                <w:sz w:val="20"/>
                <w:szCs w:val="20"/>
                <w:color w:val="auto"/>
              </w:rPr>
            </w:pPr>
            <w:r>
              <w:rPr>
                <w:rFonts w:ascii="Arial" w:cs="Arial" w:eastAsia="Arial" w:hAnsi="Arial"/>
                <w:sz w:val="18"/>
                <w:szCs w:val="18"/>
                <w:color w:val="0000EE"/>
              </w:rPr>
              <w:t>Risk Factors</w:t>
            </w:r>
          </w:p>
        </w:tc>
        <w:tc>
          <w:tcPr>
            <w:tcW w:w="940" w:type="dxa"/>
            <w:vAlign w:val="bottom"/>
          </w:tcPr>
          <w:p>
            <w:pPr>
              <w:jc w:val="center"/>
              <w:ind w:left="430"/>
              <w:spacing w:after="0" w:line="202" w:lineRule="exact"/>
              <w:rPr>
                <w:sz w:val="20"/>
                <w:szCs w:val="20"/>
                <w:color w:val="auto"/>
              </w:rPr>
            </w:pPr>
            <w:r>
              <w:rPr>
                <w:rFonts w:ascii="Arial" w:cs="Arial" w:eastAsia="Arial" w:hAnsi="Arial"/>
                <w:sz w:val="18"/>
                <w:szCs w:val="18"/>
                <w:color w:val="auto"/>
                <w:w w:val="89"/>
              </w:rPr>
              <w:t>44</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sz w:val="20"/>
                <w:szCs w:val="20"/>
                <w:color w:val="auto"/>
              </w:rPr>
            </w:pPr>
            <w:r>
              <w:rPr>
                <w:rFonts w:ascii="Arial" w:cs="Arial" w:eastAsia="Arial" w:hAnsi="Arial"/>
                <w:sz w:val="18"/>
                <w:szCs w:val="18"/>
                <w:color w:val="0000EE"/>
                <w:w w:val="90"/>
              </w:rPr>
              <w:t>Item 2.</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4340" w:type="dxa"/>
            <w:vAlign w:val="bottom"/>
            <w:tcBorders>
              <w:bottom w:val="single" w:sz="8" w:color="0000EE"/>
            </w:tcBorders>
            <w:gridSpan w:val="18"/>
            <w:shd w:val="clear" w:color="auto" w:fill="CCEEFF"/>
          </w:tcPr>
          <w:p>
            <w:pPr>
              <w:spacing w:after="0" w:line="202"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2700" w:type="dxa"/>
            <w:vAlign w:val="bottom"/>
            <w:tcBorders>
              <w:bottom w:val="single" w:sz="8" w:color="CCEEFF"/>
            </w:tcBorders>
            <w:gridSpan w:val="3"/>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44</w:t>
            </w: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sz w:val="20"/>
                <w:szCs w:val="20"/>
                <w:color w:val="auto"/>
              </w:rPr>
            </w:pPr>
            <w:r>
              <w:rPr>
                <w:rFonts w:ascii="Arial" w:cs="Arial" w:eastAsia="Arial" w:hAnsi="Arial"/>
                <w:sz w:val="18"/>
                <w:szCs w:val="18"/>
                <w:color w:val="0000EE"/>
              </w:rPr>
              <w:t>Item 3.</w:t>
            </w:r>
          </w:p>
        </w:tc>
        <w:tc>
          <w:tcPr>
            <w:tcW w:w="7040" w:type="dxa"/>
            <w:vAlign w:val="bottom"/>
            <w:gridSpan w:val="21"/>
          </w:tcPr>
          <w:p>
            <w:pPr>
              <w:spacing w:after="0" w:line="202" w:lineRule="exact"/>
              <w:rPr>
                <w:sz w:val="20"/>
                <w:szCs w:val="20"/>
                <w:color w:val="auto"/>
              </w:rPr>
            </w:pPr>
            <w:r>
              <w:rPr>
                <w:rFonts w:ascii="Arial" w:cs="Arial" w:eastAsia="Arial" w:hAnsi="Arial"/>
                <w:sz w:val="18"/>
                <w:szCs w:val="18"/>
                <w:color w:val="0000EE"/>
              </w:rPr>
              <w:t>Defaults Upon Senior Securities</w:t>
            </w:r>
          </w:p>
        </w:tc>
        <w:tc>
          <w:tcPr>
            <w:tcW w:w="940" w:type="dxa"/>
            <w:vAlign w:val="bottom"/>
          </w:tcPr>
          <w:p>
            <w:pPr>
              <w:jc w:val="center"/>
              <w:ind w:left="430"/>
              <w:spacing w:after="0" w:line="202" w:lineRule="exact"/>
              <w:rPr>
                <w:sz w:val="20"/>
                <w:szCs w:val="20"/>
                <w:color w:val="auto"/>
              </w:rPr>
            </w:pPr>
            <w:r>
              <w:rPr>
                <w:rFonts w:ascii="Arial" w:cs="Arial" w:eastAsia="Arial" w:hAnsi="Arial"/>
                <w:sz w:val="18"/>
                <w:szCs w:val="18"/>
                <w:color w:val="auto"/>
                <w:w w:val="89"/>
              </w:rPr>
              <w:t>44</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sz w:val="20"/>
                <w:szCs w:val="20"/>
                <w:color w:val="auto"/>
              </w:rPr>
            </w:pPr>
            <w:r>
              <w:rPr>
                <w:rFonts w:ascii="Arial" w:cs="Arial" w:eastAsia="Arial" w:hAnsi="Arial"/>
                <w:sz w:val="18"/>
                <w:szCs w:val="18"/>
                <w:color w:val="0000EE"/>
                <w:w w:val="90"/>
              </w:rPr>
              <w:t>Item 4.</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760" w:type="dxa"/>
            <w:vAlign w:val="bottom"/>
            <w:tcBorders>
              <w:bottom w:val="single" w:sz="8" w:color="0000EE"/>
            </w:tcBorders>
            <w:gridSpan w:val="7"/>
            <w:shd w:val="clear" w:color="auto" w:fill="CCEEFF"/>
          </w:tcPr>
          <w:p>
            <w:pPr>
              <w:spacing w:after="0" w:line="202" w:lineRule="exact"/>
              <w:rPr>
                <w:sz w:val="20"/>
                <w:szCs w:val="20"/>
                <w:color w:val="auto"/>
              </w:rPr>
            </w:pPr>
            <w:r>
              <w:rPr>
                <w:rFonts w:ascii="Arial" w:cs="Arial" w:eastAsia="Arial" w:hAnsi="Arial"/>
                <w:sz w:val="18"/>
                <w:szCs w:val="18"/>
                <w:color w:val="0000EE"/>
                <w:w w:val="90"/>
              </w:rPr>
              <w:t>Mine Safety Disclosures</w:t>
            </w:r>
          </w:p>
        </w:tc>
        <w:tc>
          <w:tcPr>
            <w:tcW w:w="5280" w:type="dxa"/>
            <w:vAlign w:val="bottom"/>
            <w:tcBorders>
              <w:bottom w:val="single" w:sz="8" w:color="CCEEFF"/>
            </w:tcBorders>
            <w:gridSpan w:val="14"/>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44</w:t>
            </w: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sz w:val="20"/>
                <w:szCs w:val="20"/>
                <w:color w:val="auto"/>
              </w:rPr>
            </w:pPr>
            <w:r>
              <w:rPr>
                <w:rFonts w:ascii="Arial" w:cs="Arial" w:eastAsia="Arial" w:hAnsi="Arial"/>
                <w:sz w:val="18"/>
                <w:szCs w:val="18"/>
                <w:color w:val="0000EE"/>
              </w:rPr>
              <w:t>Item 5.</w:t>
            </w:r>
          </w:p>
        </w:tc>
        <w:tc>
          <w:tcPr>
            <w:tcW w:w="7040" w:type="dxa"/>
            <w:vAlign w:val="bottom"/>
            <w:gridSpan w:val="21"/>
          </w:tcPr>
          <w:p>
            <w:pPr>
              <w:spacing w:after="0" w:line="202" w:lineRule="exact"/>
              <w:rPr>
                <w:sz w:val="20"/>
                <w:szCs w:val="20"/>
                <w:color w:val="auto"/>
              </w:rPr>
            </w:pPr>
            <w:r>
              <w:rPr>
                <w:rFonts w:ascii="Arial" w:cs="Arial" w:eastAsia="Arial" w:hAnsi="Arial"/>
                <w:sz w:val="18"/>
                <w:szCs w:val="18"/>
                <w:color w:val="0000EE"/>
              </w:rPr>
              <w:t>Other Information</w:t>
            </w:r>
          </w:p>
        </w:tc>
        <w:tc>
          <w:tcPr>
            <w:tcW w:w="940" w:type="dxa"/>
            <w:vAlign w:val="bottom"/>
          </w:tcPr>
          <w:p>
            <w:pPr>
              <w:jc w:val="center"/>
              <w:ind w:left="430"/>
              <w:spacing w:after="0" w:line="202" w:lineRule="exact"/>
              <w:rPr>
                <w:sz w:val="20"/>
                <w:szCs w:val="20"/>
                <w:color w:val="auto"/>
              </w:rPr>
            </w:pPr>
            <w:r>
              <w:rPr>
                <w:rFonts w:ascii="Arial" w:cs="Arial" w:eastAsia="Arial" w:hAnsi="Arial"/>
                <w:sz w:val="18"/>
                <w:szCs w:val="18"/>
                <w:color w:val="auto"/>
                <w:w w:val="89"/>
              </w:rPr>
              <w:t>44</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sz w:val="20"/>
                <w:szCs w:val="20"/>
                <w:color w:val="auto"/>
              </w:rPr>
            </w:pPr>
            <w:r>
              <w:rPr>
                <w:rFonts w:ascii="Arial" w:cs="Arial" w:eastAsia="Arial" w:hAnsi="Arial"/>
                <w:sz w:val="18"/>
                <w:szCs w:val="18"/>
                <w:color w:val="0000EE"/>
                <w:w w:val="90"/>
              </w:rPr>
              <w:t>Item 6.</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600" w:type="dxa"/>
            <w:vAlign w:val="bottom"/>
            <w:tcBorders>
              <w:bottom w:val="single" w:sz="8" w:color="0000EE"/>
            </w:tcBorders>
            <w:gridSpan w:val="2"/>
            <w:shd w:val="clear" w:color="auto" w:fill="CCEEFF"/>
          </w:tcPr>
          <w:p>
            <w:pPr>
              <w:spacing w:after="0" w:line="202" w:lineRule="exact"/>
              <w:rPr>
                <w:sz w:val="20"/>
                <w:szCs w:val="20"/>
                <w:color w:val="auto"/>
              </w:rPr>
            </w:pPr>
            <w:r>
              <w:rPr>
                <w:rFonts w:ascii="Arial" w:cs="Arial" w:eastAsia="Arial" w:hAnsi="Arial"/>
                <w:sz w:val="18"/>
                <w:szCs w:val="18"/>
                <w:color w:val="0000EE"/>
                <w:w w:val="91"/>
              </w:rPr>
              <w:t>Exhibits</w:t>
            </w:r>
          </w:p>
        </w:tc>
        <w:tc>
          <w:tcPr>
            <w:tcW w:w="6440" w:type="dxa"/>
            <w:vAlign w:val="bottom"/>
            <w:tcBorders>
              <w:bottom w:val="single" w:sz="8" w:color="CCEEFF"/>
            </w:tcBorders>
            <w:gridSpan w:val="19"/>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45</w:t>
            </w:r>
          </w:p>
        </w:tc>
      </w:tr>
      <w:tr>
        <w:trPr>
          <w:trHeight w:val="203"/>
        </w:trPr>
        <w:tc>
          <w:tcPr>
            <w:tcW w:w="20" w:type="dxa"/>
            <w:vAlign w:val="bottom"/>
          </w:tcPr>
          <w:p>
            <w:pPr>
              <w:spacing w:after="0"/>
              <w:rPr>
                <w:sz w:val="17"/>
                <w:szCs w:val="17"/>
                <w:color w:val="auto"/>
              </w:rPr>
            </w:pPr>
          </w:p>
        </w:tc>
        <w:tc>
          <w:tcPr>
            <w:tcW w:w="780" w:type="dxa"/>
            <w:vAlign w:val="bottom"/>
            <w:tcBorders>
              <w:bottom w:val="single" w:sz="8" w:color="0000EE"/>
            </w:tcBorders>
            <w:gridSpan w:val="4"/>
          </w:tcPr>
          <w:p>
            <w:pPr>
              <w:spacing w:after="0" w:line="202" w:lineRule="exact"/>
              <w:rPr>
                <w:sz w:val="20"/>
                <w:szCs w:val="20"/>
                <w:color w:val="auto"/>
              </w:rPr>
            </w:pPr>
            <w:r>
              <w:rPr>
                <w:rFonts w:ascii="Arial" w:cs="Arial" w:eastAsia="Arial" w:hAnsi="Arial"/>
                <w:sz w:val="18"/>
                <w:szCs w:val="18"/>
                <w:color w:val="0000EE"/>
                <w:w w:val="88"/>
              </w:rPr>
              <w:t>Signatures</w:t>
            </w:r>
          </w:p>
        </w:tc>
        <w:tc>
          <w:tcPr>
            <w:tcW w:w="7020" w:type="dxa"/>
            <w:vAlign w:val="bottom"/>
            <w:gridSpan w:val="20"/>
          </w:tcPr>
          <w:p>
            <w:pPr>
              <w:spacing w:after="0"/>
              <w:rPr>
                <w:sz w:val="17"/>
                <w:szCs w:val="17"/>
                <w:color w:val="auto"/>
              </w:rPr>
            </w:pPr>
          </w:p>
        </w:tc>
        <w:tc>
          <w:tcPr>
            <w:tcW w:w="940" w:type="dxa"/>
            <w:vAlign w:val="bottom"/>
          </w:tcPr>
          <w:p>
            <w:pPr>
              <w:jc w:val="center"/>
              <w:ind w:left="430"/>
              <w:spacing w:after="0" w:line="202" w:lineRule="exact"/>
              <w:rPr>
                <w:sz w:val="20"/>
                <w:szCs w:val="20"/>
                <w:color w:val="auto"/>
              </w:rPr>
            </w:pPr>
            <w:r>
              <w:rPr>
                <w:rFonts w:ascii="Arial" w:cs="Arial" w:eastAsia="Arial" w:hAnsi="Arial"/>
                <w:sz w:val="18"/>
                <w:szCs w:val="18"/>
                <w:color w:val="auto"/>
                <w:w w:val="89"/>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400"/>
              <w:spacing w:after="0" w:line="142" w:lineRule="exact"/>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w:t>
            </w:r>
          </w:p>
        </w:tc>
        <w:tc>
          <w:tcPr>
            <w:tcW w:w="46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16,489</w:t>
            </w:r>
          </w:p>
        </w:tc>
        <w:tc>
          <w:tcPr>
            <w:tcW w:w="4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30,393</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Accounts receivable, net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6,646</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5,996</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tcPr>
          <w:p>
            <w:pPr>
              <w:ind w:left="80"/>
              <w:spacing w:after="0" w:line="149" w:lineRule="exact"/>
              <w:rPr>
                <w:sz w:val="20"/>
                <w:szCs w:val="20"/>
                <w:color w:val="auto"/>
              </w:rPr>
            </w:pPr>
            <w:r>
              <w:rPr>
                <w:rFonts w:ascii="Arial" w:cs="Arial" w:eastAsia="Arial" w:hAnsi="Arial"/>
                <w:sz w:val="14"/>
                <w:szCs w:val="14"/>
                <w:color w:val="auto"/>
              </w:rPr>
              <w:t>Inventory</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9,699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9,554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1,828</w:t>
            </w:r>
          </w:p>
        </w:tc>
        <w:tc>
          <w:tcPr>
            <w:tcW w:w="2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300"/>
              <w:spacing w:after="0" w:line="142" w:lineRule="exact"/>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4"/>
                <w:szCs w:val="14"/>
                <w:color w:val="auto"/>
              </w:rPr>
              <w:t>34,684</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color w:val="auto"/>
              </w:rPr>
              <w:t>47,428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1,326</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16,768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18,466</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Borders>
              <w:bottom w:val="single" w:sz="8" w:color="CCEEFF"/>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52,854</w:t>
            </w:r>
          </w:p>
        </w:tc>
        <w:tc>
          <w:tcPr>
            <w:tcW w:w="2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67,170</w:t>
            </w:r>
          </w:p>
        </w:tc>
        <w:tc>
          <w:tcPr>
            <w:tcW w:w="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shd w:val="clear" w:color="auto" w:fill="CCEEFF"/>
          </w:tcPr>
          <w:p>
            <w:pPr>
              <w:ind w:left="1480"/>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tcPr>
          <w:p>
            <w:pPr>
              <w:ind w:left="80"/>
              <w:spacing w:after="0" w:line="149" w:lineRule="exact"/>
              <w:rPr>
                <w:sz w:val="20"/>
                <w:szCs w:val="20"/>
                <w:color w:val="auto"/>
              </w:rPr>
            </w:pPr>
            <w:r>
              <w:rPr>
                <w:rFonts w:ascii="Arial" w:cs="Arial" w:eastAsia="Arial" w:hAnsi="Arial"/>
                <w:sz w:val="14"/>
                <w:szCs w:val="14"/>
                <w:color w:val="auto"/>
              </w:rPr>
              <w:t>Accounts payable</w:t>
            </w:r>
          </w:p>
        </w:tc>
        <w:tc>
          <w:tcPr>
            <w:tcW w:w="46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1,764</w:t>
            </w:r>
          </w:p>
        </w:tc>
        <w:tc>
          <w:tcPr>
            <w:tcW w:w="44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1,582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Accrued expenses</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7,517</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6,375</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tcPr>
          <w:p>
            <w:pPr>
              <w:ind w:left="80"/>
              <w:spacing w:after="0" w:line="149" w:lineRule="exact"/>
              <w:rPr>
                <w:sz w:val="20"/>
                <w:szCs w:val="20"/>
                <w:color w:val="auto"/>
              </w:rPr>
            </w:pPr>
            <w:r>
              <w:rPr>
                <w:rFonts w:ascii="Arial" w:cs="Arial" w:eastAsia="Arial" w:hAnsi="Arial"/>
                <w:sz w:val="14"/>
                <w:szCs w:val="14"/>
                <w:color w:val="auto"/>
              </w:rPr>
              <w:t>Payables to tissue suppliers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3,199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2,467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long-term debt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8,059</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ind w:left="80"/>
              <w:spacing w:after="0" w:line="149" w:lineRule="exact"/>
              <w:rPr>
                <w:sz w:val="20"/>
                <w:szCs w:val="20"/>
                <w:color w:val="auto"/>
              </w:rPr>
            </w:pPr>
            <w:r>
              <w:rPr>
                <w:rFonts w:ascii="Arial" w:cs="Arial" w:eastAsia="Arial" w:hAnsi="Arial"/>
                <w:sz w:val="14"/>
                <w:szCs w:val="14"/>
                <w:color w:val="auto"/>
              </w:rPr>
              <w:t>Current portion of revenue interest obligation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7,750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2,750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Revolving line of credit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6,452</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4,763</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34,749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26,001</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7,106</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10,410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rPr>
              <w:t>Long-term revenue interest obligation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11,469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16,540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long-term liabilities</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899</w:t>
            </w:r>
          </w:p>
        </w:tc>
        <w:tc>
          <w:tcPr>
            <w:tcW w:w="2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54,223</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53,649</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(Note 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 (deficit):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280" w:type="dxa"/>
            <w:vAlign w:val="bottom"/>
          </w:tcPr>
          <w:p>
            <w:pPr>
              <w:ind w:left="80"/>
              <w:spacing w:after="0" w:line="130" w:lineRule="exact"/>
              <w:rPr>
                <w:sz w:val="20"/>
                <w:szCs w:val="20"/>
                <w:color w:val="auto"/>
              </w:rPr>
            </w:pPr>
            <w:r>
              <w:rPr>
                <w:rFonts w:ascii="Arial" w:cs="Arial" w:eastAsia="Arial" w:hAnsi="Arial"/>
                <w:sz w:val="14"/>
                <w:szCs w:val="14"/>
                <w:color w:val="auto"/>
              </w:rPr>
              <w:t>Class A Common stock, $0.001 par value, 200,000,000 shares authorized as of</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tcPr>
          <w:p>
            <w:pPr>
              <w:ind w:left="80"/>
              <w:spacing w:after="0" w:line="149" w:lineRule="exact"/>
              <w:rPr>
                <w:sz w:val="20"/>
                <w:szCs w:val="20"/>
                <w:color w:val="auto"/>
              </w:rPr>
            </w:pPr>
            <w:r>
              <w:rPr>
                <w:rFonts w:ascii="Arial" w:cs="Arial" w:eastAsia="Arial" w:hAnsi="Arial"/>
                <w:sz w:val="14"/>
                <w:szCs w:val="14"/>
                <w:color w:val="auto"/>
                <w:w w:val="94"/>
              </w:rPr>
              <w:t>June 30, 2022 and December 31, 2021, and 9,306,838 and 9,245,146 shares issued and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80" w:type="dxa"/>
            <w:vAlign w:val="bottom"/>
          </w:tcPr>
          <w:p>
            <w:pPr>
              <w:ind w:left="80"/>
              <w:spacing w:after="0"/>
              <w:rPr>
                <w:sz w:val="20"/>
                <w:szCs w:val="20"/>
                <w:color w:val="auto"/>
              </w:rPr>
            </w:pPr>
            <w:r>
              <w:rPr>
                <w:rFonts w:ascii="Arial" w:cs="Arial" w:eastAsia="Arial" w:hAnsi="Arial"/>
                <w:sz w:val="14"/>
                <w:szCs w:val="14"/>
                <w:color w:val="auto"/>
              </w:rPr>
              <w:t>outstanding, as of June 30, 2022 and December 31, 2021, respectively</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2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Class B Common stock, $0.001 par value, 20,000,000 shares authorized, as of</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June 30, 2022 and December 31, 2021 and 4,313,406 issued and outstanding as of</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June 30, 2022 and December 31, 2021</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121,256</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118,599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(122,638)</w:t>
            </w:r>
          </w:p>
        </w:tc>
        <w:tc>
          <w:tcPr>
            <w:tcW w:w="2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(105,091)</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Total stockholders’ equity (deficit)</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(1,369)</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13,521</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52,854</w:t>
            </w:r>
          </w:p>
        </w:tc>
        <w:tc>
          <w:tcPr>
            <w:tcW w:w="2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67,170</w:t>
            </w:r>
          </w:p>
        </w:tc>
        <w:tc>
          <w:tcPr>
            <w:tcW w:w="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-1859915</wp:posOffset>
            </wp:positionV>
            <wp:extent cx="3326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613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-3025140</wp:posOffset>
            </wp:positionV>
            <wp:extent cx="33261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8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7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5B6F80"/>
            </w:tcBorders>
          </w:tcPr>
          <w:p>
            <w:pPr>
              <w:spacing w:after="0"/>
              <w:rPr>
                <w:sz w:val="18"/>
                <w:szCs w:val="18"/>
                <w:color w:val="auto"/>
              </w:rPr>
            </w:pPr>
          </w:p>
        </w:tc>
        <w:tc>
          <w:tcPr>
            <w:tcW w:w="108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7,740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5B6F80"/>
            </w:tcBorders>
          </w:tcPr>
          <w:p>
            <w:pPr>
              <w:spacing w:after="0"/>
              <w:rPr>
                <w:sz w:val="18"/>
                <w:szCs w:val="18"/>
                <w:color w:val="auto"/>
              </w:rPr>
            </w:pPr>
          </w:p>
        </w:tc>
        <w:tc>
          <w:tcPr>
            <w:tcW w:w="108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6,546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5B6F80"/>
            </w:tcBorders>
          </w:tcPr>
          <w:p>
            <w:pPr>
              <w:spacing w:after="0"/>
              <w:rPr>
                <w:sz w:val="18"/>
                <w:szCs w:val="18"/>
                <w:color w:val="auto"/>
              </w:rPr>
            </w:pPr>
          </w:p>
        </w:tc>
        <w:tc>
          <w:tcPr>
            <w:tcW w:w="108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14,954</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5B6F80"/>
            </w:tcBorders>
          </w:tcPr>
          <w:p>
            <w:pPr>
              <w:spacing w:after="0"/>
              <w:rPr>
                <w:sz w:val="18"/>
                <w:szCs w:val="18"/>
                <w:color w:val="auto"/>
              </w:rPr>
            </w:pPr>
          </w:p>
        </w:tc>
        <w:tc>
          <w:tcPr>
            <w:tcW w:w="98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13,101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10,224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24,283</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1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(15,104)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(3,579)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7"/>
              </w:rPr>
              <w:t>Loss before provision for income taxes</w:t>
            </w:r>
          </w:p>
        </w:tc>
        <w:tc>
          <w:tcPr>
            <w:tcW w:w="120" w:type="dxa"/>
            <w:vAlign w:val="bottom"/>
            <w:tcBorders>
              <w:top w:val="single" w:sz="8" w:color="5B6F80"/>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5B6F80"/>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5B6F80"/>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(9,398)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(17,547)</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(7,452)</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7"/>
              </w:rPr>
              <w:t>Net loss per share - basic and diluted</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(0.69)</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(0.23)</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(1.29)</w:t>
            </w: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(0.73)</w:t>
            </w:r>
          </w:p>
        </w:tc>
        <w:tc>
          <w:tcPr>
            <w:tcW w:w="2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6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common shares</w:t>
            </w:r>
          </w:p>
        </w:tc>
        <w:tc>
          <w:tcPr>
            <w:tcW w:w="1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13,620,196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10,228,296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13,597,243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9"/>
              </w:rPr>
              <w:t>10,227,240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160" w:type="dxa"/>
            <w:vAlign w:val="bottom"/>
          </w:tcPr>
          <w:p>
            <w:pPr>
              <w:ind w:left="20"/>
              <w:spacing w:after="0"/>
              <w:rPr>
                <w:sz w:val="20"/>
                <w:szCs w:val="20"/>
                <w:color w:val="auto"/>
              </w:rPr>
            </w:pPr>
            <w:r>
              <w:rPr>
                <w:rFonts w:ascii="Arial" w:cs="Arial" w:eastAsia="Arial" w:hAnsi="Arial"/>
                <w:sz w:val="18"/>
                <w:szCs w:val="18"/>
                <w:color w:val="auto"/>
              </w:rPr>
              <w:t>outstanding - basic and diluted</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Thousands, Except Share Amounts)</w:t>
      </w:r>
    </w:p>
    <w:p>
      <w:pPr>
        <w:spacing w:after="0" w:line="20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980" w:type="dxa"/>
            <w:vAlign w:val="bottom"/>
            <w:gridSpan w:val="3"/>
          </w:tcPr>
          <w:p>
            <w:pPr>
              <w:jc w:val="center"/>
              <w:ind w:left="466"/>
              <w:spacing w:after="0"/>
              <w:rPr>
                <w:sz w:val="20"/>
                <w:szCs w:val="20"/>
                <w:color w:val="auto"/>
              </w:rPr>
            </w:pPr>
            <w:r>
              <w:rPr>
                <w:rFonts w:ascii="Arial" w:cs="Arial" w:eastAsia="Arial" w:hAnsi="Arial"/>
                <w:sz w:val="11"/>
                <w:szCs w:val="11"/>
                <w:b w:val="1"/>
                <w:bCs w:val="1"/>
                <w:color w:val="auto"/>
                <w:w w:val="84"/>
              </w:rPr>
              <w:t>Class A</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center"/>
              <w:ind w:left="506"/>
              <w:spacing w:after="0"/>
              <w:rPr>
                <w:sz w:val="20"/>
                <w:szCs w:val="20"/>
                <w:color w:val="auto"/>
              </w:rPr>
            </w:pPr>
            <w:r>
              <w:rPr>
                <w:rFonts w:ascii="Arial" w:cs="Arial" w:eastAsia="Arial" w:hAnsi="Arial"/>
                <w:sz w:val="11"/>
                <w:szCs w:val="11"/>
                <w:b w:val="1"/>
                <w:bCs w:val="1"/>
                <w:color w:val="auto"/>
                <w:w w:val="84"/>
              </w:rPr>
              <w:t>Class B</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6"/>
              </w:rPr>
              <w:t>Common Stock</w:t>
            </w:r>
          </w:p>
        </w:tc>
        <w:tc>
          <w:tcPr>
            <w:tcW w:w="1580" w:type="dxa"/>
            <w:vAlign w:val="bottom"/>
            <w:gridSpan w:val="4"/>
          </w:tcPr>
          <w:p>
            <w:pPr>
              <w:jc w:val="center"/>
              <w:spacing w:after="0"/>
              <w:rPr>
                <w:sz w:val="20"/>
                <w:szCs w:val="20"/>
                <w:color w:val="auto"/>
              </w:rPr>
            </w:pPr>
            <w:r>
              <w:rPr>
                <w:rFonts w:ascii="Arial" w:cs="Arial" w:eastAsia="Arial" w:hAnsi="Arial"/>
                <w:sz w:val="11"/>
                <w:szCs w:val="11"/>
                <w:b w:val="1"/>
                <w:bCs w:val="1"/>
                <w:color w:val="auto"/>
                <w:w w:val="86"/>
              </w:rPr>
              <w:t>Common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2"/>
              </w:rPr>
              <w:t>Additional</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2"/>
              </w:rPr>
              <w:t>Paid-in</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81"/>
              </w:rPr>
              <w:t>Shares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7"/>
              </w:rPr>
              <w:t>Shares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w w:val="96"/>
              </w:rPr>
              <w:t>Amount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46"/>
              <w:spacing w:after="0"/>
              <w:rPr>
                <w:sz w:val="20"/>
                <w:szCs w:val="20"/>
                <w:color w:val="auto"/>
              </w:rPr>
            </w:pPr>
            <w:r>
              <w:rPr>
                <w:rFonts w:ascii="Arial" w:cs="Arial" w:eastAsia="Arial" w:hAnsi="Arial"/>
                <w:sz w:val="11"/>
                <w:szCs w:val="11"/>
                <w:b w:val="1"/>
                <w:bCs w:val="1"/>
                <w:color w:val="auto"/>
                <w:w w:val="92"/>
              </w:rPr>
              <w:t>Capital</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Deficit</w:t>
            </w:r>
          </w:p>
        </w:tc>
        <w:tc>
          <w:tcPr>
            <w:tcW w:w="2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Equity (Deficit)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2022</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9,306,738</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9</w:t>
            </w: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4,313,406</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119,786</w:t>
            </w: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(113,240)</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6,559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tcPr>
          <w:p>
            <w:pPr>
              <w:spacing w:after="0" w:line="122" w:lineRule="exact"/>
              <w:rPr>
                <w:sz w:val="20"/>
                <w:szCs w:val="20"/>
                <w:color w:val="auto"/>
              </w:rPr>
            </w:pPr>
            <w:r>
              <w:rPr>
                <w:rFonts w:ascii="Arial" w:cs="Arial" w:eastAsia="Arial" w:hAnsi="Arial"/>
                <w:sz w:val="11"/>
                <w:szCs w:val="11"/>
                <w:color w:val="auto"/>
              </w:rPr>
              <w:t>Proceeds from stock option exercises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1"/>
              </w:rPr>
              <w:t>Proceeds from sale of common stock through Employee Stock Purchase Plan</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100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1,470</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(9,398)</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(9,398)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0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June 30, 2022</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9,306,838</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9</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4,313,406</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121,256</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(122,638)</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5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Balance, March 31, 2021</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7,092,521</w:t>
            </w:r>
          </w:p>
        </w:tc>
        <w:tc>
          <w:tcPr>
            <w:tcW w:w="260" w:type="dxa"/>
            <w:vAlign w:val="bottom"/>
            <w:gridSpan w:val="2"/>
            <w:shd w:val="clear" w:color="auto" w:fill="CCEEFF"/>
          </w:tcPr>
          <w:p>
            <w:pPr>
              <w:jc w:val="right"/>
              <w:ind w:right="13"/>
              <w:spacing w:after="0" w:line="122" w:lineRule="exact"/>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b w:val="1"/>
                <w:bCs w:val="1"/>
                <w:color w:val="auto"/>
              </w:rPr>
              <w:t>7</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b w:val="1"/>
                <w:bCs w:val="1"/>
                <w:color w:val="auto"/>
              </w:rPr>
              <w:t>3,134,162</w:t>
            </w:r>
          </w:p>
        </w:tc>
        <w:tc>
          <w:tcPr>
            <w:tcW w:w="2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w:t>
            </w:r>
          </w:p>
        </w:tc>
        <w:tc>
          <w:tcPr>
            <w:tcW w:w="260" w:type="dxa"/>
            <w:vAlign w:val="bottom"/>
            <w:gridSpan w:val="2"/>
            <w:shd w:val="clear" w:color="auto" w:fill="CCEEFF"/>
          </w:tcPr>
          <w:p>
            <w:pPr>
              <w:jc w:val="right"/>
              <w:ind w:right="13"/>
              <w:spacing w:after="0" w:line="122" w:lineRule="exact"/>
              <w:rPr>
                <w:sz w:val="20"/>
                <w:szCs w:val="20"/>
                <w:color w:val="auto"/>
              </w:rPr>
            </w:pPr>
            <w:r>
              <w:rPr>
                <w:rFonts w:ascii="Arial" w:cs="Arial" w:eastAsia="Arial" w:hAnsi="Arial"/>
                <w:sz w:val="11"/>
                <w:szCs w:val="11"/>
                <w:b w:val="1"/>
                <w:bCs w:val="1"/>
                <w:color w:val="auto"/>
              </w:rPr>
              <w:t>$</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101,760</w:t>
            </w:r>
          </w:p>
        </w:tc>
        <w:tc>
          <w:tcPr>
            <w:tcW w:w="2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(85,326)</w:t>
            </w:r>
          </w:p>
        </w:tc>
        <w:tc>
          <w:tcPr>
            <w:tcW w:w="160" w:type="dxa"/>
            <w:vAlign w:val="bottom"/>
            <w:shd w:val="clear" w:color="auto" w:fill="CCEEFF"/>
          </w:tcPr>
          <w:p>
            <w:pPr>
              <w:spacing w:after="0"/>
              <w:rPr>
                <w:sz w:val="10"/>
                <w:szCs w:val="10"/>
                <w:color w:val="auto"/>
              </w:rPr>
            </w:pP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16,444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tcPr>
          <w:p>
            <w:pPr>
              <w:spacing w:after="0" w:line="122" w:lineRule="exact"/>
              <w:rPr>
                <w:sz w:val="20"/>
                <w:szCs w:val="20"/>
                <w:color w:val="auto"/>
              </w:rPr>
            </w:pPr>
            <w:r>
              <w:rPr>
                <w:rFonts w:ascii="Arial" w:cs="Arial" w:eastAsia="Arial" w:hAnsi="Arial"/>
                <w:sz w:val="11"/>
                <w:szCs w:val="11"/>
                <w:color w:val="auto"/>
              </w:rPr>
              <w:t>Proceeds from stock option exercises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2,744</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23</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885</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(2,385)</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(2,385)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0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June 30, 2021</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7,095,265</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7</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3,134,162</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102,668</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(87,711)</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14,967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80" w:type="dxa"/>
            <w:vAlign w:val="bottom"/>
            <w:gridSpan w:val="3"/>
          </w:tcPr>
          <w:p>
            <w:pPr>
              <w:jc w:val="center"/>
              <w:ind w:left="466"/>
              <w:spacing w:after="0"/>
              <w:rPr>
                <w:sz w:val="20"/>
                <w:szCs w:val="20"/>
                <w:color w:val="auto"/>
              </w:rPr>
            </w:pPr>
            <w:r>
              <w:rPr>
                <w:rFonts w:ascii="Arial" w:cs="Arial" w:eastAsia="Arial" w:hAnsi="Arial"/>
                <w:sz w:val="11"/>
                <w:szCs w:val="11"/>
                <w:b w:val="1"/>
                <w:bCs w:val="1"/>
                <w:color w:val="auto"/>
                <w:w w:val="84"/>
              </w:rPr>
              <w:t>Class A</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center"/>
              <w:ind w:left="506"/>
              <w:spacing w:after="0"/>
              <w:rPr>
                <w:sz w:val="20"/>
                <w:szCs w:val="20"/>
                <w:color w:val="auto"/>
              </w:rPr>
            </w:pPr>
            <w:r>
              <w:rPr>
                <w:rFonts w:ascii="Arial" w:cs="Arial" w:eastAsia="Arial" w:hAnsi="Arial"/>
                <w:sz w:val="11"/>
                <w:szCs w:val="11"/>
                <w:b w:val="1"/>
                <w:bCs w:val="1"/>
                <w:color w:val="auto"/>
                <w:w w:val="84"/>
              </w:rPr>
              <w:t>Class B</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6"/>
              </w:rPr>
              <w:t>Common Stock</w:t>
            </w:r>
          </w:p>
        </w:tc>
        <w:tc>
          <w:tcPr>
            <w:tcW w:w="1580" w:type="dxa"/>
            <w:vAlign w:val="bottom"/>
            <w:gridSpan w:val="4"/>
          </w:tcPr>
          <w:p>
            <w:pPr>
              <w:jc w:val="center"/>
              <w:spacing w:after="0"/>
              <w:rPr>
                <w:sz w:val="20"/>
                <w:szCs w:val="20"/>
                <w:color w:val="auto"/>
              </w:rPr>
            </w:pPr>
            <w:r>
              <w:rPr>
                <w:rFonts w:ascii="Arial" w:cs="Arial" w:eastAsia="Arial" w:hAnsi="Arial"/>
                <w:sz w:val="11"/>
                <w:szCs w:val="11"/>
                <w:b w:val="1"/>
                <w:bCs w:val="1"/>
                <w:color w:val="auto"/>
                <w:w w:val="86"/>
              </w:rPr>
              <w:t>Common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2"/>
              </w:rPr>
              <w:t>Additional</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2"/>
              </w:rPr>
              <w:t>Paid-in</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81"/>
              </w:rPr>
              <w:t>Shares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7"/>
              </w:rPr>
              <w:t>Shares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w w:val="96"/>
              </w:rPr>
              <w:t>Amount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46"/>
              <w:spacing w:after="0"/>
              <w:rPr>
                <w:sz w:val="20"/>
                <w:szCs w:val="20"/>
                <w:color w:val="auto"/>
              </w:rPr>
            </w:pPr>
            <w:r>
              <w:rPr>
                <w:rFonts w:ascii="Arial" w:cs="Arial" w:eastAsia="Arial" w:hAnsi="Arial"/>
                <w:sz w:val="11"/>
                <w:szCs w:val="11"/>
                <w:b w:val="1"/>
                <w:bCs w:val="1"/>
                <w:color w:val="auto"/>
                <w:w w:val="92"/>
              </w:rPr>
              <w:t>Capital</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Deficit</w:t>
            </w:r>
          </w:p>
        </w:tc>
        <w:tc>
          <w:tcPr>
            <w:tcW w:w="2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Equity (Deficit)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2021</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9,245,146</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9</w:t>
            </w: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4,313,406</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118,599</w:t>
            </w: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(105,091)</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13,521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tcPr>
          <w:p>
            <w:pPr>
              <w:spacing w:after="0" w:line="122" w:lineRule="exact"/>
              <w:rPr>
                <w:sz w:val="20"/>
                <w:szCs w:val="20"/>
                <w:color w:val="auto"/>
              </w:rPr>
            </w:pPr>
            <w:r>
              <w:rPr>
                <w:rFonts w:ascii="Arial" w:cs="Arial" w:eastAsia="Arial" w:hAnsi="Arial"/>
                <w:sz w:val="11"/>
                <w:szCs w:val="11"/>
                <w:color w:val="auto"/>
              </w:rPr>
              <w:t>Proceeds from stock option exercises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Additional issuance costs in connection with Private Placement</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00" w:type="dxa"/>
            <w:vAlign w:val="bottom"/>
          </w:tcPr>
          <w:p>
            <w:pPr>
              <w:spacing w:after="0" w:line="122" w:lineRule="exact"/>
              <w:rPr>
                <w:sz w:val="20"/>
                <w:szCs w:val="20"/>
                <w:color w:val="auto"/>
              </w:rPr>
            </w:pPr>
            <w:r>
              <w:rPr>
                <w:rFonts w:ascii="Arial" w:cs="Arial" w:eastAsia="Arial" w:hAnsi="Arial"/>
                <w:sz w:val="11"/>
                <w:szCs w:val="11"/>
                <w:color w:val="auto"/>
                <w:w w:val="91"/>
              </w:rPr>
              <w:t>Proceeds from sale of common stock through Employee Stock Purchase Plan</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42,345</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192</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19,347</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0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2,575</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2,575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(17,547)</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(17,547)</w:t>
            </w:r>
          </w:p>
        </w:tc>
        <w:tc>
          <w:tcPr>
            <w:tcW w:w="0" w:type="dxa"/>
            <w:vAlign w:val="bottom"/>
          </w:tcPr>
          <w:p>
            <w:pPr>
              <w:spacing w:after="0"/>
              <w:rPr>
                <w:sz w:val="1"/>
                <w:szCs w:val="1"/>
                <w:color w:val="auto"/>
              </w:rPr>
            </w:pPr>
          </w:p>
        </w:tc>
      </w:tr>
      <w:tr>
        <w:trPr>
          <w:trHeight w:val="155"/>
        </w:trPr>
        <w:tc>
          <w:tcPr>
            <w:tcW w:w="352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Balance, June 30, 2022</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9,306,838</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rPr>
              <w:t>9</w:t>
            </w:r>
          </w:p>
        </w:tc>
        <w:tc>
          <w:tcPr>
            <w:tcW w:w="16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rPr>
              <w:t>4,313,406</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121,256</w:t>
            </w:r>
          </w:p>
        </w:tc>
        <w:tc>
          <w:tcPr>
            <w:tcW w:w="1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(122,638)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(1,369)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500" w:type="dxa"/>
            <w:vAlign w:val="bottom"/>
          </w:tcPr>
          <w:p>
            <w:pPr>
              <w:spacing w:after="0" w:line="122" w:lineRule="exact"/>
              <w:rPr>
                <w:sz w:val="20"/>
                <w:szCs w:val="20"/>
                <w:color w:val="auto"/>
              </w:rPr>
            </w:pPr>
            <w:r>
              <w:rPr>
                <w:rFonts w:ascii="Arial" w:cs="Arial" w:eastAsia="Arial" w:hAnsi="Arial"/>
                <w:sz w:val="11"/>
                <w:szCs w:val="11"/>
                <w:b w:val="1"/>
                <w:bCs w:val="1"/>
                <w:color w:val="auto"/>
              </w:rPr>
              <w:t>Balance, December 31, 2020</w:t>
            </w: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7,091,960</w:t>
            </w:r>
          </w:p>
        </w:tc>
        <w:tc>
          <w:tcPr>
            <w:tcW w:w="260" w:type="dxa"/>
            <w:vAlign w:val="bottom"/>
            <w:gridSpan w:val="2"/>
          </w:tcPr>
          <w:p>
            <w:pPr>
              <w:jc w:val="right"/>
              <w:ind w:right="13"/>
              <w:spacing w:after="0" w:line="122" w:lineRule="exact"/>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rPr>
              <w:t>7</w:t>
            </w:r>
          </w:p>
        </w:tc>
        <w:tc>
          <w:tcPr>
            <w:tcW w:w="160" w:type="dxa"/>
            <w:vAlign w:val="bottom"/>
          </w:tcPr>
          <w:p>
            <w:pPr>
              <w:spacing w:after="0"/>
              <w:rPr>
                <w:sz w:val="10"/>
                <w:szCs w:val="10"/>
                <w:color w:val="auto"/>
              </w:rPr>
            </w:pP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rPr>
              <w:t>3,134,162</w:t>
            </w:r>
          </w:p>
        </w:tc>
        <w:tc>
          <w:tcPr>
            <w:tcW w:w="26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w:t>
            </w:r>
          </w:p>
        </w:tc>
        <w:tc>
          <w:tcPr>
            <w:tcW w:w="260" w:type="dxa"/>
            <w:vAlign w:val="bottom"/>
            <w:gridSpan w:val="2"/>
          </w:tcPr>
          <w:p>
            <w:pPr>
              <w:jc w:val="right"/>
              <w:ind w:right="13"/>
              <w:spacing w:after="0" w:line="122" w:lineRule="exact"/>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101,080</w:t>
            </w:r>
          </w:p>
        </w:tc>
        <w:tc>
          <w:tcPr>
            <w:tcW w:w="24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7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(80,259)</w:t>
            </w:r>
          </w:p>
        </w:tc>
        <w:tc>
          <w:tcPr>
            <w:tcW w:w="160" w:type="dxa"/>
            <w:vAlign w:val="bottom"/>
          </w:tcPr>
          <w:p>
            <w:pPr>
              <w:spacing w:after="0"/>
              <w:rPr>
                <w:sz w:val="10"/>
                <w:szCs w:val="10"/>
                <w:color w:val="auto"/>
              </w:rPr>
            </w:pPr>
          </w:p>
        </w:tc>
        <w:tc>
          <w:tcPr>
            <w:tcW w:w="60" w:type="dxa"/>
            <w:vAlign w:val="bottom"/>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20,831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Proceeds from stock option exercises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3,305</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0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1,562</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1,562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(7,452)</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(7,452)</w:t>
            </w:r>
          </w:p>
        </w:tc>
        <w:tc>
          <w:tcPr>
            <w:tcW w:w="0" w:type="dxa"/>
            <w:vAlign w:val="bottom"/>
          </w:tcPr>
          <w:p>
            <w:pPr>
              <w:spacing w:after="0"/>
              <w:rPr>
                <w:sz w:val="1"/>
                <w:szCs w:val="1"/>
                <w:color w:val="auto"/>
              </w:rPr>
            </w:pPr>
          </w:p>
        </w:tc>
      </w:tr>
      <w:tr>
        <w:trPr>
          <w:trHeight w:val="115"/>
        </w:trPr>
        <w:tc>
          <w:tcPr>
            <w:tcW w:w="352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Balance, June 30, 2021</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7,095,265</w:t>
            </w:r>
          </w:p>
        </w:tc>
        <w:tc>
          <w:tcPr>
            <w:tcW w:w="1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rPr>
              <w:t>7</w:t>
            </w:r>
          </w:p>
        </w:tc>
        <w:tc>
          <w:tcPr>
            <w:tcW w:w="16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rPr>
              <w:t>3,134,162</w:t>
            </w: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102,668</w:t>
            </w:r>
          </w:p>
        </w:tc>
        <w:tc>
          <w:tcPr>
            <w:tcW w:w="1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(87,711)</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14,967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560"/>
          </w:cols>
          <w:pgMar w:left="1220" w:top="517" w:right="111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Six Months Ended</w:t>
      </w:r>
    </w:p>
    <w:p>
      <w:pPr>
        <w:ind w:left="70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80"/>
              <w:spacing w:after="0"/>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(17,547)</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Gain on forgiveness of debt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00"/>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7"/>
              </w:rPr>
              <w:t>Interest expense recorded as additional revenue interest obligation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0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0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00"/>
              <w:spacing w:after="0"/>
              <w:rPr>
                <w:sz w:val="20"/>
                <w:szCs w:val="20"/>
                <w:color w:val="auto"/>
              </w:rPr>
            </w:pPr>
            <w:r>
              <w:rPr>
                <w:rFonts w:ascii="Arial" w:cs="Arial" w:eastAsia="Arial" w:hAnsi="Arial"/>
                <w:sz w:val="18"/>
                <w:szCs w:val="18"/>
                <w:color w:val="auto"/>
              </w:rPr>
              <w:t>Obligations to tissue suppliers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 and other liabilities</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(10,674)</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issuance costs in connection with Private Placement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80"/>
              <w:spacing w:after="0"/>
              <w:rPr>
                <w:sz w:val="20"/>
                <w:szCs w:val="20"/>
                <w:color w:val="auto"/>
              </w:rPr>
            </w:pPr>
            <w:r>
              <w:rPr>
                <w:rFonts w:ascii="Arial" w:cs="Arial" w:eastAsia="Arial" w:hAnsi="Arial"/>
                <w:sz w:val="18"/>
                <w:szCs w:val="18"/>
                <w:color w:val="auto"/>
              </w:rPr>
              <w:t>Net borrowings (repayments) under revolving line of credit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stock option exercises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80"/>
              <w:spacing w:after="0"/>
              <w:rPr>
                <w:sz w:val="20"/>
                <w:szCs w:val="20"/>
                <w:color w:val="auto"/>
              </w:rPr>
            </w:pPr>
            <w:r>
              <w:rPr>
                <w:rFonts w:ascii="Arial" w:cs="Arial" w:eastAsia="Arial" w:hAnsi="Arial"/>
                <w:sz w:val="18"/>
                <w:szCs w:val="18"/>
                <w:color w:val="auto"/>
              </w:rPr>
              <w:t>Repayments of long-term debt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 on revenue interest obligation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Pr>
          <w:p>
            <w:pPr>
              <w:ind w:left="80"/>
              <w:spacing w:after="0" w:line="201" w:lineRule="exact"/>
              <w:rPr>
                <w:sz w:val="20"/>
                <w:szCs w:val="20"/>
                <w:color w:val="auto"/>
              </w:rPr>
            </w:pPr>
            <w:r>
              <w:rPr>
                <w:rFonts w:ascii="Arial" w:cs="Arial" w:eastAsia="Arial" w:hAnsi="Arial"/>
                <w:sz w:val="18"/>
                <w:szCs w:val="18"/>
                <w:color w:val="auto"/>
                <w:w w:val="92"/>
              </w:rPr>
              <w:t>Proceeds from sales of common stock through Employee Stock Purchase</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Plan</w:t>
            </w:r>
          </w:p>
        </w:tc>
        <w:tc>
          <w:tcPr>
            <w:tcW w:w="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(2,954)</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restricted cash</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(13,917)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restricted cash, beginning of period</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30,428</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39,532</w:t>
            </w:r>
          </w:p>
        </w:tc>
        <w:tc>
          <w:tcPr>
            <w:tcW w:w="0" w:type="dxa"/>
            <w:vAlign w:val="bottom"/>
          </w:tcPr>
          <w:p>
            <w:pPr>
              <w:spacing w:after="0"/>
              <w:rPr>
                <w:sz w:val="1"/>
                <w:szCs w:val="1"/>
                <w:color w:val="auto"/>
              </w:rPr>
            </w:pPr>
          </w:p>
        </w:tc>
      </w:tr>
      <w:tr>
        <w:trPr>
          <w:trHeight w:val="249"/>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Cash and restricted cash, end of period</w:t>
            </w:r>
          </w:p>
        </w:tc>
        <w:tc>
          <w:tcPr>
            <w:tcW w:w="180" w:type="dxa"/>
            <w:vAlign w:val="bottom"/>
          </w:tcPr>
          <w:p>
            <w:pPr>
              <w:spacing w:after="0"/>
              <w:rPr>
                <w:sz w:val="21"/>
                <w:szCs w:val="21"/>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16,511</w:t>
            </w:r>
          </w:p>
        </w:tc>
        <w:tc>
          <w:tcPr>
            <w:tcW w:w="26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28,368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520" w:type="dxa"/>
            <w:vAlign w:val="bottom"/>
          </w:tcPr>
          <w:p>
            <w:pPr>
              <w:spacing w:after="0" w:line="198" w:lineRule="exact"/>
              <w:rPr>
                <w:sz w:val="20"/>
                <w:szCs w:val="20"/>
                <w:color w:val="auto"/>
              </w:rPr>
            </w:pPr>
            <w:r>
              <w:rPr>
                <w:rFonts w:ascii="Arial" w:cs="Arial" w:eastAsia="Arial" w:hAnsi="Arial"/>
                <w:sz w:val="18"/>
                <w:szCs w:val="18"/>
                <w:b w:val="1"/>
                <w:bCs w:val="1"/>
                <w:color w:val="auto"/>
              </w:rPr>
              <w:t>Supplemental Cash Flow and Non-Cash Financing Activities</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Disclosures: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5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6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Forgiveness of SBA PPP loan</w:t>
            </w:r>
          </w:p>
        </w:tc>
        <w:tc>
          <w:tcPr>
            <w:tcW w:w="5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-1568450</wp:posOffset>
            </wp:positionV>
            <wp:extent cx="34544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Aziyo Biologics, Inc. (together with its consolidated subsidiaries, "Aziyo” or the “Company”) is a regenerative medicine company, with a focus on patients receiving implantable medical devices. The Company has developed a portfolio of regenerative products using both human and porcine tissue that are designed to be as close to natural biological material as possible. Aziyo’s portfolio of core products spans the implantable electronic devices/cardiovascular-related market, the orthopedic/spinal repair market and the soft tissue reconstruction market (“Core Products”). These products are primarily sold to healthcare providers or commercial partners. The Company also sells human tissue products under contract manufacturing and certain other arrangements (“Non-Core Products”) with corporate customers.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unaudited condensed consolidated financial statements have been prepared in accordance with accounting principles generally accepted in the United States of America (“GAAP”) for interim financial information and the instructions to Form 10-Q and Article 10 of Regulation S-X. Accordingly, they do not include all the information and footnotes required by GAAP for complete financial statements and should be read in conjunction with the Company’s consolidated financial statements and accompanying notes included in the Company's annual report on Form 10-K (“Annual Report”) for the fiscal year ended December 31, 2021. The financial information as of June 30, 2022 and for the three and six months ended June 30, 2022 and 2021 is unaudited, but in the opinion of management, all adjustments considered necessary for a fair statement of the results for these interim periods have been included. The condensed consolidated balance sheet data as of December 31, 2021 was derived from audited financial statements but does not include all disclosures required by GAAP. The results of the Company’s operations for any interim period are not necessarily indicative of the results that may be expected for any other interim period or any future year or period.</w:t>
      </w:r>
    </w:p>
    <w:p>
      <w:pPr>
        <w:spacing w:after="0" w:line="17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Intercompany accounts and transactions have been eliminated in consolidation.</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 xml:space="preserve">In accordance with Accounting Standards Update (“ASU”) 2014-15, </w:t>
      </w:r>
      <w:r>
        <w:rPr>
          <w:rFonts w:ascii="Arial" w:cs="Arial" w:eastAsia="Arial" w:hAnsi="Arial"/>
          <w:sz w:val="17"/>
          <w:szCs w:val="17"/>
          <w:i w:val="1"/>
          <w:iCs w:val="1"/>
          <w:color w:val="auto"/>
        </w:rPr>
        <w:t>Disclosure of Uncertainties about an Entity’s</w:t>
      </w:r>
      <w:r>
        <w:rPr>
          <w:rFonts w:ascii="Arial" w:cs="Arial" w:eastAsia="Arial" w:hAnsi="Arial"/>
          <w:sz w:val="17"/>
          <w:szCs w:val="17"/>
          <w:color w:val="auto"/>
        </w:rPr>
        <w:t xml:space="preserve"> </w:t>
      </w:r>
      <w:r>
        <w:rPr>
          <w:rFonts w:ascii="Arial" w:cs="Arial" w:eastAsia="Arial" w:hAnsi="Arial"/>
          <w:sz w:val="17"/>
          <w:szCs w:val="17"/>
          <w:i w:val="1"/>
          <w:iCs w:val="1"/>
          <w:color w:val="auto"/>
        </w:rPr>
        <w:t>Ability to Continue as a Going Concern (Subtopic 205-40)</w:t>
      </w:r>
      <w:r>
        <w:rPr>
          <w:rFonts w:ascii="Arial" w:cs="Arial" w:eastAsia="Arial" w:hAnsi="Arial"/>
          <w:sz w:val="17"/>
          <w:szCs w:val="17"/>
          <w:color w:val="auto"/>
        </w:rPr>
        <w:t>, the Company has evaluated whether there are conditions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events, considered in the aggregate, that raise substantial doubt about the Company’s ability to continue as a going concern within one year after the date that the consolidated financial statements are issued. For the six months ended June 30, 2022, the Company incurred a net loss of $17.5 million, and as of June 30, 2022, the Company had an accumulated deficit of $122.6 million. In addition, during the six months ended June 30, 2022, the Company used $10.7 million and $3.0 million of cash in operating and financing activities, respectively, and expects to continue to incur cash outflows for the remainder of the year. Because of the numerous risks and uncertainties associated with the Company’s commercialization and development efforts, the Company is unable to predict when it will become profitable, and it may never become profitable. The Company’s inability to achieve and then maintain profitability would negatively affect its business, financial condition, results of operations and cash flows.</w:t>
      </w:r>
    </w:p>
    <w:p>
      <w:pPr>
        <w:spacing w:after="0" w:line="18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order to mitigate the current and potential future liquidity issues caused by the matters noted above, the Company may seek to raise capital through the issuance of common stock, either refinance or restructure its Term Loan Facility and Revolving Credit Facility (as such terms are defined, and further described, in Note 6), restructure its Revenue Interest Obligation (as such term is defined, and further described, in Note 7), or pursue asset sale transactions. However, such transactions may not be successful and the Company may not be able to raise additional equity, refinance or restructure its debt instruments or Revenue Interest Obligation, or sell assets on acceptable terms, or at all. As such, based on its current operating plans, even after the recent debt refinancing described in Note 12, the Company believes there is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uncertainty as to whether its future cash flows along with its existing cash, availability under the SWK Loan Facility (described in Note 12) and cash generated from expected future sales will be sufficient to meet the Company’s anticipated operating needs through twelve months from the financial statement issuance date. Due to these factors, there is substantial doubt about the Company’s ability to continue as a going concern within one year after the issuance of the financial statements.</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accompanying condensed consolidated financial statements do not include any adjustments that might result from the outcome of this uncertainty. That is, the accompanying financial statements have been prepared assuming that the Company will continue as a going concern, which contemplates continuity of operations, realization of assets, and satisfaction of liabilities in the ordinary course of business.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Estimates and assumptions relating to inventory, receivables, long-lived assets, the valuation of stock-based awards, the valuation of the Revenue Interest Obligation and deferred income taxes are made at the end of each financial reporting period by management. Management continually re-evaluates its estimates, judgments and assumptions, and management's evaluation could change. Actual results could differ from those estimates.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continues to closely monitor the impact of the COVID-19 pandemic and its variants on its business. In March 2020, the World Health Organization declared COVID-19 a global pandemic and recommended various containment and mitigation measures worldwide. Since that time, the number of procedures performed using the Company's products has intermittently decreased,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the Company's products have intermittently been postponed or cancelled, which has negatively impacted sales of its products. These measures and challenges will likely continue for the duration of the pandemic, which is uncertain, and may reduce the Company's net sales in the future and negatively impact its business, financial condition and results of operations while the pandemic continues.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common stock has a dual class structure, consisting of Class A common stock and Class B common stock. Other than voting rights, the Class B common stock has the same rights as the Class A common stock, and therefore both are treated as the same class of stock for purposes of the earnings per share calculation. Basic net loss per share attributable to common stockholders is calculated by dividing the net loss attributable to common stockholders by the weighted-average shares outstanding during the period. For purposes of the diluted net income (loss) per share attributable to common stockholders calculation, stock options and restricted stock units are considered to be common stock equivalents. All common stock equivalents have been excluded from the calculation of diluted net loss per share attributable to common stockholders, as their effect would be anti-dilutive for all periods presented. Therefore, basic and diluted net loss per share were the same for both periods presented.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Valuations based on quoted prices for identical assets and liabilities in active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firstLine="648"/>
        <w:spacing w:after="0" w:line="289" w:lineRule="auto"/>
        <w:rPr>
          <w:sz w:val="20"/>
          <w:szCs w:val="20"/>
          <w:color w:val="auto"/>
        </w:rPr>
      </w:pPr>
      <w:r>
        <w:rPr>
          <w:rFonts w:ascii="Arial" w:cs="Arial" w:eastAsia="Arial" w:hAnsi="Arial"/>
          <w:sz w:val="17"/>
          <w:szCs w:val="17"/>
          <w:b w:val="1"/>
          <w:bCs w:val="1"/>
          <w:color w:val="auto"/>
        </w:rPr>
        <w:t xml:space="preserve">Level 2 - </w:t>
      </w:r>
      <w:r>
        <w:rPr>
          <w:rFonts w:ascii="Arial" w:cs="Arial" w:eastAsia="Arial" w:hAnsi="Arial"/>
          <w:sz w:val="17"/>
          <w:szCs w:val="17"/>
          <w:color w:val="auto"/>
        </w:rPr>
        <w:t>Valuations based on observable inputs other than quoted prices included in Level 1, such as quoted</w:t>
      </w:r>
      <w:r>
        <w:rPr>
          <w:rFonts w:ascii="Arial" w:cs="Arial" w:eastAsia="Arial" w:hAnsi="Arial"/>
          <w:sz w:val="17"/>
          <w:szCs w:val="17"/>
          <w:b w:val="1"/>
          <w:bCs w:val="1"/>
          <w:color w:val="auto"/>
        </w:rPr>
        <w:t xml:space="preserve"> </w:t>
      </w:r>
      <w:r>
        <w:rPr>
          <w:rFonts w:ascii="Arial" w:cs="Arial" w:eastAsia="Arial" w:hAnsi="Arial"/>
          <w:sz w:val="17"/>
          <w:szCs w:val="17"/>
          <w:color w:val="auto"/>
        </w:rPr>
        <w:t>prices for similar assets and liabilities in active markets, quoted prices for identical or similar assets and liabilities in markets that are not active, or other inputs that are observable or can be corroborated by observable market data.</w:t>
      </w:r>
    </w:p>
    <w:p>
      <w:pPr>
        <w:spacing w:after="0" w:line="158" w:lineRule="exact"/>
        <w:rPr>
          <w:sz w:val="20"/>
          <w:szCs w:val="20"/>
          <w:color w:val="auto"/>
        </w:rPr>
      </w:pPr>
    </w:p>
    <w:p>
      <w:pPr>
        <w:jc w:val="both"/>
        <w:ind w:left="60" w:right="59" w:firstLine="648"/>
        <w:spacing w:after="0" w:line="347" w:lineRule="auto"/>
        <w:rPr>
          <w:sz w:val="20"/>
          <w:szCs w:val="20"/>
          <w:color w:val="auto"/>
        </w:rPr>
      </w:pPr>
      <w:r>
        <w:rPr>
          <w:rFonts w:ascii="Arial" w:cs="Arial" w:eastAsia="Arial" w:hAnsi="Arial"/>
          <w:sz w:val="16"/>
          <w:szCs w:val="16"/>
          <w:b w:val="1"/>
          <w:bCs w:val="1"/>
          <w:color w:val="auto"/>
        </w:rPr>
        <w:t xml:space="preserve">Level 3 - </w:t>
      </w:r>
      <w:r>
        <w:rPr>
          <w:rFonts w:ascii="Arial" w:cs="Arial" w:eastAsia="Arial" w:hAnsi="Arial"/>
          <w:sz w:val="16"/>
          <w:szCs w:val="16"/>
          <w:color w:val="auto"/>
        </w:rPr>
        <w:t>Valuations based on unobservable inputs reflecting the Company’s own assumptions,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available assumptions made by other market participants. These valuations require significant judgment.</w:t>
      </w:r>
    </w:p>
    <w:p>
      <w:pPr>
        <w:spacing w:after="0" w:line="12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estimated fair value of financial instruments disclosed in the financial statements has been determined by using available market information and appropriate valuation methodologies. The carrying value of all current assets and current liabilities approximates fair value because of their short-term nature.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maintains its cash balances at banks and financial institutions. The balances are insured up to the legal limit. The Company maintains cash balances that may, at times, exceed this insured limit.</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Under the provisions of the Revolving Credit Facility (see Note 6), the Company has a lockbox arrangement with the banking institution whereby daily lockbox receipts are contractually utilized to pay down outstanding balances on the Revolving Credit Facility debt. Lockbox receipts that have not yet been applied to the Revolving Credit Facility are classified as restricted cash in the accompanying condensed consolidated balance sheets. The following table provides a reconciliation of cash and restricted cash included in the condensed consolidated balance sheets to the amounts included in the statements of cash flows (in thousands).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28,302</w:t>
            </w: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cash and restricted cash shown in statements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16,511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28,368</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Accounts receivable in the accompanying balance sheets are presented net of allowances for doubtful accounts and other credits. The Company grants credit to customers in the normal course of business, but generally does not require collateral or any other security to support its receivables.</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evaluates the collectability of accounts receivable based on a combination of factors. In circumstances where a specific customer is unable to meet its financial obligations to the Company, a provision to the allowance for doubtful accounts is recorded to reduce the net recognized receivable to the amount that is reasonably expected to be collected. For all other customers, a provision to the allowance for doubtful accounts is recorded based on factors including the length of time the receivables are past due, the current business environment and the Company’s historical experience. Provisions to the allowance for doubtful accounts are recorded to general and administrative expenses. Account balances are charged off against the allowance when it is probable that the receivable will not be recovered.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Inventory, consisting of purchased materials, direct labor and manufacturing overhead, is stated at the lower of cost or net realizable value, with cost determined generally using the average cost method. Inventory write-downs for unprocessed and certain processed donor tissue are recorded based on the estimated amount of inventory that will not pass the quality control process based on historical data. At each balance sheet date, the Company also evaluates inventory for excess quantities, obsolescence or shelf life expiration. This evaluation includes analysis of the Company’s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that is too near its expiration for the Company to reasonably expect that it can sell those products prior to their expiration, the Company adjusts the carrying value to estimated net realizable value.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the straight-line method over the following estimated useful lives of the assets: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research equipment</w:t>
            </w:r>
          </w:p>
        </w:tc>
        <w:tc>
          <w:tcPr>
            <w:tcW w:w="276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90"/>
              </w:rPr>
              <w:t>5 to 10 years</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2760" w:type="dxa"/>
            <w:vAlign w:val="bottom"/>
          </w:tcPr>
          <w:p>
            <w:pPr>
              <w:jc w:val="center"/>
              <w:ind w:left="1710"/>
              <w:spacing w:after="0"/>
              <w:rPr>
                <w:sz w:val="20"/>
                <w:szCs w:val="20"/>
                <w:color w:val="auto"/>
              </w:rPr>
            </w:pPr>
            <w:r>
              <w:rPr>
                <w:rFonts w:ascii="Arial" w:cs="Arial" w:eastAsia="Arial" w:hAnsi="Arial"/>
                <w:sz w:val="18"/>
                <w:szCs w:val="18"/>
                <w:color w:val="auto"/>
                <w:w w:val="89"/>
              </w:rPr>
              <w:t>3 to 5 years</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76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84"/>
              </w:rPr>
              <w:t>3 years</w:t>
            </w: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Leasehold improvements are amortized on the straight-line method over the shorter of the lease term or the estimated useful life of the asset.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Repairs and maintenance costs are expensed as incurred.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Purchased intangible assets with finite lives are carried at acquired fair value, less accumulated amortization.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is computed over the estimated useful lives of the respective assets.</w:t>
      </w:r>
    </w:p>
    <w:p>
      <w:pPr>
        <w:spacing w:after="0" w:line="211"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Company periodically evaluates the period of depreciation or amortization for long-lived assets to determine whether current circumstances warrant revised estimates of useful lives. The Company reviews its property and equipment and intangible assets for impairment whenever events or changes in circumstances indicate the carrying value of an asset may not be recoverable. Impairment exists when the carrying value of the company’s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 There were no impairment losses for the three and six months ended June 30, 2022 or 2021.</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Company’s revenue is generated from contracts with customers in accordance with Financial Accounting Standards Board (“FASB”) Accounting Standards Codification (“ASC”) 606. The core principle of ASC 606 is that the Company recognizes revenue to depict the transfer of promised goods or services to customers in an amount that reflects the consideration to which the Company expects to be entitled in exchange for those goods or services. The ASC 606 revenue recognition model consists of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9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As noted above, the Company enters into contracts to primarily sell and distribute products to healthcare providers or commercial partners, or are produced and sold under contract manufacturing arrangements with corporate customers which are billed under ship and bill contract terms. Revenue is recognized when the Company has met its performance obligations pursuant to its contracts with its customers in an amount that the Company expects to be entitled to in exchange for the transfer of control of the products to the Company’s customers. For all product sales, the Company has no further performance obligations and revenue is recognized at the point control transfers which occurs either when: (i) the product is shipped via common carrier; or (ii) the product is delivered to the customer or distributor, in accordance with the terms of the agreement.</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from inventory physically held by direct sales representatives. For these types of product sales, the Company retains control until the product has been used or implanted, at which time revenue is recognized.</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the Company are included in sales and marketing costs.</w:t>
      </w:r>
    </w:p>
    <w:p>
      <w:pPr>
        <w:spacing w:after="0" w:line="17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Contracts with customers state the final terms of the sale, including the description, quantity, and price of each implant distributed. The payment terms and conditions in the Company’s contracts vary; however, as a common business practice, payment terms are typically due in full within 30 to 60 days of delivery. The Company, at times, extends volume discounts to customers.</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permits returns of its products in accordance with the terms of contractual agreements with customers. Allowances for returns are provided based upon analysis of the Company’s historical patterns of returns matched against the revenues from which they originated. The Company records estimated returns as a reduction of revenue in the same period revenue is recognized.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recognizes rent expense by the straight-line method over the lease term. Funds received from the lessor used to reimburse the Company for the cost of leasehold improvements are recorded as a deferred credit resulting from a lease incentive and are amortized over the lease term as a reduction of rent expense.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 xml:space="preserve">The Company accounts for its stock-based compensation plans in accordance with FASB ASC 718,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for Stock Compensation</w:t>
      </w:r>
      <w:r>
        <w:rPr>
          <w:rFonts w:ascii="Arial" w:cs="Arial" w:eastAsia="Arial" w:hAnsi="Arial"/>
          <w:sz w:val="17"/>
          <w:szCs w:val="17"/>
          <w:color w:val="auto"/>
        </w:rPr>
        <w:t>. FASB ASC 718 requires the measurement and recognition of compensation expense for all stock-based awards made to employees and directors, including employee stock options and restricted stock. Stock-based compensation cost is measured at the grant date, based on the calculated fair value of the award, and is recognized as an expense on a straight-line basis over the requisite service period of the entire award.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Research and development costs, which include mainly salaries, outside services and supplies, are expensed 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incurred.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At June 30, 2022, the Company maintained $16.7 million in bank deposit accounts that are in excess of the $0.25 million insurance provided by the Federal Deposit Insurance Corporation in one federally insured financial institution. The Company has not experienced any losses in such accounts.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sells certain of its products under large contract manufacturing or distribution arrangements. The following table presents percentage of total revenues derived from the Company’s largest customers as well as their respective percentage of total accounts receivable:</w:t>
      </w:r>
    </w:p>
    <w:p>
      <w:pPr>
        <w:spacing w:after="0" w:line="14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380" w:type="dxa"/>
            <w:vAlign w:val="bottom"/>
            <w:gridSpan w:val="13"/>
          </w:tcPr>
          <w:p>
            <w:pPr>
              <w:ind w:left="500"/>
              <w:spacing w:after="0"/>
              <w:rPr>
                <w:sz w:val="20"/>
                <w:szCs w:val="20"/>
                <w:color w:val="auto"/>
              </w:rPr>
            </w:pPr>
            <w:r>
              <w:rPr>
                <w:rFonts w:ascii="Arial" w:cs="Arial" w:eastAsia="Arial" w:hAnsi="Arial"/>
                <w:sz w:val="14"/>
                <w:szCs w:val="14"/>
                <w:b w:val="1"/>
                <w:bCs w:val="1"/>
                <w:color w:val="auto"/>
              </w:rPr>
              <w:t>Three Months Ended   Six Months Ended</w:t>
            </w: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gridSpan w:val="6"/>
          </w:tcPr>
          <w:p>
            <w:pPr>
              <w:ind w:left="3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140" w:type="dxa"/>
            <w:vAlign w:val="bottom"/>
            <w:gridSpan w:val="5"/>
          </w:tcPr>
          <w:p>
            <w:pPr>
              <w:ind w:left="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2022</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3"/>
          </w:tcPr>
          <w:p>
            <w:pPr>
              <w:jc w:val="center"/>
              <w:ind w:right="48"/>
              <w:spacing w:after="0" w:line="142" w:lineRule="exact"/>
              <w:rPr>
                <w:sz w:val="20"/>
                <w:szCs w:val="20"/>
                <w:color w:val="auto"/>
              </w:rPr>
            </w:pPr>
            <w:r>
              <w:rPr>
                <w:rFonts w:ascii="Arial" w:cs="Arial" w:eastAsia="Arial" w:hAnsi="Arial"/>
                <w:sz w:val="14"/>
                <w:szCs w:val="14"/>
                <w:b w:val="1"/>
                <w:bCs w:val="1"/>
                <w:color w:val="auto"/>
                <w:w w:val="89"/>
              </w:rPr>
              <w:t>2022</w:t>
            </w:r>
          </w:p>
        </w:tc>
        <w:tc>
          <w:tcPr>
            <w:tcW w:w="740" w:type="dxa"/>
            <w:vAlign w:val="bottom"/>
            <w:tcBorders>
              <w:top w:val="single" w:sz="8" w:color="auto"/>
            </w:tcBorders>
            <w:gridSpan w:val="2"/>
          </w:tcPr>
          <w:p>
            <w:pPr>
              <w:jc w:val="center"/>
              <w:ind w:left="15"/>
              <w:spacing w:after="0" w:line="142"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 of revenues derived from:</w:t>
            </w: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ACE Surgical Supply</w:t>
            </w:r>
          </w:p>
        </w:tc>
        <w:tc>
          <w:tcPr>
            <w:tcW w:w="1100" w:type="dxa"/>
            <w:vAlign w:val="bottom"/>
            <w:gridSpan w:val="2"/>
          </w:tcPr>
          <w:p>
            <w:pPr>
              <w:jc w:val="center"/>
              <w:ind w:left="395"/>
              <w:spacing w:after="0"/>
              <w:rPr>
                <w:sz w:val="20"/>
                <w:szCs w:val="20"/>
                <w:color w:val="auto"/>
              </w:rPr>
            </w:pPr>
            <w:r>
              <w:rPr>
                <w:rFonts w:ascii="Arial" w:cs="Arial" w:eastAsia="Arial" w:hAnsi="Arial"/>
                <w:sz w:val="18"/>
                <w:szCs w:val="18"/>
                <w:color w:val="auto"/>
                <w:w w:val="94"/>
              </w:rPr>
              <w:t>11%</w:t>
            </w:r>
          </w:p>
        </w:tc>
        <w:tc>
          <w:tcPr>
            <w:tcW w:w="12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center"/>
              <w:ind w:right="48"/>
              <w:spacing w:after="0"/>
              <w:rPr>
                <w:sz w:val="20"/>
                <w:szCs w:val="20"/>
                <w:color w:val="auto"/>
              </w:rPr>
            </w:pPr>
            <w:r>
              <w:rPr>
                <w:rFonts w:ascii="Arial" w:cs="Arial" w:eastAsia="Arial" w:hAnsi="Arial"/>
                <w:sz w:val="18"/>
                <w:szCs w:val="18"/>
                <w:color w:val="auto"/>
                <w:w w:val="88"/>
              </w:rPr>
              <w:t>10%</w:t>
            </w:r>
          </w:p>
        </w:tc>
        <w:tc>
          <w:tcPr>
            <w:tcW w:w="740" w:type="dxa"/>
            <w:vAlign w:val="bottom"/>
            <w:gridSpan w:val="2"/>
          </w:tcPr>
          <w:p>
            <w:pPr>
              <w:jc w:val="center"/>
              <w:ind w:left="15"/>
              <w:spacing w:after="0"/>
              <w:rPr>
                <w:sz w:val="20"/>
                <w:szCs w:val="20"/>
                <w:color w:val="auto"/>
              </w:rPr>
            </w:pPr>
            <w:r>
              <w:rPr>
                <w:rFonts w:ascii="Arial" w:cs="Arial" w:eastAsia="Arial" w:hAnsi="Arial"/>
                <w:sz w:val="18"/>
                <w:szCs w:val="18"/>
                <w:color w:val="auto"/>
                <w:w w:val="92"/>
              </w:rPr>
              <w:t>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Surgalign Holdings</w:t>
            </w:r>
          </w:p>
        </w:tc>
        <w:tc>
          <w:tcPr>
            <w:tcW w:w="1100" w:type="dxa"/>
            <w:vAlign w:val="bottom"/>
            <w:gridSpan w:val="2"/>
            <w:shd w:val="clear" w:color="auto" w:fill="CCEEFF"/>
          </w:tcPr>
          <w:p>
            <w:pPr>
              <w:jc w:val="center"/>
              <w:ind w:left="395"/>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center"/>
              <w:ind w:right="48"/>
              <w:spacing w:after="0"/>
              <w:rPr>
                <w:sz w:val="20"/>
                <w:szCs w:val="20"/>
                <w:color w:val="auto"/>
              </w:rPr>
            </w:pPr>
            <w:r>
              <w:rPr>
                <w:rFonts w:ascii="Arial" w:cs="Arial" w:eastAsia="Arial" w:hAnsi="Arial"/>
                <w:sz w:val="18"/>
                <w:szCs w:val="18"/>
                <w:color w:val="auto"/>
                <w:w w:val="88"/>
              </w:rPr>
              <w:t>10%</w:t>
            </w:r>
          </w:p>
        </w:tc>
        <w:tc>
          <w:tcPr>
            <w:tcW w:w="74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88"/>
              </w:rPr>
              <w:t>11%</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Medtronic Sofamor Danek USA</w:t>
            </w:r>
          </w:p>
        </w:tc>
        <w:tc>
          <w:tcPr>
            <w:tcW w:w="1100" w:type="dxa"/>
            <w:vAlign w:val="bottom"/>
            <w:gridSpan w:val="2"/>
          </w:tcPr>
          <w:p>
            <w:pPr>
              <w:jc w:val="center"/>
              <w:ind w:left="39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88"/>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740" w:type="dxa"/>
            <w:vAlign w:val="bottom"/>
            <w:gridSpan w:val="2"/>
          </w:tcPr>
          <w:p>
            <w:pPr>
              <w:jc w:val="center"/>
              <w:ind w:left="15"/>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0"/>
                <w:szCs w:val="20"/>
                <w:color w:val="auto"/>
              </w:rPr>
            </w:pPr>
          </w:p>
        </w:tc>
      </w:tr>
      <w:tr>
        <w:trPr>
          <w:trHeight w:val="341"/>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3"/>
          </w:tcPr>
          <w:p>
            <w:pPr>
              <w:ind w:left="18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center"/>
              <w:ind w:left="235"/>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 of accounts receivable derived from:</w:t>
            </w: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ACE Surgical Supply</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center"/>
              <w:ind w:left="335"/>
              <w:spacing w:after="0"/>
              <w:rPr>
                <w:sz w:val="20"/>
                <w:szCs w:val="20"/>
                <w:color w:val="auto"/>
              </w:rPr>
            </w:pPr>
            <w:r>
              <w:rPr>
                <w:rFonts w:ascii="Arial" w:cs="Arial" w:eastAsia="Arial" w:hAnsi="Arial"/>
                <w:sz w:val="18"/>
                <w:szCs w:val="18"/>
                <w:color w:val="auto"/>
                <w:w w:val="92"/>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Surgalign Holdings</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center"/>
              <w:ind w:left="235"/>
              <w:spacing w:after="0"/>
              <w:rPr>
                <w:sz w:val="20"/>
                <w:szCs w:val="20"/>
                <w:color w:val="auto"/>
              </w:rPr>
            </w:pPr>
            <w:r>
              <w:rPr>
                <w:rFonts w:ascii="Arial" w:cs="Arial" w:eastAsia="Arial" w:hAnsi="Arial"/>
                <w:sz w:val="18"/>
                <w:szCs w:val="18"/>
                <w:color w:val="auto"/>
                <w:w w:val="94"/>
              </w:rPr>
              <w:t>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12%</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Comprehensive income (loss) comprises net income (loss) and other changes in equity that are excluded from net income (loss). For the three and six months ended June 30, 2022 and 2021, the Company’s net loss equaled its comprehensive loss and accordingly, no additional disclosure is presented.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uses the asset and liability method of accounting for income taxes. Deferred income taxes are recorded to reflect the tax consequences on future years for differences between the tax basis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amounts that are more likely than not to be realized.</w:t>
      </w:r>
    </w:p>
    <w:p>
      <w:pPr>
        <w:spacing w:after="0" w:line="1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is subject to income taxes in the federal and state jurisdictions. Tax regulations within each jurisdiction are subject to the interpretation of the related tax laws and regulations and require significant judgment to apply. In accordance with the authoritative guidance on accounting for uncertainty in income taxes, the Company recognizes tax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more likely than not (greater than 50%) of being realized upon settlement. The Company’s policy is to recognize interest and/or penalties related to income tax matters in income tax expense.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Recently Issued Accounting Standards</w:t>
      </w:r>
    </w:p>
    <w:p>
      <w:pPr>
        <w:spacing w:after="0" w:line="22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March 2020, the Financial Accounting Standards Board (“FASB”) issued ASU 2020-04, “Reference Rate Reform (Topic 848), Facilitation of the Effects of Reference Rate Reform on Financial Reporting.” The ASU provides temporary relief from some of the existing rules governing contract modifications when the modification is related to the replacement of the London Interbank Offered Rate (“LIBOR”) or other reference rates discontinued as a result of reference rate reform. The ASU specifically provides optional practical expedients for contract modification accounting related to contracts subject to ASC 310, Receivables, ASC 470, Debt, ASC 842, Leases, and ASC 815, Derivatives and Hedging. The ASU also establishes a general contract modification principle that entities can apply in other areas that may be affected by reference rate reform and certain elective hedge accounting expedients. For eligible contract modifications, the principle generally allows an entity to account for and present modifications as an event that does not require contract remeasurement at the modification date or reassessment of a previous accounting determination. That is, the modified contract is accounted for as a continuation of the existing contract. The standard was effective upon issuance on March 12,</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2020, and the optional practical expedients can generally be applied to contract modifications made and hedging relationships entered into on or before December 31, 2024. Borrowings under the Company’s term loan facility and revolving line of credit bear interest based on LIBOR or an alternate rate. Provisions currently provide the Company with the ability to replace LIBOR with a different reference rate in the event that LIBOR ceases to exist.</w:t>
      </w:r>
    </w:p>
    <w:p>
      <w:pPr>
        <w:spacing w:after="0" w:line="17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November 2019, the FASB issued ASU 2019-10, “Financial Instruments - Credit Losses (Topic 326), Derivative and Hedging (Topic 815), and Leases (Topic 842), Effective Dates.” The FASB deferred the effective dates of the new credit losses standard for all entities except filers with the Securities and Exchange Commission (the “SEC”) that are not smaller reporting companies (“SRCs”) to fiscal years beginning after December 15, 2022, including interim periods within those fiscal years. The FASB also aligned the effective dates of ASU 2017-04 on goodwill impairment with the new effective dates of the credit losses standard. The FASB deferred the effective dates of its new standards on hedging and leases for entities that are not public business entities (“PBEs”) (and for leases, for entities that are not non-for-profit (“NFP”) entities that have issues, or are conduit bond obligors for, certain securities; and are not employee benefit plans (“EBPs”) that file or furnish financial statements with or to the SEC) to fiscal years beginning after December 15, 2020, and interim periods in the following year. The FASB is also reconsidering its philosophy on establishing effective dates for major standards for private companies, NFPs, EBPs and smaller public companies. The FASB has developed a two-bucket approach that would give these entities more time to implement major new standards. The Company is evaluating this standard to determine if adoption will have a material impact on the Company’s consolidated financial statements.</w:t>
      </w:r>
    </w:p>
    <w:p>
      <w:pPr>
        <w:spacing w:after="0" w:line="17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February 2016, the FASB issued ASU 2016-02, Leases. The standard requires that lessees recognize a right-of-use asset and a lease liability for virtually all of their leases (other than leases that meet the definition of a short-term lease). The liability will be equal to the present value of lease payments. The asset will be based on the liability subject to certain adjustments.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In November 2019, the FASB issued 2019-10 which extended the adoption of ASU 2016-02 for the Company to be effective for periods ending after December 15, 2022. While early adoption is permitted, the Company intends to adopt in the fourth quarter of 2022 for the full 2022 year. The Company is evaluating this standard to determine if adoption will have a material impact on the Company’s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Stock-Based Compensation</w:t>
      </w:r>
    </w:p>
    <w:p>
      <w:pPr>
        <w:spacing w:after="0" w:line="22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2015, the Company established the Aziyo Biologics, Inc. 2015 Stock Option/Stock Issuance Plan, as amended (the “2015 Plan”) which provided for the granting of incentive and non-qualified stock options to employees, directors and consultants of the Company. On October 7, 2020, in connection with the Company’s initial public offering (“IPO”), the Company adopted the Aziyo Biologics, Inc. 2020 Incentive Award Plan (the “2020 Plan”), which authorizes the grant of incentive and non-qualified stock options, restricted stock, restricted stock units and stock appreciation rights to employees, directors and consultants. Shares of Class A common stock totaling 1,636,000 were initially reserved for issuance pursuant to the 2020 Plan. In addition, the shares reserved for issuance under the 2020 Plan will also include shares reserved but not issued under the 2015 Plan as well as an annual increase as set forth in the 2020 Plan. As of June 30, 2022, the Company had essentially no shares of Class A common stock available for issuance under the 2020 Plan.</w:t>
      </w:r>
    </w:p>
    <w:p>
      <w:pPr>
        <w:spacing w:after="0" w:line="16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June 21, 2022, C. Randal Mills, Ph.D., a member of the Board of Directors (the “Board”) of the Company, was appointed as the Company’s Interim President and Chief Executive Officer and succeeds Ronald Lloyd, who stepped down as the Company’s President and Chief Executive Officer and as a member of the Board.</w:t>
      </w:r>
    </w:p>
    <w:p>
      <w:pPr>
        <w:spacing w:after="0" w:line="16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connection with his resignation as President and Chief Executive Officer, Mr. Lloyd and the Company have entered into a separation agreement. In connection therewith, Mr. Lloyd will remain a full-time, non-officer employee of the Company through September 30, 2022 to assist with the transition of his duties to his successor. On September 30, 2022, Mr. Lloyd will be eligible to receive: (i) cash severance in an amount equal to his base salary for a period of 12 months and 100% of his annual target bonus; (ii) an additional cash payment in an amount equal to the difference, if any, between (a) $279,656 and (b) the Fair Market Value (as defined in the Company’s 2020 Incentive Award Plan) as of September 8, 2022 of the 39,894 restricted stock units that will have vested in accordance with their terms on such date, payable in a lump sum; (iii) subject to Mr. Lloyd’s achievement of certain performance goals, an additional cash bonus of</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up to $1,000,000; and (iv) the COBRA benefits, during the 12-month period following the September 30, 2022. The Company will recognize Mr. Lloyd’s severance costs over the period from June 21, 2022 through September 30, 2022. As of June 30, 2022, the Company has recognized $0.1 million of expense related to such severance and recorded such expense in Accrued Expenses in the accompanying condensed consolidated balance sheet as of June 30, 2022.</w:t>
      </w:r>
    </w:p>
    <w:p>
      <w:pPr>
        <w:spacing w:after="0" w:line="171"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connection with his appointment as Interim President and Chief Executive Officer, Dr. Mills and the Company have entered into an employment agreement (the “Mills Employment Agreement”), pursuant to which Dr. Mills’ employment commenced on June 21, 2022 (the “Mills Effective Date”) and ends on the 90-day anniversary of the Mills Effective Date (such period, the “Interim Period”), unless the parties mutually agree to extend the Interim Period or the Board determines that, at the end of the Interim Period, Dr. Mills is suitable to assume the role of President and Chief Executive Officer. In the event the Board makes such determination (which the Board determined in August 2022 as noted below), Dr. Mills’ continued employment will commence on the day immediately following the Interim Period for an initial period ending on the second anniversary of the Mills Effective Date, which shall automatically be extended for successive one-year periods (the “Employment Period”).</w:t>
      </w:r>
    </w:p>
    <w:p>
      <w:pPr>
        <w:spacing w:after="0" w:line="181"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 xml:space="preserve">In connection with his service as Interim President and Chief Executive Officer, Dr. Mills (1) has received a stock option award to purchase 456,278 shares of common stock of the Company (the “Option Grant”), three-fifths of which Option Grant will be subject to time-based vesting (the “Time-Based Options”) and two-fifths of such Option Grant will be subject to performance-based vesting (the “Performance Based Options”) and (2) will be eligible to receive 224,734 restricted stock units (the “RSU Grant”), three-fifths of which RSU Grant will be subject to time-based vesting (the “Time-Based RSUs”) and two-fifths of such RSU Grant will be subject to performance-based vesting (the “Performance-Based RSUs”). One-third of the Time-Based Options vest upon the end of the Interim Period, and two-thirds of the Time-Based Options vest over a four-year vesting schedule with 25% vesting on the first anniversary of the June 21, 2022 and the remaining portion vesting in twelve equal quarterly installments. One-third of the Time-Based RSUs vest upon the end of the Interim Period, and two-thirds of the Time-Based RSUs vest over a four-year vesting schedule in equal annual installments. The Performance-Based Options and Performance-Based RSUs each vest in equal installments upon the achievement of escalating share price thresholds of $12.50, $17.00, $25.00 and $37.00, respectively (calculated based on twenty consecutive days of trading at each respective threshold). The vesting of the Option Grant and RSU Grant are subject to Dr. Mills’ continuous service through each applicable vesting date. These awards were deemed granted on June 21, 2022, in accordance with ASC 718,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however, the Company could not legally issue the RSUs because the available shares in the 2020 Plan were not sufficient as of June 30, 2022. The Company expects such shares to become available on September 30, 2022 upon Mr. Lloyd’s separation.</w:t>
      </w:r>
    </w:p>
    <w:p>
      <w:pPr>
        <w:spacing w:after="0" w:line="17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On August 9, 2022, Dr. Mills was appointed to the role of President and Chief Executive Officer, thereby ending the Interim Period described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Company’s policy is to grant stock options at an exercise price equal to 100% of the market value of a share of Class A common stock at closing on the date of the grant. The Company’s stock options have contractual terms of seven to ten years, and generally vest over a four-year period from the date of grant.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 summary of stock option activity under the Company’s 2015 Plan and 2020 Plan for the six months ended June 30, 2022 is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 Shares</w:t>
            </w: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Exercise</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(years)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1,386,811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13.28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1,075,858</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(92,443)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10.55</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June 30,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2,370,226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0"/>
              <w:spacing w:after="0"/>
              <w:rPr>
                <w:sz w:val="20"/>
                <w:szCs w:val="20"/>
                <w:color w:val="auto"/>
              </w:rPr>
            </w:pPr>
            <w:r>
              <w:rPr>
                <w:rFonts w:ascii="Arial" w:cs="Arial" w:eastAsia="Arial" w:hAnsi="Arial"/>
                <w:sz w:val="18"/>
                <w:szCs w:val="18"/>
                <w:color w:val="auto"/>
              </w:rPr>
              <w:t>Vested and exercisable, June 30, 2022</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7"/>
              </w:rPr>
              <w:t>11.09</w:t>
            </w:r>
          </w:p>
        </w:tc>
        <w:tc>
          <w:tcPr>
            <w:tcW w:w="14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563,806</w:t>
            </w: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489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-890905</wp:posOffset>
            </wp:positionV>
            <wp:extent cx="3068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8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weighted average grant date fair value of options granted during the six months ended June 30, 2022 was $3.15. As of June 30, 2022, there was approximately $8.1 million of total unrecognized compensation expense related to unvested stock options. These costs are expected to be recognized over a weighted-average period of 2.6 years.</w:t>
      </w:r>
    </w:p>
    <w:p>
      <w:pPr>
        <w:spacing w:after="0" w:line="14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uses the Black-Scholes model to value its time-based stock option grants and expenses the related compensation cost using the straight-line method over the vesting period. The fair value of stock options is determined on the grant date using assumptions for the estimated fair value of the underlying common stock, expected term, expected volatility, dividend yield, and the risk-free interest rate. Before the completion of the Company’s IPO, the Board determined the fair value of common stock considering the state of the business, input from management, third party valuations and other considerations. The Company uses the simplified method for estimating the expected term used to determine the fair value of options. The expected volatility of the Class A common stock is primarily based on the historical volatility of comparable companies in the industry whose share prices are publicly available. The Company uses a zero-dividend yield assumption as the Company has not paid dividends since inception nor does it anticipate paying dividends in the future. The risk-free interest rate approximates recent U.S. Treasury note auction results with a similar life to that of the option. The period expense is then determined based on the valuation of the options, and is recognized on a straight-line basis over the requisite service period for the entire award.</w:t>
      </w:r>
    </w:p>
    <w:p>
      <w:pPr>
        <w:spacing w:after="0" w:line="168"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weighted-average assumptions were used to determine the fair value of options granted during the six months ended June 30, 2022 and 2021:</w:t>
      </w:r>
    </w:p>
    <w:p>
      <w:pPr>
        <w:spacing w:after="0" w:line="175"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8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300" w:type="dxa"/>
            <w:vAlign w:val="bottom"/>
          </w:tcPr>
          <w:p>
            <w:pPr>
              <w:spacing w:after="0"/>
              <w:rPr>
                <w:sz w:val="14"/>
                <w:szCs w:val="14"/>
                <w:color w:val="auto"/>
              </w:rPr>
            </w:pPr>
          </w:p>
        </w:tc>
      </w:tr>
      <w:tr>
        <w:trPr>
          <w:trHeight w:val="171"/>
        </w:trPr>
        <w:tc>
          <w:tcPr>
            <w:tcW w:w="47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96"/>
        </w:trPr>
        <w:tc>
          <w:tcPr>
            <w:tcW w:w="5300" w:type="dxa"/>
            <w:vAlign w:val="bottom"/>
            <w:gridSpan w:val="2"/>
          </w:tcPr>
          <w:p>
            <w:pPr>
              <w:ind w:left="5000"/>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7"/>
                <w:szCs w:val="17"/>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jc w:val="right"/>
              <w:spacing w:after="0"/>
              <w:rPr>
                <w:sz w:val="20"/>
                <w:szCs w:val="20"/>
                <w:color w:val="auto"/>
              </w:rPr>
            </w:pPr>
            <w:r>
              <w:rPr>
                <w:rFonts w:ascii="Arial" w:cs="Arial" w:eastAsia="Arial" w:hAnsi="Arial"/>
                <w:sz w:val="18"/>
                <w:szCs w:val="18"/>
                <w:color w:val="auto"/>
                <w:w w:val="87"/>
              </w:rPr>
              <w:t>2.0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r>
    </w:tbl>
    <w:p>
      <w:pPr>
        <w:spacing w:after="0" w:line="187"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8"/>
          <w:szCs w:val="18"/>
          <w:color w:val="auto"/>
        </w:rPr>
        <w:t>For the Performance-Based Options granted as described above, the Company accounted for the awards as market condition awards and used an option pricing model, the Monte Carlo model, to determine the fair value of the respective equity instruments and an expense recognition term of approximately three years.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Restricted stock units (“RSUs”) represent rights to receive common shares at a future date. There is no exercise price and no monetary payment is required for receipt of restricted stock units or the shares issued in settlement of the award.</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summary of the RSU activity under the Company’s 2020 Plan for the six months ended June 30, 2022 is as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Underlying RSUs</w:t>
            </w:r>
          </w:p>
        </w:tc>
        <w:tc>
          <w:tcPr>
            <w:tcW w:w="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235,985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4780" w:type="dxa"/>
            <w:vAlign w:val="bottom"/>
          </w:tcPr>
          <w:p>
            <w:pPr>
              <w:ind w:left="10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586,083</w:t>
            </w:r>
          </w:p>
        </w:tc>
        <w:tc>
          <w:tcPr>
            <w:tcW w:w="8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(19,347)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478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(29,436)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June 30,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773,285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total fair value of the RSUs granted during the six months ended June 30, 2022 was $2.4 million. Of this total, $1.7 million was based on the fair market value of the Company's Class A common stock on the date of grant and such fair value at the time of the grant is amortized to expense on a straight-line basis over vesting periods of six months to four years. With respect to Performance-Based RSUs, during the six months ended June 30, 2022, the Company granted RSUs totaling (i) 199,388 and accounted for these awards as market condition awards and pursuant to which such RSUs will only vest if or when the Company’s Class A common stock closing price is at or exceeds $10 per share for 30 consecutive days by March 8, 2024, subject to the grantee’s continued employment with the Company and (ii) 89,894 to Dr. Mills as described above. Given the nature of these market condition arrangements, an option pricing model, the Monte Carlo model, was used to determine the fair value of these RSUs which totaled $0.7 million, and the expense is being recorded using the graded vesting method over a period of two to three years. As of June 30, 2022, $3.6 million of unrecognized compensation costs related to RSUs is expected to be recognized over a weighted average period of two years.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Company makes shares of its Class A common stock available for purchase under the Aziyo Biologics, Inc. 2020 Employee Stock Purchase Plan (the “ESPP”). The ESPP provides for separate six-month offering periods that begin in March and September of each year. Under the ESPP, employees may purchase a limited number of shares of Aziyo Class A common stock at 85% of the fair market value on either the first day of the offering period or the purchase date, whichever is lower. The ESPP is considered compensatory for purposes of stock-based compensation expense. The number of shares reserved under the ESPP will automatically increase on the first day of each fiscal year through January 1, 2030, in an amount as set forth in the ESPP. As of June 30, 2022, the total shares of Class A common stock authorized for issuance under the ESPP was 380,997, of which 311,408 remained available for future issuance. During the six months ended June 30, 2022, 42,345 shares of Class A common stock were issued under the ESPP.</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Stock-based compensation expense recognized during the three and six months ended June 30, 2022 and 2021 was comprised of the following (in thousands):</w:t>
      </w:r>
    </w:p>
    <w:p>
      <w:pPr>
        <w:spacing w:after="0" w:line="16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5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3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3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2022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r>
      <w:tr>
        <w:trPr>
          <w:trHeight w:val="216"/>
        </w:trPr>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CEEFF"/>
            </w:tcBorders>
          </w:tcPr>
          <w:p>
            <w:pPr>
              <w:spacing w:after="0"/>
              <w:rPr>
                <w:sz w:val="18"/>
                <w:szCs w:val="18"/>
                <w:color w:val="auto"/>
              </w:rPr>
            </w:pPr>
          </w:p>
        </w:tc>
      </w:tr>
      <w:tr>
        <w:trPr>
          <w:trHeight w:val="209"/>
        </w:trPr>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1,470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2,575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1,562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Inventory</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 was comprised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Long-Term Debt</w:t>
      </w:r>
    </w:p>
    <w:p>
      <w:pPr>
        <w:spacing w:after="0" w:line="121"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On May 31, 2017, in connection with the Company’s acquisition of CorMatrix described in Note 7, Aziyo entered into a $12 million term loan facility (the “Term Loan Facility”) and an $8.0 million asset-backed revolving line of credit (the “Revolving Credit Facility”), under which the Company’s borrowing capacity is limited by certain qualifying assets, with a financial institution (the “May 2017 Financing”). As of June 30, 2022 and December 31, 2021, the Company’s borrowing capacity under its Revolving Credit Facility was $7.5 million and $6.9 million, respectively. The Term Loan Facility was amended in December 2017, February 2018 and July 2019 (all amendments being considered modifications) such that an additional $1.5 million, $3.0 million, and $3.5 million, respectively were received by the Company bringing the total aggregate principal amount outstanding under the Term Loan Facility to $20 million. Borrowings under the Term Loan Facility, as amended, bear interest at a rate per annum equal to the sum of  (x) the greater of  (i) 2.25% and (ii) the applicable London Interbank Offered Rate for U.S. dollar deposits divided by 1.00 minus the maximum effective reserve percentage for Eurocurrency funding (“LIBOR”) plus (y) 7.25%. The weighted average interest rate on Term Loan Facility borrowings was 9.5% for both the three and six months ended June 30, 2022 and 2021. The agreement governing the Term Loan Facility provides for interest only payments through January 2021 and interest and equal monthly principal payments from February 2021 through maturity in July 2024. However, the Term Loan Facility also provides that if certain conditions were satisfied prior to December 1, 2020 (including the completion of a qualified initial public offering and no continuing default or event of default), interest only payments may, upon the Company’s request, be extended to August 1, 2021. Accordingly, based on the Company’s successful completion of its IPO, Aziyo exercised this interest-only period extension right and as such, interest and equal principal payments commenced on August 1, 2021 and will continue through maturity in July 2024.</w:t>
      </w:r>
    </w:p>
    <w:p>
      <w:pPr>
        <w:spacing w:after="0" w:line="188"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agreement that governs the Term Loan Facility, as amended, requires certain mandatory prepayments, subject to certain exceptions, with: (1) 100% of any net casualty proceeds in excess of $250,000 with respect to assets upon which the agent maintains a lien and (2) 100% of the net cash proceeds of non-ordinary course asset sales or sales pertaining to collateral upon which the borrowing base of the Revolving Credit Facility is calculated. In addition, the Company is required to prepay all outstanding obligations under the Term Loan Facility upon the termination of all commitments under the Revolving Credit Facility and the repayment of the outstanding borrowings thereunder. No such mandatory prepayments were required during the three and six months ended June 30, 2022 and 2021.</w:t>
      </w:r>
    </w:p>
    <w:p>
      <w:pPr>
        <w:spacing w:after="0" w:line="16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agreement governing the Term Loan Facility also includes an exit fee of 6.5% of the aggregate principal amount and prepayment penalties which, based on an amendment to the Term Loan Facility executed in January 2022, shall be equal to the amount prepaid multiplied by 3.0% until January 21, 2023 and 2.0% thereafter.</w:t>
      </w:r>
    </w:p>
    <w:p>
      <w:pPr>
        <w:spacing w:after="0" w:line="16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Borrowings under the Revolving Credit Facility bear interest at a rate per annum equal to the sum of   (x) the greater of  (i) 2.25% and (ii) LIBOR plus (y) 4.95%. The agreement governing the Revolving Credit Facility includes an unused line fee in an amount equal to 0.5% per annum of the unused borrowing capacity and based on an amendment to the Revolving Credit Facility executed in January 2022, prepayment penalties equal to $8.0 million multiplied by 3.0% until January 21, 2023 and 2.0% thereafter. The weighted average interest rate on Revolving Credit Facility borrowings was 7.2% for the three and six months ended June 30, 2022 and 2021. Both debt instruments contain events of default, including, most significantly, a failure to timely pay interest or principal, insolvency, or an action by the United States Food and Drug Administration or such other material adverse event impacting the operations of Aziyo.</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debt instruments also include a financial covenant based on cumulative minimum net product revenue, as defined, restrictions as to payment of dividends, and are secured by all assets of the Company. As of June 30, 2022, Aziyo was in compliance with this financial covenant.</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During 2017, the Company restructured certain of its liabilities with a tissue supplier and entered into an unsecured promissory note totaling $2.1 million. The note bears interest at 5% and includes quarterly interest-only payments in 2017 and quarterly interest and principal payments from March 31, 2018 through August 31, 2021. The notes are subordinated in payment to the Term Loan Facility and Revolving Credit Facility and in both 2022 and 2021, the Company’s senior lender restricted payment of the amounts due.</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May 2020, Aziyo entered into a promissory note with Silicon Valley Bank that provided for the receipt by the Company of loan proceeds totaling approximately $3.0 million (the “PPP Loan”) pursuant to the Paycheck Protection Program under the Coronavirus Aid, Relief and Economic Security Act (the “CARES Act”). In June 2021, Aziyo was notified by the U.S. Small Business Administration that the entire balance of the Company’s PPP Loan and all related accrued interest was forgiven. Such forgiveness resulted in a gain to the Company of approximately $3.0 million which has been recorded as other income in the accompanying condensed consolidated statements of operations for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was comprised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Facility, net of unamortized discount and deferred financing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17,077</w:t>
            </w:r>
          </w:p>
        </w:tc>
      </w:tr>
      <w:tr>
        <w:trPr>
          <w:trHeight w:val="216"/>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 to Tissue Supplier</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r>
      <w:tr>
        <w:trPr>
          <w:trHeight w:val="210"/>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18,469</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Current Portion</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(8,059)</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(8,059)</w:t>
            </w:r>
          </w:p>
        </w:tc>
      </w:tr>
      <w:tr>
        <w:trPr>
          <w:trHeight w:val="210"/>
        </w:trPr>
        <w:tc>
          <w:tcPr>
            <w:tcW w:w="69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10,410</w:t>
            </w:r>
          </w:p>
        </w:tc>
      </w:tr>
      <w:tr>
        <w:trPr>
          <w:trHeight w:val="20"/>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fair value of all debt instruments, which is based on inputs considered to be Level 2 under the fair value hierarchy, approximates the respective carrying values as of June 30, 2022 and December 31, 2021.</w:t>
      </w:r>
    </w:p>
    <w:p>
      <w:pPr>
        <w:spacing w:after="0" w:line="170"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Refer to Note 12 for discussion of the repayment of the Term Loan Facility, Revolving Credit Facility and tissue supplier promissory note subsequent to June 30,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Revenue Interest Obligation</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May 31, 2017, the Company completed an asset purchase agreement with CorMatrix Cardiovascular, Inc. ("CorMatrix") and acquired all CorMatrix commercial assets and related intellectual property (the "CorMatrix Acquisition"). As part of the CorMatrix Acquisition, the Company assumed a restructured, long-term obligation (the “Revenue Interest Obligation”) to Ligand Pharmaceuticals (“Ligand”) with an estimated present value on the acquisition date of $27.7 million. Subject to annual minimum payments of $2.75 million per year, the terms of the Revenue Interest Obligation require Aziyo to pay Ligand, 5% of future sales of the products Aziyo acquired from CorMatrix, including CanGaroo, ProxiCor, Tyke and VasCure, as well as products substantially similar to those products, such as the version of CanGaroo Aziyo is currently developing that is designed to include antibiotics.</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Furthermore, a $5.0 million payment will be due to Ligand if cumulative sales of these products exceed $100 million and a second $5.0 million will be due if cumulative sales exceed $300 million during the ten-year term of the agreement which expires on May 31, 2027.</w:t>
      </w:r>
    </w:p>
    <w:p>
      <w:pPr>
        <w:spacing w:after="0" w:line="184"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recorded the present value of the estimated total future payments under the Revenue Interest Obligation as a long-term obligation, with the annual minimum payments, along with the expected payment timing of the first $5.0 million sales milestone payment noted above, serving to establish the short-term portion. At each reporting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period, the value of the Revenue Interest Obligation is re-measured based on current estimates of future payments, with changes to be recorded in the condensed consolidated statements of operations using the catch-up method. There was no change to estimated future payments during the three and six months ended June 30, 2022 and 2021, and thus, no re-measurement gain or loss was recognized. Interest expense related to the Revenue Interest Obligation of approximately $0.7 million was recorded for both the three months ended June 30, 2022 and 2021 and approximately $1.3 million for both the six months ended June 30, 2022 and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leases two production facilities and one administrative and research facility under non-cancelable operating lease arrangements that expire through November 2025. All leases contain renewal options and escalation clauses based upon increases in the lessors’ operating expenses and other charges.</w:t>
      </w:r>
    </w:p>
    <w:p>
      <w:pPr>
        <w:spacing w:after="0" w:line="18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records rent expense on a straight-line basis over the life of the lease and the difference between the average rent expense and cash payments for rent is recorded as deferred rent and is included in other current and long-term liabilities on the balance sheet. Rent expense was approximately $0.3 million for both the three months ended June 30, 2022 and 2021, and was approximately $0.6 million for both the six months ended June 30, 2022 and 2021, and is included as a component of either cost of goods sold or general and administrative expenses.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Cook Biotech License and Supply Agreements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Aziyo has entered into a license agreement with Cook Biotech (“Cook”) for an exclusive, worldwide license to the porcine tissue for use in the Company’s Cardiac Patch and CanGaroo products, subject to certain co-exclusive rights retained by Cook. The term of such license is through the date of the last to expire of the licensed Cook patents, which is anticipated to be July 2031. Along with this license agreement, Aziyo entered into a supply agreement whereby Cook would be the exclusive supplier to Aziyo of the licensed porcine tissue. Under certain limited circumstances, Aziyo has the right to manufacture the licensed product and pay Cook a royalty of 3% of sales of the Aziyo-manufactured tissue. The supply agreement expires on the same date as the related license agreement. No royalties were paid to Cook during the three and six months ended June 30, 2022 or 2021. Aziyo has also entered into an amendment to the Cook license agreement (the “Cook Amendment”) in order to add fields of exclusive use. Specifically, the Cook Amendment provides for a worldwide exclusive license to the porcine tissue for use with neuromodulation devices in addition to cardiovascular devices. The Cook Amendment includes license fee payments of $0.1 million per year in each of the years 2021 through 2026. Such license payments would accelerate if a change in control, as defined, occurs within Aziyo. The Company, in its sole discretion, can terminate the license agreement at any time.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From time to time, the Company may be involved in claims and proceedings arising in the course of the Company’s business. The outcome of any such claims or proceedings, regardless of the merits, is inherently uncertain. The Company records accruals for contingencies when it is probable that a liability has been incurred and the amount can be reasonably estimated. These accruals are adjusted periodically as assessments change or additional information becomes available.</w:t>
      </w:r>
    </w:p>
    <w:p>
      <w:pPr>
        <w:spacing w:after="0" w:line="18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June 2021, the Company announced a voluntary recall of a single lot of FiberCel fiber viable bone matrix. Between June 21, 2021 and July 19, 2022, fifty-one lawsuits in Indiana, Delaware, Florida, Maryland, Colorado, Michigan, Ohio, Kentucky, Oregon, North Carolina and Louisiana have been filed against Aziyo Biologics Inc., certain Medtronic entities, and others alleging that the plaintiffs contracted tuberculosis and/or suffered substantial symptoms and complications following the implantation of FiberCel during spinal fusion operations.</w:t>
      </w:r>
    </w:p>
    <w:p>
      <w:pPr>
        <w:spacing w:after="0" w:line="17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Twenty-one lawsuits were filed in Indiana state court, captioned, respectively: (1) John Dukes and Kimberly Smith v. Aziyo Biologics, Inc., et al., Case No. 49D02-2109-CT-032234 (case dismissed without prejudice on 09/16/2021 and re-filed on 09/24/2021); (2) Tamara and Richard Marksberry v. Aziyo Biologics, Inc., et al., Case No. 49D04-2106-</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CT-021649 (consolidated); (3) Ramon Cabello v. Aziyo Biologics, Inc., et al., Case No. 49D13-2106-CT-021650 (consolidated); (4) Luis Caban v. Aziyo Biologics, Inc., Case No. 49D13-2107-CT-022413 (consolidated); (5) Machell and Samuel Hargrave v. Aziyo Biologics, Inc., et al., Case No. 49D01-2106-CT-021275 (consolidated); (6) Georgia Flinn as Personal Representative of the Estate of Gregory Flinn v. Aziyo Biologics, Inc., et al., Case No. 49D12-2107-CT-024051 (consolidated); (7) Ruth and William Flynn v. v. Aziyo Biologics, Inc., et al., Case No. 49D12-2107-CT-024624 (consolidated); (8) Tracy Warner and Kristin Foate v. v. Aziyo Biologics, Inc., et al., Case No. 49D04-2107-CT-024631 (consolidated); (9) Donna Schilling v. v. Aziyo Biologics, Inc., et al., Case No. 49D04-2107-CT-024443 (consolidated);</w:t>
      </w:r>
    </w:p>
    <w:p>
      <w:pPr>
        <w:spacing w:after="0" w:line="2" w:lineRule="exact"/>
        <w:rPr>
          <w:sz w:val="20"/>
          <w:szCs w:val="20"/>
          <w:color w:val="auto"/>
        </w:rPr>
      </w:pPr>
    </w:p>
    <w:p>
      <w:pPr>
        <w:ind w:left="400" w:hanging="350"/>
        <w:spacing w:after="0"/>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Robby and Stephanie Anderson v. v. Aziyo Biologics, Inc., et al., Case No. 49D13-2107-CT-025221 (consolidated);</w:t>
      </w:r>
    </w:p>
    <w:p>
      <w:pPr>
        <w:spacing w:after="0" w:line="32" w:lineRule="exact"/>
        <w:rPr>
          <w:rFonts w:ascii="Arial" w:cs="Arial" w:eastAsia="Arial" w:hAnsi="Arial"/>
          <w:sz w:val="16"/>
          <w:szCs w:val="16"/>
          <w:color w:val="auto"/>
        </w:rPr>
      </w:pPr>
    </w:p>
    <w:p>
      <w:pPr>
        <w:jc w:val="both"/>
        <w:ind w:left="60" w:right="59" w:hanging="10"/>
        <w:spacing w:after="0" w:line="281" w:lineRule="auto"/>
        <w:tabs>
          <w:tab w:leader="none" w:pos="407" w:val="left"/>
        </w:tabs>
        <w:numPr>
          <w:ilvl w:val="0"/>
          <w:numId w:val="5"/>
        </w:numPr>
        <w:rPr>
          <w:rFonts w:ascii="Arial" w:cs="Arial" w:eastAsia="Arial" w:hAnsi="Arial"/>
          <w:sz w:val="16"/>
          <w:szCs w:val="16"/>
          <w:color w:val="auto"/>
        </w:rPr>
      </w:pPr>
      <w:r>
        <w:rPr>
          <w:rFonts w:ascii="Arial" w:cs="Arial" w:eastAsia="Arial" w:hAnsi="Arial"/>
          <w:sz w:val="16"/>
          <w:szCs w:val="16"/>
          <w:color w:val="auto"/>
        </w:rPr>
        <w:t>Max Shepard v. v. Aziyo Biologics, Inc., et al., Case No. 49D11-2108-CT-025984 (consolidated); (12) Leon Chew v. Aziyo Biologics, Inc., et al., Case No. 49D12-2108-CT-025967 (consolidated); (13) Candace Kozor, Kenneth Largin and Anthony Young v. Aziyo Biologics, Inc., et al., Case No. 49D04-2107-CT-024626 (consolidated); (14) James and Lauri Ann Jackson v. v. Aziyo Biologics, Inc., et al., Case No. 49D02-2108-CT-028321 (re-filed in state court and consolidated);</w:t>
      </w:r>
    </w:p>
    <w:p>
      <w:pPr>
        <w:spacing w:after="0" w:line="2" w:lineRule="exact"/>
        <w:rPr>
          <w:rFonts w:ascii="Arial" w:cs="Arial" w:eastAsia="Arial" w:hAnsi="Arial"/>
          <w:sz w:val="16"/>
          <w:szCs w:val="16"/>
          <w:color w:val="auto"/>
        </w:rPr>
      </w:pPr>
    </w:p>
    <w:p>
      <w:pPr>
        <w:jc w:val="both"/>
        <w:ind w:left="60" w:right="59" w:hanging="10"/>
        <w:spacing w:after="0" w:line="290" w:lineRule="auto"/>
        <w:tabs>
          <w:tab w:leader="none" w:pos="421" w:val="left"/>
        </w:tabs>
        <w:numPr>
          <w:ilvl w:val="0"/>
          <w:numId w:val="6"/>
        </w:numPr>
        <w:rPr>
          <w:rFonts w:ascii="Arial" w:cs="Arial" w:eastAsia="Arial" w:hAnsi="Arial"/>
          <w:sz w:val="16"/>
          <w:szCs w:val="16"/>
          <w:color w:val="auto"/>
        </w:rPr>
      </w:pPr>
      <w:r>
        <w:rPr>
          <w:rFonts w:ascii="Arial" w:cs="Arial" w:eastAsia="Arial" w:hAnsi="Arial"/>
          <w:sz w:val="16"/>
          <w:szCs w:val="16"/>
          <w:color w:val="auto"/>
        </w:rPr>
        <w:t>James and Kathy Shaw v. Aziyo Biologics, Inc., et al, Case No. 49D11-2108-CT-028669 (consolidated); (16) Larry Szynski v. Aziyo Biologics, Inc., et al., Case No. 49D05-2108-CT-029225 (consolidated); (17) Jerrold Jenkins v. Aziyo Biologics, Inc., et al., Case No. 49D03-2108-CT-029367 (consolidated; (18) Hon Vien v. Aziyo Biologics, Inc., et al., Case No. 49D01-2202-CT-004812; (19) Jayson Hartman v. Aziyo Biologics, Inc., et al., Case No. 49D12-2202-CT-004835; (20) Randy Smith v. Aziyo Biologics, Inc., et al., Case No. 49D01-2202-CT-005184; and (21) Jason and Sherry Haywood v. Aziyo Biologics, Inc., et al., Case No. 49D11-206-CT-021446 (collectively, the “Indiana State Complaints”).</w:t>
      </w:r>
    </w:p>
    <w:p>
      <w:pPr>
        <w:spacing w:after="0" w:line="164"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Fifteen lawsuits were filed in the Superior Court of the State of Delaware, captioned respectively: (1) Richard Williams v. Aziyo, Biologics Inc., et al., C.A. No. N21C-06-166 EMD; (2) Jean and Shante Georges v. Aziyo, Biologics Inc., et al., C.A. No. N21C-06-256-DJB; (3) Marjorie Hitchens v. Aziyo, Biologics Inc., et al., C.A. No. N21C-06-214-DJB; (4) Larry and Joanne Fortner v. Aziyo, Biologics Inc., et al., C.A. No. N21C-06-215-DJB; (5) Nancy and John Smith v. Aziyo, Biologics Inc., et al., C.A. No. N21C-06-219-DJB; (6) Joan Trincia v. Aziyo, Biologics Inc., et al., C.A. No. N21C-06-220-DJB; (7) Bernadette Burgess v. Aziyo, Biologics Inc., et al., C.A. No. N21C-06-264-DJB; (8) Summer Fitzhugh v. Aziyo, Biologics Inc., et al., C.A. No. N21C-06-221-DJB; (9) Linda Shields v. Aziyo, Biologics Inc., et al., C.A. No. N21C-06-166-DJB; (10) Sharon Riddick v. Aziyo, Biologics Inc., et al., C.A. No. N21C-07-005-EMD; (11) Carl Stevens v. Aziyo, Biologics Inc., et al., C.A. No. N21C-08-149-DJB; (12) Joel and Melissa Stanton v. Aziyo, Biologics Inc., et al., C.A. No. N21C-08-212-AML; (13) Bruce and Beverly Carroll v. Aziyo, Biologics Inc., et al., C.A. No. N21C-08-130-DJB; (14) Margaret Cook v. Aziyo, Biologics Inc., et al., C.A. No. N21C-08-131-DJB; and (15) Robert Jr. and Kelly Aspinall v. Aziyo, Biologics Inc., et al., C.A. No. N21C-09-065-DJB (collectively, the “Delaware State Complaints”).</w:t>
      </w:r>
    </w:p>
    <w:p>
      <w:pPr>
        <w:spacing w:after="0" w:line="19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Two lawsuits were filed in the Circuit Court of Maryland, captioned: (1) (previously filed on 07/21/2021 and dismissed without prejudice on 08/12/2021 in the U.S. District Court of Maryland), Diana and James Hanson v. Aziyo Biologics, Inc., et al., Case No. C-02-CV-21-001094 and (2) John Christensen v. Aziyo Biologics, Inc., et al., Case No. C-15-CV-22-002044 (collectively, the “Maryland State Complaints”).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One lawsuit has been filed in the Court of Common Pleas of Ohio, captioned: Michelle and Charles Weethee v.</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Aziyo, Biologics Inc., et al., Case No. 2021 CV 03621 (“Ohio State Complaint”).</w:t>
      </w:r>
    </w:p>
    <w:p>
      <w:pPr>
        <w:spacing w:after="0" w:line="21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One lawsuit was filed in the Northern District of Ohio, captioned: Heath Raker and Neal Raker v. Aziyo Biologics, Inc., et al., Case No. 1:22-cv-54 (“Ohio Federal Complaint”).</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One lawsuit filed in the Superior Court of North Carolina, captioned: Aurelia and Belvin Sherrill v. Aziyo Biologics, Inc., et al., Case No. 21-cvs-2797 has since been removed to the U.S. District Court for the Western District of North Carolina (“North Carolina Federal Complaint”).</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One lawsuit has been filed in the U.S. District Court for the Northern District of Florida, captioned Deborah Rice v. Aziyo Biologics, Inc., et al., Case No. 5:21-cv-00135-MW-MJF (“Florida Federal Complaint”).</w:t>
      </w:r>
    </w:p>
    <w:p>
      <w:pPr>
        <w:spacing w:after="0" w:line="170"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Two lawsuits were filed in the U.S. District Court for the Eastern District of Michigan, captioned: (1) Karrold Dudley v. Aziyo, Biologics Inc., et al., Case No. 2:21-cv-11813-GAD-EAS and (2) Diane Parron v. Aziyo Biologics Inc.,</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et al., Case No. 2:22-cv-10522-NGE-EAS. A third lawsuit originally filed in the Circuit Court of Michigan, captioned: (3) Ilona and Christian Hildebrandt v. Aziyo Biologics, Inc., Case No. 2021-003804-NP has since been removed to the Eastern District of Michigan (collectively “Michigan Federal Complaints.”).</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One lawsuit has been filed in the U.S. District Court for the District of Colorado, captioned Christopher and Julie Buri v. Aziyo Biologics, Inc., et al., Case No. 1:21-cv-02789-SKC (“Colorado Federal Complaint”).</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One lawsuit has been filed in the U.S. District Court for the District of Oregon, captioned Christy Bryant v. Aziyo Biologics, Inc., et al., Case No. 1:21-cv-01759-AA (“Oregon Federal Complaint”).</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Two lawsuits have been filed in Fayette, Kentucky Circuit Court, captioned: (1) Earl Wesley Robinson and Joyce Ann Robinson v. Aziyo Biologics, Inc., Case No. 21-CI-03842 and (2) Horace B. Nelson, Sr. v. Aziyo Biologics, Inc., et al., Case No. 22-CI-00895 (the “Nelson suit”). The Nelson suit was subsequently removed to the U.S. District Court for the Eastern District of Kentucky (collectively, “Kentucky Complaints.”).</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One lawsuit has been filed in the U.S. District Court for the Western District of Louisiana, captioned Freddie J. Smith and Loretta D. Smith v. Aziyo Biologics, Inc., et al., Case No. 5:22-cv-01288-EEF-KDM (“Louisiana Federal Complaint”).</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Lastly, two lawsuits have been dismissed: (1) in the state court of Maryland, captioned Tracey and Stan Gearhart v. Aziyo Biologics, Inc., et al., Case No. C-02-CV-21-000997(dismissed without prejudice on 09/14/2021), and (2) in the U.S. District Court for the Northern District of Indiana, captioned: David Hahn v. Aziyo Biologics, Inc., et al., Case No. 2:21-cv-00265-PPS-JEM (dismissed without prejudice on 09/30/2021).</w:t>
      </w:r>
    </w:p>
    <w:p>
      <w:pPr>
        <w:spacing w:after="0" w:line="187"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Plaintiffs in the Indiana State Complaints allege a cause of action under Indiana’s Product Liability Act, citing manufacturing defects, defective design and failure to properly warn and instruct, and several of the complaints allege loss of consortium. Plaintiffs in these actions assert that the defendants are strictly liable or have breached the duty of care owed to plaintiffs by failing to exercise reasonable care in designing, manufacturing, marketing and labeling FiberCel and are seeking various types of damages, including economic damages, non-economic damages and loss of consortium. Plaintiffs in one of the Indiana State Complaints allege causes of action for product liability, negligence, breach of express and implied warranties, and punitive damages. Each of the plaintiffs in the Delaware State Complaints allege negligence, breach of implied warranty, breach of express warranty, medical monitoring and punitive damages, and two also allege loss of consortium. Plaintiffs in the Delaware State Complaints are seeking economic, consequential, and punitive damages. The Maryland Complaint asserts claims of negligence, breach of implied warranty, breach of express warranty, medical monitoring, and loss of consortium. The Florida Federal Complaint contains three strict liability claims for defective design, defective manufacture, and failure to warn. A claim for punitive damages is also pled. The Ohio State Complaint alleges causes of action for product liability and negligence and seeks compensatory damages. The Colorado Federal Complaint asserts causes of action for strict product liability, misrepresentation, negligence, breach of express warranty, and breach of implied warranty of merchantability. The Michigan Federal Complaints assert causes of action for negligence, gross negligence breach of implied warranty, breach of express warranty, intentional infliction of emotional distress, and liability under the res ipsa loquitur doctrine. The Michigan Federal Complaints seek compensatory damages and punitive damages. The North Carolina Federal Complaint alleges causes of action for negligence, defective design, breach of implied warranty, breach of express warranty, and loss of consortium, and seeks both compensatory and punitive damages. The Oregon Federal Complaint asserts strict liability claims for defective design, defective manufacture, and failure to warn, and seeks compensatory damages. The Ohio Federal Complaint asserts strict liability claims for defective manufacturing, inadequate warning, nonconformance with representations, and also alleges loss of consortium and seeks compensatory damages. The Kentucky Complaints assert strict liability claims based on manufacturing defect, design defect, failure to warn, negligence, breach of implied warranty, breach of express warranty, and seek recovery for medical monitoring, loss of consortium, compensatory damages, and punitive damages. The Louisiana Federal Complaint asserts claims of violation of the Louisiana products liability act, negligence and gross negligence, breach of implied warranty, breach of express warranty and seek recovery for medical monitoring.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addition to the above, there have been forty-three claims related to the FiberCel recall, which have not yet resulted in a lawsuit. The Company refers to all of the aforementioned litigation, or claim notices, collectively as the “FiberCel Litigation.”</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order to reasonably estimate a loss or range of loss for the FiberCel Litigation, the Company must assess a variety of factors, including, (i) what claims, if any, will survive dispositive motion practice, (ii) the extent of the claims, particularly when damages are not specified or are indeterminate, (iii) how the discovery process will affect the litigation,</w:t>
      </w:r>
    </w:p>
    <w:p>
      <w:pPr>
        <w:spacing w:after="0" w:line="2" w:lineRule="exact"/>
        <w:rPr>
          <w:sz w:val="20"/>
          <w:szCs w:val="20"/>
          <w:color w:val="auto"/>
        </w:rPr>
      </w:pPr>
    </w:p>
    <w:p>
      <w:pPr>
        <w:jc w:val="both"/>
        <w:ind w:left="60" w:right="59" w:hanging="10"/>
        <w:spacing w:after="0" w:line="253" w:lineRule="auto"/>
        <w:tabs>
          <w:tab w:leader="none" w:pos="37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settlement posture of the other parties to the litigation and (v) any other factors that may have a material effect on the litigation. At present, it is not possible for Aziyo to estimate a range of probable loss in the FiberCel Litigation; however, while unknown, the probable loss could have a material effect on the Company’s financial position and results of operations.</w:t>
      </w:r>
    </w:p>
    <w:p>
      <w:pPr>
        <w:spacing w:after="0" w:line="19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Should Aziyo be required to pay claims related to the FiberCel Litigation, the Company believes that certain settlements and judgments, as well as legal defense costs, may be covered in whole or in part under the Company’s insurance policies. In certain circumstances, insurance carriers reserve their rights to contest or deny coverage. The Company intends to contest vigorously any disputes with its insurance carriers and to enforce its rights under the terms of its insurance policies. Accordingly, the Company will record receivables with respect to amounts due under these policies only when the realization of the potential claim for recovery is considered probable. Amounts recovered under the Company’s insurance policies could be materially less than stated coverage limits and may not be adequate to cover damages, other relief and/or costs relating to claims. In addition, there is no guarantee that insurers will pay claims or that coverage will otherwise be available.</w:t>
      </w:r>
    </w:p>
    <w:p>
      <w:pPr>
        <w:spacing w:after="0" w:line="19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both June 30, 2022 and December 31, 2021, the Company was not a party to, or aware of, any material legal matters or claims except for the FiberCel Litigation.</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Net Loss Per Share Attributable to Common Stockholders</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Numerator:</w:t>
      </w:r>
    </w:p>
    <w:p>
      <w:pPr>
        <w:spacing w:after="0" w:line="23" w:lineRule="exact"/>
        <w:rPr>
          <w:sz w:val="20"/>
          <w:szCs w:val="20"/>
          <w:color w:val="auto"/>
        </w:rPr>
      </w:pPr>
    </w:p>
    <w:p>
      <w:pPr>
        <w:ind w:left="620" w:right="700"/>
        <w:spacing w:after="0" w:line="257" w:lineRule="auto"/>
        <w:rPr>
          <w:sz w:val="20"/>
          <w:szCs w:val="20"/>
          <w:color w:val="auto"/>
        </w:rPr>
      </w:pPr>
      <w:r>
        <w:rPr>
          <w:rFonts w:ascii="Arial" w:cs="Arial" w:eastAsia="Arial" w:hAnsi="Arial"/>
          <w:sz w:val="18"/>
          <w:szCs w:val="18"/>
          <w:color w:val="auto"/>
        </w:rPr>
        <w:t>Net loss attributable to common stockholders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620" w:right="260"/>
        <w:spacing w:after="0" w:line="250" w:lineRule="auto"/>
        <w:rPr>
          <w:sz w:val="20"/>
          <w:szCs w:val="20"/>
          <w:color w:val="auto"/>
        </w:rPr>
      </w:pPr>
      <w:r>
        <w:rPr>
          <w:rFonts w:ascii="Arial" w:cs="Arial" w:eastAsia="Arial" w:hAnsi="Arial"/>
          <w:sz w:val="18"/>
          <w:szCs w:val="18"/>
          <w:color w:val="auto"/>
        </w:rPr>
        <w:t>Weighted average number of common shares, basic and diluted</w:t>
      </w:r>
    </w:p>
    <w:p>
      <w:pPr>
        <w:spacing w:after="0" w:line="1" w:lineRule="exact"/>
        <w:rPr>
          <w:sz w:val="20"/>
          <w:szCs w:val="20"/>
          <w:color w:val="auto"/>
        </w:rPr>
      </w:pPr>
    </w:p>
    <w:p>
      <w:pPr>
        <w:ind w:left="620"/>
        <w:spacing w:after="0" w:line="323" w:lineRule="auto"/>
        <w:rPr>
          <w:sz w:val="20"/>
          <w:szCs w:val="20"/>
          <w:color w:val="auto"/>
        </w:rPr>
      </w:pPr>
      <w:r>
        <w:rPr>
          <w:rFonts w:ascii="Arial" w:cs="Arial" w:eastAsia="Arial" w:hAnsi="Arial"/>
          <w:sz w:val="16"/>
          <w:szCs w:val="16"/>
          <w:color w:val="auto"/>
        </w:rPr>
        <w:t>Net loss per common share attributable to common stockholders, basic and diluted</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1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40" w:type="dxa"/>
            <w:vAlign w:val="bottom"/>
          </w:tcPr>
          <w:p>
            <w:pPr>
              <w:spacing w:after="0"/>
              <w:rPr>
                <w:sz w:val="14"/>
                <w:szCs w:val="14"/>
                <w:color w:val="auto"/>
              </w:rPr>
            </w:pPr>
          </w:p>
        </w:tc>
        <w:tc>
          <w:tcPr>
            <w:tcW w:w="21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right"/>
              <w:ind w:right="775"/>
              <w:spacing w:after="0"/>
              <w:rPr>
                <w:sz w:val="20"/>
                <w:szCs w:val="20"/>
                <w:color w:val="auto"/>
              </w:rPr>
            </w:pPr>
            <w:r>
              <w:rPr>
                <w:rFonts w:ascii="Arial" w:cs="Arial" w:eastAsia="Arial" w:hAnsi="Arial"/>
                <w:sz w:val="14"/>
                <w:szCs w:val="14"/>
                <w:b w:val="1"/>
                <w:bCs w:val="1"/>
                <w:color w:val="auto"/>
              </w:rPr>
              <w:t>June 30,</w:t>
            </w:r>
          </w:p>
        </w:tc>
      </w:tr>
      <w:tr>
        <w:trPr>
          <w:trHeight w:val="142"/>
        </w:trPr>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r>
      <w:tr>
        <w:trPr>
          <w:trHeight w:val="628"/>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(9,398)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(2,385)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(17,547)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(7,452)</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615"/>
        </w:trPr>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13,620,196</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10,228,296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13,597,243</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10,227,240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72"/>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(0.23)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-1139190</wp:posOffset>
            </wp:positionV>
            <wp:extent cx="505777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57775" cy="146050"/>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-719455</wp:posOffset>
            </wp:positionV>
            <wp:extent cx="505777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57775" cy="15430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-290830</wp:posOffset>
            </wp:positionV>
            <wp:extent cx="5057775"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57775" cy="27432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640" w:space="140"/>
            <w:col w:w="5239"/>
          </w:cols>
          <w:pgMar w:left="1440" w:top="517" w:right="1440" w:bottom="1440" w:gutter="0" w:footer="0" w:header="0"/>
          <w:type w:val="continuous"/>
        </w:sect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Company’s potential dilutive securities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w:t>
      </w:r>
    </w:p>
    <w:p>
      <w:pPr>
        <w:spacing w:after="0" w:line="181"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980" w:type="dxa"/>
            <w:vAlign w:val="bottom"/>
            <w:gridSpan w:val="4"/>
          </w:tcPr>
          <w:p>
            <w:pPr>
              <w:ind w:left="6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2,370,226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1,303,456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773,285</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233,798</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3,143,511</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1,537,254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Related Party Transactions</w:t>
      </w:r>
    </w:p>
    <w:p>
      <w:pPr>
        <w:spacing w:after="0" w:line="22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As part of the contribution of assets transacted from Tissue Banks International, now KeraLink International (“KeraLink”), to Aziyo upon formation of the Company, a provision existed which guaranteed a certain level of working capital, as defined, on the opening balance sheet of Aziyo. Such guarantee was largely finalized in 2016; however, an additional $0.4 million was received by the Company in connection with a settlement reached in 2018. Furthermore, as part of the 2018 settlement, it was agreed that when KeraLink sells its Aziyo common shares for net proceeds greater than $550,000, KeraLink is obligated to pay Aziyo $550,000 within three days of such cash being received. In May 2021, KeraLink sold Aziyo common shares for proceeds in excess of $550,000, and as such, remitted $550,000 to Aziyo in full satisfaction of the 2018 settlement. Amounts received in connection with this settlement were recorded as other income in the accompanying condensed consolidated statements of operations for the three and six months ended June 30, 2021.</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operates as one segment, regenerative medicines. The segment is based on financial information that is utilized by the Company’s Chief Operating Decision Maker (“CODM”), who is the Company’s Chief Executive Officer, to assess performance and allocate resources.</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For the three and six months ended June 30, 2022 and 2021, the Company’s net sales disaggregated by the major sources - Core Products and Non-Core Products (see Note 1) - were as follows (in thousands):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1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Sales by product</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100"/>
              <w:spacing w:after="0"/>
              <w:rPr>
                <w:sz w:val="20"/>
                <w:szCs w:val="20"/>
                <w:color w:val="auto"/>
              </w:rPr>
            </w:pPr>
            <w:r>
              <w:rPr>
                <w:rFonts w:ascii="Arial" w:cs="Arial" w:eastAsia="Arial" w:hAnsi="Arial"/>
                <w:sz w:val="18"/>
                <w:szCs w:val="18"/>
                <w:color w:val="auto"/>
              </w:rPr>
              <w:t>Core Products</w:t>
            </w:r>
          </w:p>
        </w:tc>
        <w:tc>
          <w:tcPr>
            <w:tcW w:w="6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9,052</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9,979</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17,192</w:t>
            </w:r>
          </w:p>
        </w:tc>
        <w:tc>
          <w:tcPr>
            <w:tcW w:w="200" w:type="dxa"/>
            <w:vAlign w:val="bottom"/>
          </w:tcPr>
          <w:p>
            <w:pPr>
              <w:spacing w:after="0"/>
              <w:rPr>
                <w:sz w:val="18"/>
                <w:szCs w:val="18"/>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20,642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Non-Core Products</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2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920" w:type="dxa"/>
            <w:vAlign w:val="bottom"/>
          </w:tcPr>
          <w:p>
            <w:pPr>
              <w:ind w:left="100"/>
              <w:spacing w:after="0"/>
              <w:rPr>
                <w:sz w:val="20"/>
                <w:szCs w:val="20"/>
                <w:color w:val="auto"/>
              </w:rPr>
            </w:pPr>
            <w:r>
              <w:rPr>
                <w:rFonts w:ascii="Arial" w:cs="Arial" w:eastAsia="Arial" w:hAnsi="Arial"/>
                <w:sz w:val="18"/>
                <w:szCs w:val="18"/>
                <w:color w:val="auto"/>
              </w:rPr>
              <w:t>Total Net Sales</w:t>
            </w:r>
          </w:p>
        </w:tc>
        <w:tc>
          <w:tcPr>
            <w:tcW w:w="4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12,638</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25,044</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Subsequent Event</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On August 10, 2022 (the “Closing Date”), the Company entered into a term loan facility agreement with SWK Funding LLC (the “SWK Loan Facility”) for principal amount of $25 million, with $21 million funded at closing and $4 million that becomes available, subject to the achievement of specified operational and financial metrics by September 30, 2023 (the “Additional Term Loan”). The SWK Loan Facility allows for the establishment of a new asset-based revolving loan facility of up to $8 million. The SWK Loan Facility matures on August 10, 2027 and accrues interest, payable quarterly in arrears. Principal amortization of the SWK Loan Facility starts on November 15, 2024, which amortization may be extended to November 17, 2025 if conditions to draw the Additional Term Loan have been satisfied. Principal payments during the amortization period will be limited based on revenue-based caps. The SWK Loan Facility also includes both revenue and liquidity covenants, as defined.</w:t>
      </w:r>
    </w:p>
    <w:p>
      <w:pPr>
        <w:spacing w:after="0" w:line="18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All of the SWK Loan Facility borrowings take the form of Secured Overnight Financing Rate (“SOFR”) loans and will bear interest at a rate per annum equal to the sum of an applicable margin of (i) 8.75% and the “Term SOFR Rate” (based upon an interest period of 3 months), or (ii) if the Company has elected the PIK Interest option (as defined below), 4.75% and the “Term SOFR Rate.” The Company may elect a portion of the interest due, to be paid in-kind at a rate per annum of 4.5% (“PIK Interest”), and such election may be made (x) until November 15, 2024 if the conditions to draw the Additional Term Loan have not been met, or (y) if such conditions to draw the Additional Term Loan have been satisfied, until November 17, 2025. The “Term SOFR Rate” is subject to a floor of 2.75%.</w:t>
      </w:r>
    </w:p>
    <w:p>
      <w:pPr>
        <w:spacing w:after="0" w:line="17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On August 10, 2022, the Company issued to SWK Funding LLC a warrant (the “Warrant”) to purchase, in the aggregate, up to 187,969 shares of Class A common stock of the Company, $0.001 par value per share (the “Common Stock”) at an exercise price of $6.65 per share. The Warrant is immediately exercisable for up to 157,894 shares of Common Stock from time to time on or after the Closing Date. Subject to and effective upon the borrowing by the Borrower of the Additional Term Loan, the Warrant will be exercisable for up to an additional 30,075 shares of Common Stock. The exercise price and number of shares of Common Stock issuable upon exercise of the Warrant are subject to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adjustment in the event of stock dividends, stock splits and certain other events affecting the Common Stock. Unless earlier exercised or terminated in accordance with its terms, the Warrant will expire on the seventh anniversary of the Closing Date.</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used $16 million of the proceeds of the SWK Loan Facility to prepay all of the remaining outstanding principal and accrued interest and pay all associated payoff fees on the $20 million Term Loan Facility and $8 million Revolving Credit Facility. Such payments included $12.8 million to prepay all outstanding principal and accrued interest as well as $1.7 million to pay the required prepayment and exit fees on the Term Loan Facility and $1.2 million to repay the outstanding balance and accrued interest as well as $0.3 million to pay the required exit fees on the Revolving Credit Facility.</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also used $1.4 million of the proceeds to repay the remaining balance on the promissory note with a tissue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i w:val="1"/>
          <w:iCs w:val="1"/>
          <w:color w:val="auto"/>
        </w:rPr>
        <w:t>The following discussion and analysis should be read in conjunction with our unaudited condensed consolidated financial statements and the related notes included elsewhere in this Quarterly Report, as well as the audited financial statements and the related notes thereto, and the discussion under Part II, Item 7. “Management’s Discussion and Analysis of Financial Condition and Results of Operations” included in our Annual Report. This discussion contains forward-looking statements reflecting our current expectations, estimates, plans and assumptions concerning events and financial trends that involve risks and may affect our future operating results and financial position. Actual results and the timing of events may differ materially from those contained in these forward-looking statements due to a number of factors, including those discussed in the sections entitled “Forward-Looking Statements” and Part II, Item 1A. “Risk Factors” of this Quarterly Report and in the section entitled “Risk Factor Summary” and in Part I, Item IA. “Risk Factors” of our Annual Report.</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are a commercial-stage regenerative medicine company focused on creating the next generation of differentiated products and improving outcomes in patients undergoing surgery, concentrating on patients receiving implantable medical devices. From our proprietary tissue processing platforms, we have developed a portfolio of advanced regenerative medical products that are designed to be very similar to natural biological material. Our proprietary products, which we refer to as our Core Products, are designed to address the implantable electronic device/cardiovascular, orthopedic/spinal repair and soft tissue reconstruction markets, which represented a combined $3 billion market opportunity in the United States in 2020. To expand our commercial reach, we have commercial relationships with major medical device companies, such as Boston Scientific and Biotronik, to promote and sell some of our Core Products. We believe our focus on our unique regenerative medicine platforms and our Core Products will ultimately maximize our probability of continued clinical and commercial success and will create a long-term competitive advantage for us.</w:t>
      </w:r>
    </w:p>
    <w:p>
      <w:pPr>
        <w:spacing w:after="0" w:line="16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estimate that, over the past two years, approximately two million patients per year in the United States are implanted with either medical devices, such as pacemakers, defibrillators, neuro-stimulators, spinal fusion and trauma fracture hardware or tissue expanders for breast reconstruction. This number is driven by advances in medical device technologies and an aging population with a growing incidence of comorbidities, including diabetes, obesity and cardiovascular and peripheral vascular diseases. These comorbidities can exacerbate various immune responses and other complications that can be triggered by a device implant.</w:t>
      </w:r>
    </w:p>
    <w:p>
      <w:pPr>
        <w:spacing w:after="0" w:line="19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Core Products are targeted to address unmet clinical needs with the goal of promoting healthy tissue formation and avoiding complications associated with medical device implants, such as scar-tissue formation, capsular contraction, erosion, migration, non-union of implants and implant rejection. We believe that we have developed the only biomaterial envelope, which is covered by a number of patents that forms a natural, systemically vascularized pocket for holding implanted electronic devices. We have a proprietary processing technology for manufacturing bone regenerative products for use in orthopedic/spinal repair that preserves a cell’s ability to regenerate bone and decelerates cell apoptosis or programmed cell death. We have a patented cell removal technology that produces undamaged extracellular matrices for use in soft tissue reconstruction.</w:t>
      </w:r>
    </w:p>
    <w:p>
      <w:pPr>
        <w:spacing w:after="0" w:line="17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Non-Core Products are those fulfilled through tissue processing contracts at our Richmond, California facility. These contracts serve to utilize as much as possible of the starting human biological material from which we produce our orthopedic/spinal repair and soft tissue reconstruction products, leverage our existing overhead and improve our cash flow. The resulting processed materials, including particulate bone, precision milled bone, cellular bone matrix, acellular dermis and other soft tissue products, are sold to medical/surgical companies as finished products and as a subcomponent of their products. Additionally, we process amniotic membrane as finished product for selected customers.</w:t>
      </w:r>
    </w:p>
    <w:p>
      <w:pPr>
        <w:spacing w:after="0" w:line="16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process all of our products at our two manufacturing facilities in Roswell, Georgia and Richmond, California, and stock inventory of raw materials, components and finished goods at those locations. We rely on a single or limited number of suppliers for certain raw materials and components. Except for the porcine tissue supplier of our raw materials for our CanGaroo and cardiovascular products, which is Cook Biotech, we generally have no long-term supply agreements with our suppliers, as we obtain supplies on a purchase order basis. Specifically, we acquire donated human tissue directly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through tissue procurement firms engaged by us. We primarily ship our Core Products from our facilities directly to hospital customers.</w:t>
      </w:r>
    </w:p>
    <w:p>
      <w:pPr>
        <w:spacing w:after="0" w:line="17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Since inception, we have financed our operations primarily through private placements of our convertible preferred stock, amounts borrowed under our credit facilities, sales of our products and, more recently, with proceeds from our IPO and a private placement of our common stock. We have devoted the majority of our resources to acquisitions and integration, manufacturing and administrative costs, general and administrative, research and development, clinical activity, purchase of property and equipment used in the production activities of our Richmond, California facility and investing in our commercial infrastructure through our direct sales force and our commercial partners in order to expand our presence and to promote awareness and adoption of our products. As of June 30, 2022, we had 162 employees, of which 27 were direct sales representatives.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For the six months ended June 30, 2022, we incurred a net loss of $17.5 million, and as of June 30, 2022, we had an accumulated deficit of $122.6 million. In addition, during the six months ended June 30, 2022, we used $10.7 million and $3.0 million of cash in operating and financing activities, respectively. We expect to continue to incur significant expenses and operating losses for the foreseeable future as we seek to grow our sales organization to coincide with product launches and expand our product development and clinical and research activities. Because of the numerous risks and uncertainties associated with our commercialization and development efforts, we are unable to predict when we will become profitable, and we may never become profitable. Our inability to achieve and then maintain profitability would negatively affect our business, financial condition, results of operations and cash flows.</w:t>
      </w:r>
    </w:p>
    <w:p>
      <w:pPr>
        <w:spacing w:after="0" w:line="17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ability to achieve profitability will depend on our ability to generate sales from existing or new products sufficient to exceed our ongoing operating expenses and capital requirements. Because of the numerous risks and uncertainties affecting product sales and our ongoing commercialization and product development efforts, we are unable to predict with any certainty whether we will be able to increase sales of our products or the timing or amount of ongoing expenditures we will be required to incur. Accordingly, even if we are able to increase sales of our products, we may not become profitable.</w:t>
      </w:r>
    </w:p>
    <w:p>
      <w:pPr>
        <w:spacing w:after="0" w:line="19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order to mitigate the current and potential future liquidity issues caused by the matters noted above, we may seek to raise capital through the issuance of common stock, either refinance or restructure our Term Loan Facility and Revolving Credit Facility, restructure our Revenue Interest Obligation, or pursue asset sale transactions. However, such transactions may not be successful and we may not be able to raise additional equity, refinance or restructure our debt instruments, or sell assets on acceptable terms, or at all. As such, based on our current operating plans, even after the recent debt refinancing described in Note 12 to the condensed consolidated financial statements included elsewhere in this Quarterly Report, we believe there is uncertainty as to whether our future cash flows along with our existing cash, availability under our SWK Loan Facility (described below under “– Liquidity and Capital Resources – August 2022 Debt Refinancing”)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continue to closely monitor the impact of the COVID-19 pandemic and its variants on our business. In March 2020, the World Health Organization declared COVID-19 a global pandemic and recommended various containment and mitigation measures worldwide. Since that time, the number of procedures performed using our products has intermittently decreased,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our products have intermittently been postponed or cancelled, which has negatively impacted sales of our products. These measures and challenges will likely continue for the duration of the pandemic, which is uncertain, and may reduce our net sales in the future and negatively impact our business, financial condition and results of operations while the pandemic continues.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numerous state and local jurisdictions, including those where our facilities are located, imposed, and others in the future may impose or re-impose, “shelter-in-place” orders, quarantines, executive orders and similar government orders and restrictions for their residents to control the spread of COVID-19. Such orders or restrictions resulted in reduced operations at our manufacturing facilities and service providers, travel restrictions and cancellation of events, and have restricted the ability of our sales representatives and those of our commercial partners and independent sales agents to attend procedures in which our products are used, among other effects, thereby negatively impacting our operations.</w:t>
      </w:r>
    </w:p>
    <w:p>
      <w:pPr>
        <w:spacing w:after="0" w:line="19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While access to procedures for our sales representatives and independent sales agents have begun to improve, the extent to which the COVID-19 pandemic impacts our future financial condition and results of operations will depend on future events and developments, which are highly uncertain and cannot be predicted, including the severity and spread of the disease and the effectiveness of actions to contain the disease or treat its impact, among others. As new information regarding COVID-19 continues to emerge, and, as variants of COVID-19 emerge, it is difficult to predict the degree to which this disease will ultimately affect our business.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FiberCel Recall</w:t>
      </w:r>
    </w:p>
    <w:p>
      <w:pPr>
        <w:spacing w:after="0" w:line="229" w:lineRule="exact"/>
        <w:rPr>
          <w:sz w:val="20"/>
          <w:szCs w:val="20"/>
          <w:color w:val="auto"/>
        </w:rPr>
      </w:pPr>
    </w:p>
    <w:p>
      <w:pPr>
        <w:ind w:left="60" w:right="499" w:firstLine="648"/>
        <w:spacing w:after="0" w:line="275" w:lineRule="auto"/>
        <w:rPr>
          <w:sz w:val="20"/>
          <w:szCs w:val="20"/>
          <w:color w:val="auto"/>
        </w:rPr>
      </w:pPr>
      <w:r>
        <w:rPr>
          <w:rFonts w:ascii="Arial" w:cs="Arial" w:eastAsia="Arial" w:hAnsi="Arial"/>
          <w:sz w:val="17"/>
          <w:szCs w:val="17"/>
          <w:color w:val="auto"/>
        </w:rPr>
        <w:t>In June 2021, we issued a voluntary recall pertaining to a single donor lot of our FiberCel Fiber Viable Bone Matrix, a bone repair product formerly distributed by Medtronic, after learning of postsurgical infections reported in several patients treated with the product, including some patients that tested positive for tuberculosis. For information about legal proceedings in which we are involved and the possible future financial implications, see Note 8 to the condensed consolidated financial statements included elsewhere in this Quarterly Report.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recognize revenue on the sale of our Core Products and our Non-Core Products. With respect to our Core Products, CanGaroo and our cardiovascular products are sold to hospitals and other healthcare facilities primarily through our direct sales force, commercial partners or independent sales agents. Our orthopedic/spinal repair products are sold through commercial partners. Our soft tissue reconstruction product SimpliDerm is sold directly to hospitals and other healthcare facilities through independent sales agents. Our contract manufacturing products are sold directly to corporate customers. Gross to net sales adjustments include sales returns and prompt payment and volume discounts.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recent years, we have incurred significant costs in the operation of our business. We expect that our expenses will increase in the foreseeable future as we grow our sales and marketing organization to coincide with new product launches and expand our product development and clinical activities to support our current and pipeline products. As a result, we will need to generate significant net sales in order to achieve profitability. Below is a breakdown of our main expense categories and the related expenses incurred in each category: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Costs of Goods Sold</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cost of goods sold relate to purchased raw materials and the processing and conversion costs of such raw materials consisting primarily of salaries and benefits, supplies, quality control testing and the manufacturing overhead incurred at our processing facilities in Richmond, California and Roswell, Georgia. Both facilities have additional capacity, which if utilized, would further leverage our fixed overhead. Cost of goods sold also includes the amortization of intangibles generated from the CorMatrix Acquisition in 2017.</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Sales and marketing expenses are primarily related to our direct sales force, consisting of salaries, commission compensation, fringe benefits, meals and other expenses. Auto and travel costs have also historically contributed to sales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and marketing expenses, albeit to a lesser extent due to the COVID-19 pandemic. Outside of our direct sales force, we incur significant expenses relating to commissions to our CanGaroo commercial partners and independent sales agents. Additionally, this expense category includes distribution costs as well as market research, trade show attendance, advertising and public relations related to our products, and customer service expenses. We expect sales and marketing expenses to grow commensurate with sales increases, and to an even larger degree in the near-term to the extent we grow our direct sales force and increase marketing activities to coincide with new product launches.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General and administrative (“G&amp;A”) expenses consist primarily of compensation, consulting, legal, human resources, information technology, accounting, insurance and general business expenses. Our G&amp;A expenses have increased as a result of operating as a public company, especially as a result of hiring additional personnel and incurring greater director and officer insurance premiums, greater investor relations costs, and additional costs associated with accounting, legal, tax-related and other services associated with maintaining compliance with exchange listing and SEC requirements.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Research and development (“R&amp;D”) expenses consist primarily of salaries and fringe benefits, laboratory supplies, clinical trials and outside service costs. Our product development efforts primarily relate to new offerings in support of the orthopedic/spinal repair market and activities associated with the development of a CanGaroo Envelope with antibiotics. We also conduct clinical trials to validate the performance characteristics of our products and to capture patient data necessary to support our commercial efforts.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w w:val="93"/>
              </w:rPr>
              <w:t>Three Months Ended June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vMerge w:val="restart"/>
          </w:tcPr>
          <w:p>
            <w:pPr>
              <w:jc w:val="right"/>
              <w:ind w:right="230"/>
              <w:spacing w:after="0"/>
              <w:rPr>
                <w:sz w:val="20"/>
                <w:szCs w:val="20"/>
                <w:color w:val="auto"/>
              </w:rPr>
            </w:pPr>
            <w:r>
              <w:rPr>
                <w:rFonts w:ascii="Arial" w:cs="Arial" w:eastAsia="Arial" w:hAnsi="Arial"/>
                <w:sz w:val="14"/>
                <w:szCs w:val="14"/>
                <w:b w:val="1"/>
                <w:bCs w:val="1"/>
                <w:color w:val="auto"/>
              </w:rPr>
              <w:t>Change 2021 / 2022</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80"/>
              <w:spacing w:after="0" w:line="142" w:lineRule="exact"/>
              <w:rPr>
                <w:sz w:val="20"/>
                <w:szCs w:val="20"/>
                <w:color w:val="auto"/>
              </w:rPr>
            </w:pPr>
            <w:r>
              <w:rPr>
                <w:rFonts w:ascii="Arial" w:cs="Arial" w:eastAsia="Arial" w:hAnsi="Arial"/>
                <w:sz w:val="14"/>
                <w:szCs w:val="14"/>
                <w:b w:val="1"/>
                <w:bCs w:val="1"/>
                <w:color w:val="auto"/>
                <w:w w:val="76"/>
              </w:rPr>
              <w:t>2022</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Amount</w:t>
            </w: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Pr>
          <w:p>
            <w:pPr>
              <w:spacing w:after="0"/>
              <w:rPr>
                <w:sz w:val="10"/>
                <w:szCs w:val="10"/>
                <w:color w:val="auto"/>
              </w:rPr>
            </w:pPr>
          </w:p>
        </w:tc>
        <w:tc>
          <w:tcPr>
            <w:tcW w:w="70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3"/>
          </w:tcPr>
          <w:p>
            <w:pPr>
              <w:jc w:val="right"/>
              <w:ind w:right="318"/>
              <w:spacing w:after="0"/>
              <w:rPr>
                <w:sz w:val="20"/>
                <w:szCs w:val="20"/>
                <w:color w:val="auto"/>
              </w:rPr>
            </w:pPr>
            <w:r>
              <w:rPr>
                <w:rFonts w:ascii="Arial" w:cs="Arial" w:eastAsia="Arial" w:hAnsi="Arial"/>
                <w:sz w:val="14"/>
                <w:szCs w:val="14"/>
                <w:b w:val="1"/>
                <w:bCs w:val="1"/>
                <w:color w:val="auto"/>
              </w:rPr>
              <w:t>Sales</w:t>
            </w:r>
          </w:p>
        </w:tc>
        <w:tc>
          <w:tcPr>
            <w:tcW w:w="760" w:type="dxa"/>
            <w:vAlign w:val="bottom"/>
            <w:gridSpan w:val="2"/>
            <w:vMerge w:val="continue"/>
          </w:tcPr>
          <w:p>
            <w:pPr>
              <w:spacing w:after="0"/>
              <w:rPr>
                <w:sz w:val="14"/>
                <w:szCs w:val="14"/>
                <w:color w:val="auto"/>
              </w:rPr>
            </w:pPr>
          </w:p>
        </w:tc>
        <w:tc>
          <w:tcPr>
            <w:tcW w:w="7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Sales</w:t>
            </w: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12,638</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12,160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478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7,740</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61.2 %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6,546</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53.8 %</w:t>
            </w:r>
          </w:p>
        </w:tc>
        <w:tc>
          <w:tcPr>
            <w:tcW w:w="700" w:type="dxa"/>
            <w:vAlign w:val="bottom"/>
          </w:tcPr>
          <w:p>
            <w:pPr>
              <w:jc w:val="right"/>
              <w:spacing w:after="0"/>
              <w:rPr>
                <w:sz w:val="20"/>
                <w:szCs w:val="20"/>
                <w:color w:val="auto"/>
              </w:rPr>
            </w:pPr>
            <w:r>
              <w:rPr>
                <w:rFonts w:ascii="Arial" w:cs="Arial" w:eastAsia="Arial" w:hAnsi="Arial"/>
                <w:sz w:val="18"/>
                <w:szCs w:val="18"/>
                <w:color w:val="auto"/>
              </w:rPr>
              <w:t>1,194</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16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16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8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6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5,406</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42.8 %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4,799</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39.5 %</w:t>
            </w:r>
          </w:p>
        </w:tc>
        <w:tc>
          <w:tcPr>
            <w:tcW w:w="700" w:type="dxa"/>
            <w:vAlign w:val="bottom"/>
          </w:tcPr>
          <w:p>
            <w:pPr>
              <w:jc w:val="right"/>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16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6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2,617</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1,881</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15.5 %</w:t>
            </w:r>
          </w:p>
        </w:tc>
        <w:tc>
          <w:tcPr>
            <w:tcW w:w="700" w:type="dxa"/>
            <w:vAlign w:val="bottom"/>
          </w:tcPr>
          <w:p>
            <w:pPr>
              <w:jc w:val="right"/>
              <w:spacing w:after="0"/>
              <w:rPr>
                <w:sz w:val="20"/>
                <w:szCs w:val="20"/>
                <w:color w:val="auto"/>
              </w:rPr>
            </w:pPr>
            <w:r>
              <w:rPr>
                <w:rFonts w:ascii="Arial" w:cs="Arial" w:eastAsia="Arial" w:hAnsi="Arial"/>
                <w:sz w:val="18"/>
                <w:szCs w:val="18"/>
                <w:color w:val="auto"/>
              </w:rPr>
              <w:t>736</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13,080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10,209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(8,182)</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(4,595)</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700" w:type="dxa"/>
            <w:vAlign w:val="bottom"/>
          </w:tcPr>
          <w:p>
            <w:pPr>
              <w:jc w:val="right"/>
              <w:spacing w:after="0"/>
              <w:rPr>
                <w:sz w:val="20"/>
                <w:szCs w:val="20"/>
                <w:color w:val="auto"/>
              </w:rPr>
            </w:pPr>
            <w:r>
              <w:rPr>
                <w:rFonts w:ascii="Arial" w:cs="Arial" w:eastAsia="Arial" w:hAnsi="Arial"/>
                <w:sz w:val="18"/>
                <w:szCs w:val="18"/>
                <w:color w:val="auto"/>
              </w:rPr>
              <w:t>(3,587)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6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6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3"/>
          </w:tcPr>
          <w:p>
            <w:pPr>
              <w:jc w:val="right"/>
              <w:ind w:right="58"/>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(3,579)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700" w:type="dxa"/>
            <w:vAlign w:val="bottom"/>
          </w:tcPr>
          <w:p>
            <w:pPr>
              <w:jc w:val="right"/>
              <w:spacing w:after="0"/>
              <w:rPr>
                <w:sz w:val="20"/>
                <w:szCs w:val="20"/>
                <w:color w:val="auto"/>
              </w:rPr>
            </w:pPr>
            <w:r>
              <w:rPr>
                <w:rFonts w:ascii="Arial" w:cs="Arial" w:eastAsia="Arial" w:hAnsi="Arial"/>
                <w:sz w:val="18"/>
                <w:szCs w:val="18"/>
                <w:color w:val="auto"/>
              </w:rPr>
              <w:t>3,579</w:t>
            </w:r>
          </w:p>
        </w:tc>
        <w:tc>
          <w:tcPr>
            <w:tcW w:w="160" w:type="dxa"/>
            <w:vAlign w:val="bottom"/>
          </w:tcPr>
          <w:p>
            <w:pPr>
              <w:spacing w:after="0"/>
              <w:rPr>
                <w:sz w:val="18"/>
                <w:szCs w:val="18"/>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Loss before provision of income taxes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160" w:type="dxa"/>
            <w:vAlign w:val="bottom"/>
            <w:vMerge w:val="continue"/>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60" w:type="dxa"/>
            <w:vAlign w:val="bottom"/>
            <w:vMerge w:val="continue"/>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16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 (7,013)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Net sales increased $0.4 million, or 3.9%, to $12.6 million in the three months ended June 30, 2022 compared to $12.2 million in the three months ended June 30, 2021. The improvement in net sales was due to growth in net sales of our Non-Core Products of $1.4 million, partially offset by a decrease in the net sales of our Core Products of $0.9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sales information for our Core Products and Non-Core Products is summarized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2"/>
              </w:rPr>
              <w:t>Three Months Ended 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4"/>
            <w:vMerge w:val="restart"/>
          </w:tcPr>
          <w:p>
            <w:pPr>
              <w:jc w:val="right"/>
              <w:ind w:right="330"/>
              <w:spacing w:after="0"/>
              <w:rPr>
                <w:sz w:val="20"/>
                <w:szCs w:val="20"/>
                <w:color w:val="auto"/>
              </w:rPr>
            </w:pPr>
            <w:r>
              <w:rPr>
                <w:rFonts w:ascii="Arial" w:cs="Arial" w:eastAsia="Arial" w:hAnsi="Arial"/>
                <w:sz w:val="14"/>
                <w:szCs w:val="14"/>
                <w:b w:val="1"/>
                <w:bCs w:val="1"/>
                <w:color w:val="auto"/>
                <w:w w:val="95"/>
              </w:rPr>
              <w:t>Change 2021 / 2022</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Net</w:t>
            </w:r>
          </w:p>
        </w:tc>
        <w:tc>
          <w:tcPr>
            <w:tcW w:w="360" w:type="dxa"/>
            <w:vAlign w:val="bottom"/>
            <w:gridSpan w:val="2"/>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2"/>
                <w:szCs w:val="12"/>
                <w:color w:val="auto"/>
              </w:rPr>
            </w:pPr>
          </w:p>
        </w:tc>
        <w:tc>
          <w:tcPr>
            <w:tcW w:w="64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940" w:type="dxa"/>
            <w:vAlign w:val="bottom"/>
            <w:gridSpan w:val="3"/>
          </w:tcPr>
          <w:p>
            <w:pPr>
              <w:jc w:val="right"/>
              <w:ind w:right="387"/>
              <w:spacing w:after="0" w:line="142" w:lineRule="exact"/>
              <w:rPr>
                <w:sz w:val="20"/>
                <w:szCs w:val="20"/>
                <w:color w:val="auto"/>
              </w:rPr>
            </w:pPr>
            <w:r>
              <w:rPr>
                <w:rFonts w:ascii="Arial" w:cs="Arial" w:eastAsia="Arial" w:hAnsi="Arial"/>
                <w:sz w:val="14"/>
                <w:szCs w:val="14"/>
                <w:b w:val="1"/>
                <w:bCs w:val="1"/>
                <w:color w:val="auto"/>
              </w:rPr>
              <w:t>Sales</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8"/>
              </w:rPr>
              <w:t>Amount</w:t>
            </w:r>
          </w:p>
        </w:tc>
        <w:tc>
          <w:tcPr>
            <w:tcW w:w="86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Sales</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Core Products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9,052</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71.6 % $</w:t>
            </w:r>
          </w:p>
        </w:tc>
        <w:tc>
          <w:tcPr>
            <w:tcW w:w="680" w:type="dxa"/>
            <w:vAlign w:val="bottom"/>
          </w:tcPr>
          <w:p>
            <w:pPr>
              <w:jc w:val="right"/>
              <w:spacing w:after="0"/>
              <w:rPr>
                <w:sz w:val="20"/>
                <w:szCs w:val="20"/>
                <w:color w:val="auto"/>
              </w:rPr>
            </w:pPr>
            <w:r>
              <w:rPr>
                <w:rFonts w:ascii="Arial" w:cs="Arial" w:eastAsia="Arial" w:hAnsi="Arial"/>
                <w:sz w:val="18"/>
                <w:szCs w:val="18"/>
                <w:color w:val="auto"/>
              </w:rPr>
              <w:t>9,979</w:t>
            </w:r>
          </w:p>
        </w:tc>
        <w:tc>
          <w:tcPr>
            <w:tcW w:w="180" w:type="dxa"/>
            <w:vAlign w:val="bottom"/>
          </w:tcPr>
          <w:p>
            <w:pPr>
              <w:spacing w:after="0"/>
              <w:rPr>
                <w:sz w:val="18"/>
                <w:szCs w:val="18"/>
                <w:color w:val="auto"/>
              </w:rPr>
            </w:pPr>
          </w:p>
        </w:tc>
        <w:tc>
          <w:tcPr>
            <w:tcW w:w="1020" w:type="dxa"/>
            <w:vAlign w:val="bottom"/>
            <w:gridSpan w:val="3"/>
          </w:tcPr>
          <w:p>
            <w:pPr>
              <w:jc w:val="right"/>
              <w:ind w:right="7"/>
              <w:spacing w:after="0"/>
              <w:rPr>
                <w:sz w:val="20"/>
                <w:szCs w:val="20"/>
                <w:color w:val="auto"/>
              </w:rPr>
            </w:pPr>
            <w:r>
              <w:rPr>
                <w:rFonts w:ascii="Arial" w:cs="Arial" w:eastAsia="Arial" w:hAnsi="Arial"/>
                <w:sz w:val="18"/>
                <w:szCs w:val="18"/>
                <w:color w:val="auto"/>
              </w:rPr>
              <w:t>82.1 % $</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(927)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Non-Core Products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64.4 %</w:t>
            </w:r>
          </w:p>
        </w:tc>
        <w:tc>
          <w:tcPr>
            <w:tcW w:w="0" w:type="dxa"/>
            <w:vAlign w:val="bottom"/>
          </w:tcPr>
          <w:p>
            <w:pPr>
              <w:spacing w:after="0"/>
              <w:rPr>
                <w:sz w:val="1"/>
                <w:szCs w:val="1"/>
                <w:color w:val="auto"/>
              </w:rPr>
            </w:pPr>
          </w:p>
        </w:tc>
      </w:tr>
      <w:tr>
        <w:trPr>
          <w:trHeight w:val="210"/>
        </w:trPr>
        <w:tc>
          <w:tcPr>
            <w:tcW w:w="34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Net Sales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12,638</w:t>
            </w:r>
          </w:p>
        </w:tc>
        <w:tc>
          <w:tcPr>
            <w:tcW w:w="2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12,160</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Net sales generated by our Core Products declined $0.9 million, or 9.3%, to $9.1 million in the three months ended June 30, 2022 compared to $10.0 million in the three months ended June 30, 2021. The Core Products net sales reduction can be attributed to the cessation of purchases by Medtronic of FiberCel following our recall of a single lot of FiberCel in June 2021 partially offset by sales volume increases in our CanGaroo and SimpliDerm products. Sales of FiberCel to Medtronic were $1.7 million in the three months ended June 30, 2021.</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sales generated by our Non-Core Products increased $1.4 million, or 64.3%, to $3.6 million in the three months ended June 30, 2022 compared to $2.2 million in the three months ended June 30, 2021. The increase was primarily driven by a growth in the revenue from several contract manufacturing customers, including significant sales volume increases to ACE Surgical Supply.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Cost of goods sold was $7.7 million and $6.5 million in the three months ended June 30, 2022 and 2021, respectively, and included, in each case, $0.8 million of intangible asset amortization expenses. Gross margin in the three months ended June 30, 2022 was 38.8%, a decrease from 46.2% in the corresponding prior year period. Gross margin, excluding intangible asset amortization, in the three months ended June 30, 2022 was 45.5%, a decline from 53.1% in the corresponding prior year period. Gross margin, excluding intangible asset amortization, is a non-GAAP financial measure. See "Non-GAAP Financial Measures” for a discussion regarding our use of gross margin, excluding intangible asset amortization, including its limitations and a reconciliation to the most directly comparable GAAP financial measure. The decrease in gross margin and increase to cost of goods sold was primarily due to product mix (higher Non-Core Products’ revenues in 2022 with lower gross margins).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Sales and marketing expenses increased $0.6 million, or 12.6%, to $5.4 million in the three months ended June 30, 2022 compared to $4.8 million in the three months ended June 30, 2021. As a percentage of sales, sales and marketing expenses grew to 42.8% in the three months ended June 30, 2022 from 39.5% in the three months ended June 30, 2021. The increase as a percentage of sales was the result of (i) primarily, the growth during the three months ended June 30, 2022 of revenues from sales by us directly to the end user as such revenues have higher selling costs than our “business to business” revenues and (ii) higher stock-based compensation and travel costs related to our sales force.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G&amp;A expenses increased $1.5 million, or 43.3%, to $5.1 million in the three months ended June 30, 2022 compared to $3.5 million in the three months ended June 30, 2021. As a percentage of net sales, G&amp;A expenses increased to 40.0% in the three months ended June 30, 2022 from 29.0% in the three months ended June 30, 2021. The increase in expense was primarily due to higher stock-based compensation as well as costs associated with the FiberCel Litigation and our CEO transition described in Note 4 to the condensed consolidated financial statements included elsewhere in this Quarterly Report that we did not incur in the 2021 period.</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R&amp;D expenses increased to $2.6 million in the three months ended June 30, 2022 compared to $1.9 million in the three months ended June 30, 2021. We continue to focus our R&amp;D efforts on the development of our pipeline products and the growth in R&amp;D expenses in the three months ended June 30, 2022 was largely attributable to the work performed on the final development and testing of our CanGaroo with antibiotics.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Interest expense was approximately $1.2 million in the three months ended June 30, 2022 compared to $1.4 million in the three months ended June 30, 2021. The decrease was due to lower draws on our Revolving Credit Agreement and lower outstanding principal on our Term Loan Credit Agreement (as defined below) due to the commencement of principal payments in August 2021. See “Credit Facilities” below for further discussion of these debt agreements and Note 7 to the condensed consolidated financial statements included elsewhere in this Quarterly Report for a description of our Revenue Interest Obligation and the interest expense related thereto.</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Other (income) expense, net was approximately $3.6 million of income in the three months ended June 30, 2021. Such other income relates to the forgiveness of our PPP Loan totaling approximately $3.0 million and the Company’s receipt of $550,000 in satisfaction of a 2018 settlement with Keralink. For further discussion on these items, see Notes 6 and 10 to the condensed consolidated financial statements shown elsewhere in this Quarterly Report. We did not incur any other (income) expense during the three months ended June 30,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vMerge w:val="restart"/>
          </w:tcPr>
          <w:p>
            <w:pPr>
              <w:jc w:val="right"/>
              <w:ind w:right="370"/>
              <w:spacing w:after="0"/>
              <w:rPr>
                <w:sz w:val="20"/>
                <w:szCs w:val="20"/>
                <w:color w:val="auto"/>
              </w:rPr>
            </w:pPr>
            <w:r>
              <w:rPr>
                <w:rFonts w:ascii="Arial" w:cs="Arial" w:eastAsia="Arial" w:hAnsi="Arial"/>
                <w:sz w:val="14"/>
                <w:szCs w:val="14"/>
                <w:b w:val="1"/>
                <w:bCs w:val="1"/>
                <w:color w:val="auto"/>
                <w:w w:val="92"/>
              </w:rPr>
              <w:t>Change 2021 / 2022</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top w:val="single" w:sz="8" w:color="auto"/>
            </w:tcBorders>
            <w:vMerge w:val="restart"/>
          </w:tcPr>
          <w:p>
            <w:pPr>
              <w:spacing w:after="0"/>
              <w:rPr>
                <w:sz w:val="10"/>
                <w:szCs w:val="10"/>
                <w:color w:val="auto"/>
              </w:rPr>
            </w:pPr>
          </w:p>
        </w:tc>
        <w:tc>
          <w:tcPr>
            <w:tcW w:w="5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top w:val="single" w:sz="8" w:color="auto"/>
            </w:tcBorders>
            <w:vMerge w:val="restart"/>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 of Net</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253"/>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Sales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Sales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25,044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14,954</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62.0 %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13,101</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52.3 %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1,853</w:t>
            </w:r>
          </w:p>
        </w:tc>
        <w:tc>
          <w:tcPr>
            <w:tcW w:w="140" w:type="dxa"/>
            <w:vAlign w:val="bottom"/>
          </w:tcPr>
          <w:p>
            <w:pPr>
              <w:spacing w:after="0"/>
              <w:rPr>
                <w:sz w:val="18"/>
                <w:szCs w:val="18"/>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11,943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10,224</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42.4 %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9,502</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37.9 %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18"/>
                <w:szCs w:val="18"/>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4,889</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3,601</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1,288</w:t>
            </w:r>
          </w:p>
        </w:tc>
        <w:tc>
          <w:tcPr>
            <w:tcW w:w="140" w:type="dxa"/>
            <w:vAlign w:val="bottom"/>
          </w:tcPr>
          <w:p>
            <w:pPr>
              <w:spacing w:after="0"/>
              <w:rPr>
                <w:sz w:val="18"/>
                <w:szCs w:val="18"/>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35.8 %</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24,283</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20,237</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60" w:type="dxa"/>
            <w:vAlign w:val="bottom"/>
            <w:gridSpan w:val="2"/>
          </w:tcPr>
          <w:p>
            <w:pPr>
              <w:ind w:left="12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(15,104)</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(8,294)</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w:t>
            </w: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3"/>
          </w:tcPr>
          <w:p>
            <w:pPr>
              <w:jc w:val="right"/>
              <w:ind w:right="5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(3,579)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3,579</w:t>
            </w:r>
          </w:p>
        </w:tc>
        <w:tc>
          <w:tcPr>
            <w:tcW w:w="14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Loss before provision of income taxes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3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(17,523)</w:t>
            </w:r>
          </w:p>
        </w:tc>
        <w:tc>
          <w:tcPr>
            <w:tcW w:w="14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16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(10,102)</w:t>
            </w:r>
          </w:p>
        </w:tc>
        <w:tc>
          <w:tcPr>
            <w:tcW w:w="14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(17,547)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(10,095)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Net sales decreased $0.9 million, or 3.6%, to $24.1 million in the six months ended June 30, 2022 compared to $25.0 million in the six months ended June 30, 2021. The decline in net sales was due to reductions in the net sales of our Core Products of $3.4 million, partially offset by growth in the net sales of our Non-Core Products of $2.5 million.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sales information for our Core Products and Non-Core Products is summarized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5"/>
              </w:rPr>
              <w:t>Six Months Ended June 30,</w:t>
            </w: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4"/>
            <w:vMerge w:val="restart"/>
          </w:tcPr>
          <w:p>
            <w:pPr>
              <w:jc w:val="right"/>
              <w:ind w:right="510"/>
              <w:spacing w:after="0"/>
              <w:rPr>
                <w:sz w:val="20"/>
                <w:szCs w:val="20"/>
                <w:color w:val="auto"/>
              </w:rPr>
            </w:pPr>
            <w:r>
              <w:rPr>
                <w:rFonts w:ascii="Arial" w:cs="Arial" w:eastAsia="Arial" w:hAnsi="Arial"/>
                <w:sz w:val="14"/>
                <w:szCs w:val="14"/>
                <w:b w:val="1"/>
                <w:bCs w:val="1"/>
                <w:color w:val="auto"/>
                <w:w w:val="95"/>
              </w:rPr>
              <w:t>Change 2021 / 2022</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9"/>
              </w:rPr>
              <w:t>% of Net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Net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60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Sales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Amount</w:t>
            </w:r>
          </w:p>
        </w:tc>
        <w:tc>
          <w:tcPr>
            <w:tcW w:w="62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Products: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Core Products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17,192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320" w:type="dxa"/>
            <w:vAlign w:val="bottom"/>
            <w:gridSpan w:val="3"/>
          </w:tcPr>
          <w:p>
            <w:pPr>
              <w:ind w:left="20"/>
              <w:spacing w:after="0"/>
              <w:rPr>
                <w:sz w:val="20"/>
                <w:szCs w:val="20"/>
                <w:color w:val="auto"/>
              </w:rPr>
            </w:pPr>
            <w:r>
              <w:rPr>
                <w:rFonts w:ascii="Arial" w:cs="Arial" w:eastAsia="Arial" w:hAnsi="Arial"/>
                <w:sz w:val="18"/>
                <w:szCs w:val="18"/>
                <w:color w:val="auto"/>
                <w:w w:val="90"/>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20,642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82.4</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0"/>
              </w:rPr>
              <w:t>% $</w:t>
            </w:r>
          </w:p>
        </w:tc>
        <w:tc>
          <w:tcPr>
            <w:tcW w:w="620" w:type="dxa"/>
            <w:vAlign w:val="bottom"/>
          </w:tcPr>
          <w:p>
            <w:pPr>
              <w:jc w:val="right"/>
              <w:spacing w:after="0"/>
              <w:rPr>
                <w:sz w:val="20"/>
                <w:szCs w:val="20"/>
                <w:color w:val="auto"/>
              </w:rPr>
            </w:pPr>
            <w:r>
              <w:rPr>
                <w:rFonts w:ascii="Arial" w:cs="Arial" w:eastAsia="Arial" w:hAnsi="Arial"/>
                <w:sz w:val="18"/>
                <w:szCs w:val="18"/>
                <w:color w:val="auto"/>
              </w:rPr>
              <w:t>(3,450)</w:t>
            </w:r>
          </w:p>
        </w:tc>
        <w:tc>
          <w:tcPr>
            <w:tcW w:w="18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Non-Core Products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57.7 %</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8"/>
                <w:szCs w:val="18"/>
                <w:b w:val="1"/>
                <w:bCs w:val="1"/>
                <w:color w:val="auto"/>
              </w:rPr>
              <w:t>Total Net Sales</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24,133</w:t>
            </w:r>
          </w:p>
        </w:tc>
        <w:tc>
          <w:tcPr>
            <w:tcW w:w="20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25,044</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Net sales generated by our Core Products declined $3.4 million, or 16.7%, to $17.2 million in the six months ended June 30, 2022 compared to $20.6 million in the six months ended June 30, 2021. The Core Products net sales reduction can be attributed to the cessation of purchases by Medtronic of FiberCel following our recall of a single lot of FiberCel in June 2021 partially offset by sales volume increases in our CanGaroo and SimpliDerm products. Sales of FiberCel to Medtronic were $4.5 million in the six months ended June 30, 2021.</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sales generated by our Non-Core Products increased $2.5 million, or 57.7%, to $6.9 million in the six months ended June 30, 2022 compared to $4.4 million in the six months ended June 30, 2021. The increase was primarily driven by a growth in the revenue from several contract manufacturing customers, including significant sales volume increases to ACE Surgical Supply.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Cost of goods sold was $15.0 million and $13.1 million in the six months ended June 30, 2022 and 2021, respectively, and included, in each case, $1.7 million of intangible asset amortization expenses. Gross margin in the six months ended June 30, 2022 was 38.0%, a decrease from 47.7% in the corresponding prior year period. Gross margin, excluding intangible asset amortization, in the six months ended June 30, 2022 was 45.1%, a decline from 54.5% in the corresponding prior year period. Gross margin, excluding intangible asset amortization, is a non-GAAP financial measure. See "Non-GAAP Financial Measures” for a discussion regarding our use of gross margin, excluding intangible asset amortization, including its limitations and a reconciliation to the most directly comparable GAAP financial measure. The decrease in gross margin and increase to cost of goods sold was primarily due to product mix (higher Non-Core revenues in 2022 with lower gross margins).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Sales and marketing expenses increased $0.7 million, or 7.6%, to $10.2 million in the six months ended June 30, 2022 compared to $9.5 million in the six months ended June 30, 2021. As a percentage of sales, sales and marketing expenses grew to 42.4% in the six months ended June 30, 2022 from 37.9% in the six months ended June 30, 2021. The increase as a percentage of sales was the result of (i) primarily, the growth during the six months ended June 30, 2022 of revenues from sales by us directly to the end user as such revenues have higher selling costs than our “business to business” revenues, and (ii) higher stock-based compensation and travel costs related to our sales force.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G&amp;A expenses increased $2.1 million, or 28.5%, to $9.2 million in the six months ended June 30, 2022 compared to $7.1 million in the six months ended June 30, 2021. As a percentage of net sales, G&amp;A expenses increased to 38.0% in the six months ended June 30, 2022 from 28.5% in the six months ended June 30, 2021. The increase in expense was primarily due to higher stock-based compensation as well as costs associated with FiberCel Litigation and our CEO transition described in Note 4 to the condensed consolidated financial statements included elsewhere in this Quarterly Report that we did not incur in the 2021 period.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R&amp;D expenses increased to $4.9 million in the six months ended June 30, 2022 compared to $3.6 million in the six months ended June 30, 2021. We continue to focus our R&amp;D efforts on the development of our pipeline products and the growth in R&amp;D expenses in the six months ended June 30, 2022 was largely attributable to the work performed on the final development and testing of our CanGaroo with antibiotics.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Interest expense was approximately $2.4 million in the six months ended June 30, 2022 compared to $2.7 million in the six months ended June 30, 2021. The decrease was due to lower draws on our Revolving Credit Agreement and lower outstanding principal on our Term Loan Credit Agreement (as defined below) due to the commencement of principal payments in August 2021. See “Credit Facilities” below for further discussion of these debt agreements and Note 7 to the condensed consolidated financial statements included elsewhere in this Quarterly Report for a description of our Revenue Interest Obligation and the interest expense related thereto.</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Other (income) expense, net was approximately $3.6 million of income in the six months ended June 30, 2021. Such other income relates to the forgiveness of our PPP Loan totaling approximately $3.0 million and the Company’s receipt of $550,000 in satisfaction of a 2018 settlement with Keralink. For further discussion on these items, see Notes 6 and 10 to the condensed consolidated financial statements shown elsewhere in this Quarterly Report. We did not incur any other (income) expense during the six months ended June 30,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This Quarterly Report presents our gross margin, excluding intangible asset amortization, for the three and six months ended June 30, 2022 and 2021. We calculate gross margin, excluding intangible asset amortization, as gross profit, excluding amortization expense relating to intangible assets we acquired in the CorMatrix Acquisition, divided by net sales. Gross margin, excluding intangible asset amortization, is a supplemental measure of our performance, is not defined by or presented in accordance with U.S. generally accepted accounting principles (“GAAP”), has limitations as an analytical tool and should not be considered in isolation or as an alternative to our GAAP gross margin, gross profit or any other financial performance measure presented in accordance with GAAP. We present gross margin, excluding intangible asset amortization, because we believe that it provides meaningful supplemental information regarding our operating performance by removing the impact of amortization expense, which is not indicative of our overall operating performance. We believe this provides our management and investors with useful information to facilitate period-to-period comparisons of our operating results. Our management uses this metric in assessing the health of our business and our operating performance, and we believe investors’ understanding of our operating performance is similarly enhanced by our presentation of this metric. In addition, other companies, including companies in our industry, may use other measures to evaluate their performance, which could reduce the usefulness of this non-GAAP financial measure as a tool for comparison.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presents a reconciliation of our gross margin, excluding intangible asset amortization, for the three and six months ended June 30, 2022 and 2021 to the most directly comparable GAAP financial measure, which is our GAAP gross margin (in thousands).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w w:val="98"/>
              </w:rPr>
              <w:t>Three Months Ended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4"/>
                <w:szCs w:val="14"/>
                <w:b w:val="1"/>
                <w:bCs w:val="1"/>
                <w:color w:val="auto"/>
              </w:rPr>
              <w:t>June 30,</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12,638</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12,160</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$ 24,133</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$ 25,044</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Cost of goods sold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7,740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6,546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14,954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13,101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Arial" w:cs="Arial" w:eastAsia="Arial" w:hAnsi="Arial"/>
                <w:sz w:val="18"/>
                <w:szCs w:val="18"/>
                <w:color w:val="auto"/>
              </w:rPr>
              <w:t>Intangible asset amortization expense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1,698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1,698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excluding intangible asset amortization</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$ 10,877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$ 13,641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80" w:type="dxa"/>
            <w:vAlign w:val="bottom"/>
            <w:vMerge w:val="restart"/>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vMerge w:val="restart"/>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38.8</w:t>
            </w:r>
          </w:p>
        </w:tc>
        <w:tc>
          <w:tcPr>
            <w:tcW w:w="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46.2</w:t>
            </w:r>
          </w:p>
        </w:tc>
        <w:tc>
          <w:tcPr>
            <w:tcW w:w="2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38.0</w:t>
            </w:r>
          </w:p>
        </w:tc>
        <w:tc>
          <w:tcPr>
            <w:tcW w:w="1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47.7</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margin, excluding intangible asset amortization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Historically, we have experienced seasonality, with lower sales in our first and second quarter and higher sales in our fourth quarter, and we expect this trend to continue. We have experienced and may in the future experience higher sales in the fourth quarter as a result of hospitals in the United States increasing their purchases of our products to coincide with the end of their budget cycles. Satisfaction of patient deductibles throughout the course of the year also results in increased sales later in the year, once patients have paid their annual insurance deductibles in full, which reduces their out-of-pocket costs. Conversely, our first quarter generally has lower sales than the preceding fourth quarter as patient deductibles are re-established with the new year, which increases their out-of-pocket costs.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of June 30, 2022, we had cash and restricted cash of approximately $16.5 million and availability under our Revolving Credit Facility of $1.0 million. In August 2022, we refinanced our debt as described below under “— August 2022 Debt Refinancing. Since inception, we have financed our operations primarily through private placements of our convertible preferred stock, amounts borrowed under our credit facilities, sales of our products and more recently, proceeds from our IPO and a private placement of our common stock. Our historical cash outflows have primarily been associated with acquisitions and integration, manufacturing and administrative costs, general and marketing, research and development, clinical activity, purchase of property and equipment used in the production activities of our Richmond, California facility and investing in our commercial infrastructure through our direct sales force and our commercial partners in order to expand our presence and to promote awareness and adoption of our products. As of June 30, 2022, our accumulated deficit was $122.6 million.</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December 8, 2021, we closed on a private investment in public equity (PIPE) financing, thereby receiving net proceeds of approximately $13.8 million, after deducting offering costs. The PIPE investors purchased an aggregate of 2,122,637 shares of the Company’s Class A common stock and an aggregate of 1,179,244 shares of the Company’s Class B common stock (which are convertible on a one-for-one basis into shares of Class A common stock), in each case, at a price of $4.24 per share.</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expect our losses to continue for the foreseeable future and these losses will continue to have an adverse effect on our financial position. Because of the numerous risks and uncertainties associated with our commercialization and development efforts, we are unable to predict when we will become profitable, and we may never become profitable. Our inability to achieve and then maintain profitability would negatively affect our business, financial condition, results of operations and cash flows. Additionally, as discussed below under “--- Credit Facilities,” in August 2021, we commenced the principal repayment of our Term Debt with such repayments totaling approximately $556,000 per month through July 2024.</w:t>
      </w:r>
    </w:p>
    <w:p>
      <w:pPr>
        <w:spacing w:after="0" w:line="19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In order to mitigate the current and potential future liquidity issues caused by the matters noted above, we may seek to raise capital through the issuance of common stock, either refinance or restructure our Term Loan Facility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Revolving Credit Facility, restructure our Revenue Interest Obligation, or pursue asset sale transactions. However, such transactions may not be successful and we may not be able to raise additional equity, refinance our debt instruments, or sell assets on acceptable terms, or at all. As such, based on our current operating plans, we believe there is uncertainty as to whether our future cash flows along with our existing cash, availability under the SWK Loan Facility (described below under “—August 2022 Debt Refinancing”)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for the Six Months Ended June 30, 2022 and 2021</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700" w:type="dxa"/>
            <w:vAlign w:val="bottom"/>
            <w:gridSpan w:val="6"/>
          </w:tcPr>
          <w:p>
            <w:pPr>
              <w:ind w:left="188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740" w:type="dxa"/>
            <w:vAlign w:val="bottom"/>
            <w:gridSpan w:val="4"/>
          </w:tcPr>
          <w:p>
            <w:pPr>
              <w:jc w:val="right"/>
              <w:ind w:right="354"/>
              <w:spacing w:after="0" w:line="129"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w:t>
            </w:r>
          </w:p>
        </w:tc>
        <w:tc>
          <w:tcPr>
            <w:tcW w:w="1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 (10,674)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(2,954)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(4,956)</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decrease in cash</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(13,917)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(11,164)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used in operating activities for the six months ended June 30, 2022 was $10.7 million compared to $6.0 million for the six months ended June 30, 2021. The year-over-year increase was primarily due to a higher net loss (after adjustment for non-cash charges and gains) as well as the timing of certain annual insurance prepayments and disbursements on trade payable obligations.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Net cash used in investing activities for the six months ended June 30, 2022 was $0.3 million and approximately $0.2 million for the six months ended June 30, 2021. In both periods, the use of cash related to the purchase of property and equipment, the majority of which are used in the production activities of our Richmond, California facility.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Net cash used in financing activities for the six months ended June 30, 2022 totaled $3.0 million compared to $5.0 million for the six months ended June 30, 2021. The year-over-year net decrease was caused by net borrowings of $1.7 million on our Revolving Credit Facility during the six months ended June 30, 2022 compared to net repayments of $3.6 million during the six months ended June 30, 2021. This change in the Revolving Credit Facility activity was offset by principal payments of $3.3 million on our Term Loan Credit Agreement as such payments commenced in August 2021.</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On July 15, 2019, Aziyo and Aziyo Med, LLC, which we refer to collectively as the Borrowers, entered into an amended and restated term loan credit agreement (the “Term Loan Credit Agreement”), with Midcap Financial Trust, as agent and lender, and the other lenders party thereto, which provided for the conversion of our existing term loans into borrowing under the Term Loan Credit Agreement (consisting of a $8.5 million tranche (“Term Loan Tranche 1”), a $5.0 million tranche (“Term Loan Tranche 2”) and a $3.0 million tranche (“Term Loan Tranche 3”), and established a new $3.5 million tranche (“Term Loan Tranche 4”). We refer to Term Loan Tranche 1, Term Loan Tranche 2, Term Loan Tranche 3 and Term Loan Tranche 4 collectively as the “Term Loan Facility.”</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July 15, 2019, the Borrowers also entered into an amended and restated revolving credit agreement (the “Revolving Credit Agreement”), with Midcap Funding IV Trust, as agent and lender, and the other lenders party thereto, which provided for an $8.0 million asset-based revolving credit facility (the “Revolving Credit Facility”).</w:t>
      </w:r>
    </w:p>
    <w:p>
      <w:pPr>
        <w:spacing w:after="0" w:line="16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As of June 30, 2022, we had $13.8 million of indebtedness outstanding under our Term Loan Facility (net of $0.1 million of unamortized discount and deferred financing costs), and $6.5 million outstanding under our Revolving Credit Facility (with $1.0 million of additional borrowings available thereunder). In August 2022, we refinanced our debt as described below under “— August 2022 Debt Refinancing.”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Rates and Fees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Borrowings under the Term Loan Facility accrue interest at a rate per year equal to the LIBOR Rate (as defined below) plus a margin of 7.25%. Borrowings under the Revolving Credit Facility bear interest at the per annum rate equal to the LIBOR Rate plus a margin of 4.95%. The LIBOR Rate is defined as the greater of 2.25% and the applicable London Interbank Offered Rate for U.S. dollar deposits divided by 1.00 minus the maximum effective reserve percentage for Eurocurrency funding.</w:t>
      </w:r>
    </w:p>
    <w:p>
      <w:pPr>
        <w:spacing w:after="0" w:line="18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Under the terms of the Revolving Credit Facility, we can borrow up to an amount (the “Borrowing Base”), equal to (1) 85.0% of the aggregate net amount at such time of the Eligible Accounts (as defined in the Revolving Credit Agreement), plus (2) 50% of the value of the Eligible Inventory (as defined in the Revolving Credit Agreement), valued at the lower of first-in-first-out cost or market cost, and after factoring in all rebates, discounts and other incentives or rewards associated with the purchase of the applicable Eligible Inventory (provided that the Borrowing Base will be automatically adjusted down, if necessary, such that the aggregate availability from Eligible Inventory shall never exceed the lesser of  (x) an amount equal to 40% of the Borrowing Base and (y) $2,000,000). The amount available for borrowing under the Revolving Credit Facility may also be reduced by certain reserve amounts that may be established by the administrative agent from time to time</w:t>
      </w:r>
      <w:r>
        <w:rPr>
          <w:rFonts w:ascii="Arial" w:cs="Arial" w:eastAsia="Arial" w:hAnsi="Arial"/>
          <w:sz w:val="17"/>
          <w:szCs w:val="17"/>
          <w:i w:val="1"/>
          <w:iCs w:val="1"/>
          <w:color w:val="auto"/>
        </w:rPr>
        <w:t>.</w:t>
      </w:r>
    </w:p>
    <w:p>
      <w:pPr>
        <w:spacing w:after="0" w:line="18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Revolving Credit Facility, we are required to pay an unused line fee to the lenders under the Revolving Credit Facility in respect of the unutilized commitments thereunder equal to 0.50% multiplied by the lesser of   (1) the unutilized commitments and (2) $8,000,000 minus 40% of the Borrowing Base.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Mandatory Prepayments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Term Loan Credit Agreement requires the Borrowers to prepay amounts outstanding under the Term Loan Facility, subject to certain exceptions, with: (1) 100% of any net casualty proceeds in excess of $250,000 with respect to assets upon which the agent maintains a lien and (2) 100% of the net cash proceeds of non-ordinary course asset sales or sales pertaining to collateral upon which the Borrowing Base is calculated. In addition, the Borrowers are required to prepay all outstanding obligations under the Term Loan Facility upon the termination of all commitments under the Revolving Credit Facility and the repayment of the outstanding borrowings thereunder. No such mandatory prepayments were required during the three and six months ended June 30, 2022 and 2021.</w:t>
      </w:r>
    </w:p>
    <w:p>
      <w:pPr>
        <w:spacing w:after="0" w:line="17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Revolving Credit Agreement requires the Borrowers to prepay amounts outstanding under the Revolving Credit Facility (or provide cash collateral up to the amount of any outstanding letter of credit obligations) to the extent outstanding borrowings under the Revolving Credit Facility exceed the lesser of (1) $8,000,000 and (2) the Borrowing Base.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Optional Prepayment</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Borrowers may prepay the Term Loan Facility, in whole but not in part, at any time with at least 10 business days’ prior written notice, provided, however, that such prepayment shall be accompanied by a portion of the Exit Fee (as defined below) equal to the amount prepaid divided by the then-outstanding principal amount of borrowings outstanding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under the Term Loan Facility, and a prepayment fee which, based on the amendment to the Term Loan Credit Agreement executed in January 2022, shall be equal to the amount prepaid multiplied by 3.0% until January 21, 2023 and 2.0% thereafter. The “Exit Fee” is defined as an amount equal to 6.5% multiplied by the aggregate principal amount of all borrowings advanced to the Borrowers under the Term Loan Facility.</w:t>
      </w:r>
    </w:p>
    <w:p>
      <w:pPr>
        <w:spacing w:after="0" w:line="187"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Borrowers may prepay the Revolving Credit Facility in whole or in part at any time, provided, however, that any such partial prepayment shall be in an amount equal to $100,000 or a higher integral multiple of $25,000. Should the Revolving Credit Facility be terminated prior to its final maturity (see below), based on the amendment to the Revolving Credit Agreement executed in January 2022, the Borrowers must pay a fee equal to an amount determined by multiplying the amount of the Revolving Credit Facility so terminated by 3.0% until January 21, 2023 and 2.0% thereafter.</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Amortization and Final Maturity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Borrowers are required to make interest-only payments prior to the principal amortization start date. The Term Loan Facility provided that if certain conditions were satisfied prior to December 1, 2020 (including our completion of a qualified initial public offering and no continuing default or event of default), the principal amortization start date may, upon our request, be extended to August 1, 2021 (from the previous principal amortization start date of February 1, 2021). Based on the completion of our IPO, in January 2021, we exercised this interest-only period extension right and, as such, the principal payments in respect of borrowings under the Term Loan Facility commenced on August 1, 2021. Such principal payments shall be in an amount equal to the total principal amount of borrowings under the Term Loan Facility divided by 36, for a 36-month straight-line amortization of equal monthly principal payments. The remaining unpaid balance on the Term Loan Facility, together with all accrued and unpaid interest thereon and any remaining unpaid amount of the Exit Fee, is due and payable on July 15, 2024.</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Outstanding borrowings under the Revolving Credit Facility do not amortize and are due and payable on July 15,</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2024.</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Security</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All obligations under the Term Loan Facility and the Revolving Credit Facility are, and any future guarantees of those obligations will be, secured by, among other things, and in each case subject to certain exceptions, a first priority lien on and security interest in, upon, and to all of each Borrower’s assets, including all goods, equipment, inventory, contract rights or rights to payment of money, leases, license agreements, franchise agreements, general intangibles, commercial tort claims, documents, instruments (including any promissory notes), chattel paper (whether tangible or electronic), cash, deposit accounts, securities accounts, fixtures, letter of credit rights (whether or not the letter of credit is evidenced by a writing), securities, and all other investment property, supporting obligations, and financial assets, whether now owned or hereafter acquired, wherever located.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Covenants and Other Matters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Term Loan Credit Agreement and the Revolving Credit Agreement each contain a number of covenants that, among other things and subject to certain exceptions, restrict the ability of the Borrowers to:</w:t>
      </w:r>
    </w:p>
    <w:p>
      <w:pPr>
        <w:spacing w:after="0" w:line="170"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agreements restricting their subsidiaries’ ability to pay dividends;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redeem, repurchase or refinance subordinated indebtedness;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their assets;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 or modify their governing documents;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alter the business conducted by them and their subsidiaries;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25"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6"/>
          <w:szCs w:val="16"/>
          <w:color w:val="auto"/>
        </w:rPr>
        <w:t>In addition, the Term Loan Credit Agreement and the Revolving Credit Agreement contain a financial covenant, which is tested on a monthly basis, and requires us to achieve a specified Minimum Net Product Revenue (as defined in the applicable credit agreement) for the preceding 12-month period. In January 2022, the Term Loan Credit Agreement and Revolving Credit Agreement were amended and all future Minimum Net Product Revenue covenant amounts were reset.</w:t>
      </w:r>
    </w:p>
    <w:p>
      <w:pPr>
        <w:spacing w:after="0" w:line="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Term Loan Credit Agreement and the Revolving Credit Agreement each contains events of default, including, most significantly, a failure to timely pay interest or principal, insolvency, or an action by the FDA or such other material adverse event impacting the operations of Aziyo. As of June 30, 2022, Aziyo was in compliance with the financial covenant and all other covenants.</w:t>
      </w:r>
    </w:p>
    <w:p>
      <w:pPr>
        <w:spacing w:after="0" w:line="19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Term Loan Credit Agreement and the Revolving Credit Agreement also contain certain customary representations and warranties and affirmative covenants, and certain reporting obligations. In addition, the lenders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Supplier Promissory Note</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During 2017, we restructured certain of our liabilities with a tissue supplier and entered into an unsecured promissory note. As of June 30, 2022, the balance of this promissory note totaled $1.4 million plus accrued interest. The note bears interest at 5% and is currently due in full; however, the notes are subordinated in payment to the Term Loan Facility and Revolving Credit Facility and in both the six months ended June 30, 2022 and the year ended December 31, 2021, the Company’s senior lender restricted payment of the amounts due.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August 2022 Debt Refinancing</w:t>
      </w:r>
    </w:p>
    <w:p>
      <w:pPr>
        <w:spacing w:after="0" w:line="225" w:lineRule="exact"/>
        <w:rPr>
          <w:sz w:val="20"/>
          <w:szCs w:val="20"/>
          <w:color w:val="auto"/>
        </w:rPr>
      </w:pPr>
    </w:p>
    <w:p>
      <w:pPr>
        <w:ind w:left="60" w:right="259" w:firstLine="648"/>
        <w:spacing w:after="0" w:line="271" w:lineRule="auto"/>
        <w:rPr>
          <w:sz w:val="20"/>
          <w:szCs w:val="20"/>
          <w:color w:val="auto"/>
        </w:rPr>
      </w:pPr>
      <w:r>
        <w:rPr>
          <w:rFonts w:ascii="Arial" w:cs="Arial" w:eastAsia="Arial" w:hAnsi="Arial"/>
          <w:sz w:val="17"/>
          <w:szCs w:val="17"/>
          <w:color w:val="auto"/>
        </w:rPr>
        <w:t>On August 10, 2022, we entered into a term loan facility agreement with SWK Funding LLC (the “SWK Loan Facility”) for principal amount of $25 million, with $21 million funded at closing and $4 million that becomes available, subject to the achievement of specified operational and financial metrics by September 30, 2023 (the “Additional Term Loan”). The SWK Loan Facility allows for the establishment of a new asset-based revolving loan facility of up to $8 million. The SWK Loan Facility matures on August 10, 2027 and accrues interest, payable quarterly in arrears. Principal amortization of the SWK Loan Facility starts on November 15, 2024, which amortization may be extended to November 17, 2025 if conditions to draw the Additional Term Loan have been satisfied. Principal payments during the amortization period will be limited based on revenue-based caps.</w:t>
      </w:r>
    </w:p>
    <w:p>
      <w:pPr>
        <w:spacing w:after="0" w:line="178"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All of the SWK Loan Facility borrowings take the form of Secured Overnight Financing Rate (“SOFR”) loans and will bear interest at a rate per annum equal to the sum of an applicable margin of (i) 8.75% and the “Term SOFR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Rate” (based upon an interest period of 3 months), or (ii) if we have elected the PIK Interest option (as defined below),</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4.75% and the “Term SOFR Rate.” We may elect a portion of the interest due, to be paid in-kind at a rate per annum of</w:t>
      </w:r>
    </w:p>
    <w:p>
      <w:pPr>
        <w:spacing w:after="0" w:line="32" w:lineRule="exact"/>
        <w:rPr>
          <w:sz w:val="20"/>
          <w:szCs w:val="20"/>
          <w:color w:val="auto"/>
        </w:rPr>
      </w:pPr>
    </w:p>
    <w:p>
      <w:pPr>
        <w:ind w:left="60" w:right="219"/>
        <w:spacing w:after="0" w:line="255" w:lineRule="auto"/>
        <w:rPr>
          <w:sz w:val="20"/>
          <w:szCs w:val="20"/>
          <w:color w:val="auto"/>
        </w:rPr>
      </w:pPr>
      <w:r>
        <w:rPr>
          <w:rFonts w:ascii="Arial" w:cs="Arial" w:eastAsia="Arial" w:hAnsi="Arial"/>
          <w:sz w:val="18"/>
          <w:szCs w:val="18"/>
          <w:color w:val="auto"/>
        </w:rPr>
        <w:t>4.5% (“PIK Interest”), and such election may be made (x) until November 15, 2024 if the conditions to draw the Additional Term Loan have not been met, or (y) if such conditions to draw the Additional Term Loan have been satisfied, until November 17, 2025. The “Term SOFR Rate” is subject to a floor of 2.75%.</w:t>
      </w:r>
    </w:p>
    <w:p>
      <w:pPr>
        <w:spacing w:after="0" w:line="19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are subject to financial covenants under the SWK Loan Facility that require us to (a) maintain minimum Consolidated Unencumbered Liquid Assets (as defined in the Credit Agreement) of (i) at any time on or after the Closing Date and on or before October 10, 2022, $5.0 million, and (ii) at any time thereafter, the greater of (x) $5.0 million, or (y) the sum of the Operating Burn (as defined in the Credit Agreement) for the two (2) prior, consecutive fiscal quarters then ended; and (b) maintain certain minimum revenue levels, to be tested on a quarterly basis, beginning on the fiscal quarter ending September 30, 2022.</w:t>
      </w:r>
    </w:p>
    <w:p>
      <w:pPr>
        <w:spacing w:after="0" w:line="19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We used $16 million of the proceeds of the SWK Loan Facility to prepay all of the remaining outstanding principal and accrued interest and pay all associated payoff fees on the $20 million Term Loan Facility and $8 million Revolving Credit Facility. Such payments included $12.8 million to prepay all outstanding principal and accrued interest as well as $1.7 million to pay the required prepayment and exit fees on the Term Loan Facility and $1.2 million to repay the outstanding balance and accrued interest as well as $0.3 million to pay the required exit fees on the Revolving Credit Facility.</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also used $1.4 million of the proceeds to repay the remaining balance on the promissory note with a tissue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supplier.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We expect to continue to incur significant expenses and operating losses for the foreseeable future as we grow our sales organization to coincide with product launches and expand our product development and clinical and research activities. In addition, we expect to incur additional costs and expenses associated with operating as a public company.</w:t>
      </w:r>
    </w:p>
    <w:p>
      <w:pPr>
        <w:spacing w:after="0" w:line="14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of June 30, 2022, we had $21.7 million of indebtedness outstanding, consisting of  $13.8 million outstanding under our Term Loan Facility (net of  $0.1 million of unamortized deferred financing costs), $6.5 million outstanding under our Revolving Credit Facility (with $1.0 million of additional borrowings available thereunder), and a $1.4 million promissory note payable to one of our suppliers. In addition, as further described in Note 7 to the condensed consolidated financial statements included elsewhere in this Quarterly Report, we are party to a royalty agreement with Ligand Pharmaceuticals Incorporated (“Ligand”) pursuant to which we assumed a restructured, long-term obligation to Ligand (the “Revenue Interest Obligation”), that requires us to pay Ligand 5.0% of future sales of the products we acquired from CorMatrix (as well as products substantially similar to those products), subject to annual minimum payments of   $2.75 million. Furthermore, a $5.0 million payment will be due to Ligand if cumulative sales of these products exceed $100 million and a second $5.0 million will be due if cumulative sales exceed $300 million during the ten-year term of the agreement which expires on May 31, 2027. We are currently forecasting that the initial $5.0 million milestone payment will become payable in mid-2023.</w:t>
      </w:r>
    </w:p>
    <w:p>
      <w:pPr>
        <w:spacing w:after="0" w:line="17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If our available cash balances and cash flow from operations, if any, are insufficient to satisfy our liquidity requirements, we may seek to raise additional capital through equity offerings, debt financings, or asset sale transactions. However, such transactions may not be successful and we may not be able to raise additional equity, refinance our Term Debt and Revolving Credit Facility, or sell assets on acceptable terms, or at all. We may also consider raising additional capital in the future to expand our business, pursue strategic investments or take advantage of financing opportunities. Our present and future funding requirements will depend on many factors, including, among other things:</w:t>
      </w:r>
    </w:p>
    <w:p>
      <w:pPr>
        <w:spacing w:after="0" w:line="164" w:lineRule="exact"/>
        <w:rPr>
          <w:sz w:val="20"/>
          <w:szCs w:val="20"/>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patient, physician and market acceptance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and future pre-clinical and clinical studies;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the cost and timing of commercializing new products or technologies;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expanding our sales and marketing capabilities;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maintaining, defending and enforcing our patent or other intellectual property rights;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misappropriate or otherwise violate third-party patents or other intellectual property rights;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defending against or the damages payable (to the extent above the applicable insurance coverage), for example, in connection with claims involving the recall of FiberCel;</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additional regulatory approvals;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any product recall that may occur;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technologies and businesses, although we currently have no commitments or agreements relating to any of these types of transactions;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on any of the above of the current COVID-19 pandemic or any other pandemic, epidemic or outbreak of infectious disease.</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our operating plans may change as a result of any number of factors, including those set forth above and other factors currently unknown to us, and we may need additional funds sooner than anticipated.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that limit our ability to take specific actions, such as incurring additional debt, making capital expenditures, creating liens, redeeming shares of our common stock and/or declaring dividends. If we raise funds through collaborations, licensing agreements or other strategic alliances,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the development or commercialization of our products, license to third parties the rights to commercialize products or technologies that we would otherwise seek to commercialize and reduce marketing, customer support or other resources devoted to our products or cease operations. See our Annual Report, Part I, Item 1A. “Risk Factors — Risks Related to Our Business — Our future capital needs are uncertain and we may need to raise funds in the future, and such funds may not be available on acceptable terms or at all.”</w:t>
      </w:r>
    </w:p>
    <w:p>
      <w:pPr>
        <w:spacing w:after="0" w:line="16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Based on our current operating plans, we believe, even after the August 2022 debt refinancing described above, there is uncertainty as to whether our future cash flows along with our existing cash, availability under the SWK Loan Facility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The preparation of our unaudited condensed consolidated financial statements in accordance with GAAP requires us to make estimates and assumptions that affect reported amounts and related disclosures. We have discussed the policies and estimates that we believe are critical and require the use of complex judgment in their application in our Annual Report, and, during the six months ended June 30, 2022, there were no material changes to those previously disclosed. Refer to Note 2, “Summary of Significant Accounting Policies,” to our condensed consolidated financial statements included elsewhere in this Quarterly Report for information regarding our critical accounting estimates and policies.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Refer to Note 3, “Recently Issued Accounting Standards,” to our condensed consolidated financial statements included elsewhere in this Quarterly Report for information regarding recently issued accounting pronouncements.</w:t>
      </w:r>
    </w:p>
    <w:p>
      <w:pPr>
        <w:spacing w:after="0" w:line="12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including risks relating to changes in interest rates, foreign currency and inflation. The following discussion provides additional information regarding these risks.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primary exposure to market risk relates to changes in interest rates. Borrowings under our Term Loan Facility and Revolving Credit Facility bear interest at variable rates, subject to an interest rate floor. Interest rate risk is highly sensitive due to many factors, including U.S. monetary and tax policies, U.S. and international economic factors and other factors beyond our control. A hypothetical 10% relative change in interest rates on our variable rate indebtedness outstanding at June 30, 2022 would not have had a material effect on our financial statements. We do not currently engage in hedging transactions to manage our exposure to interest rate risk.</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June 30, 2022, our cash and cash equivalents were maintained with one financial institution in the United States. While our deposit accounts are insured up to the legal limit, the balances we maintain may, at times, exceed this insured limit. We believe this financial institution has sufficient assets and liquidity to conduct its operations in the ordinary course of business with little or no credit risk to us.</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accounts receivable relate to sales to customers. To minimize credit risk, ongoing credit evaluations of all customers’ financial condition are performed. One customer represented 10% or more of our accounts receivable as of June 30,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business is primarily conducted in U.S. dollars. Any transactions that may be conducted in foreign currencies are not expected to have a material effect on our financial condition, results of operations or cash flows. As we grow our operations, our exposure to foreign currency risk could become more significant.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six months ended June 30, 2022 and 2021. We cannot assure you, however, that we will be able to increase the selling prices of our products or reduce our operating expenses in an amount sufficient to offset the effects future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inflationary pressures may have on our gross margin. Accordingly, we cannot assure you that our financial condition and results of operations will not be materially impacted by inflation in the future.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Section 107 of the JOBS Act permits us, as an “emerging growth company,” to take advantage of an extended transition period for adopting new or revised accounting standards until those standards would otherwise apply to private companies. We have elected to avail ourselves of this exemption and, as a result, for so long as we remain an emerging growth company, unless we subsequently choose to affirmatively and irrevocably opt out of the extended transition period,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6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will remain an emerging growth company until the earliest of: (i) the last day of the first fiscal year in which our annual gross revenues are $1.07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88"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Company’s management has evaluated, with the participation of the Chief Executive Officer and the Chief Financial Officer, the effectiveness of our disclosure controls and procedures (as defined in Rule 13a-15(e) and 15d-15(e) under the Exchange Act) as of the end of the period covered by this Quarterly Report. Based on this evaluation, management concluded that the Company’s disclosure controls and procedures were effective as of June 30, 2022.</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June 30, 2022 that have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For information about legal proceedings in which we are involved, see Note 8 to the condensed consolidated financial statements included elsewhere in this Quarterly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business, financial condition and operating results can be affected by a number of factors, whether currently known or unknown, including but not limited to those described as risk factors, any one or more of which could, directly or indirectly, cause our actual operating results and financial condition to vary materially from past, or anticipated future, operating results and financial condition. For a discussion of these potential risks and uncertainties, see Part I, Item 1A. “Risk Factors” of our Annual Report. Any of these factors, in whole or in part, could materially and adversely affect our business, financial condition, operating results and the price of our common stock. Except as set forth below, there have been no material changes in our risk factors to those included in our Annual Report.</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identified conditions and events that raise substantial doubt regarding our ability to continue as a going concern.</w:t>
      </w:r>
    </w:p>
    <w:p>
      <w:pPr>
        <w:spacing w:after="0" w:line="17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As of June 30, 2022, we had $16.5 million in cash and restricted cash. Based on our existing cash, availability under our Revolving Credit Facility and cash generated from expected future sales, we believe that we do not have sufficient cash on hand to support current operations and our payment obligations under our Term Loan Facility, Revolving Credit Facility (even after the recent debt refinancing described in Note 12 to the condensed consolidated financial statements included elsewhere in this Quarterly Report), and Revenue Interest Obligation for at least one year from the date of issuance of the unaudited condensed consolidated financial statements appearing within this Quarterly Report. This condition raises substantial doubt about our ability to continue as a going concern for at least one year from the date that our unaudited condensed consolidated financial statements for the period ended June 30, 2022 were issued.</w:t>
      </w:r>
    </w:p>
    <w:p>
      <w:pPr>
        <w:spacing w:after="0" w:line="16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order to mitigate the current and potential future liquidity issues, we may seek to raise capital through the issuance of common stock, either refinance or restructure our Term Loan Facility and Revolving Credit Facility, restructure our Revenue Interest Obligation or pursue asset sale transactions. However, such transactions may not be successful and we may not be able to raise additional equity, refinance our Term Loan Facility and Revolving Credit Facility, or sell assets on acceptable terms, or at all. As such, there can be no assurance that we will be able to continue as a going concern.</w:t>
      </w:r>
    </w:p>
    <w:p>
      <w:pPr>
        <w:spacing w:after="0" w:line="15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5"/>
          <w:szCs w:val="15"/>
          <w:u w:val="single" w:color="auto"/>
          <w:color w:val="0000EE"/>
        </w:rPr>
        <w:t>Table of Contents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w:t>
      </w:r>
    </w:p>
    <w:p>
      <w:pPr>
        <w:spacing w:after="0" w:line="200" w:lineRule="exact"/>
        <w:rPr>
          <w:sz w:val="20"/>
          <w:szCs w:val="20"/>
          <w:color w:val="auto"/>
        </w:rPr>
      </w:pPr>
    </w:p>
    <w:p>
      <w:pPr>
        <w:spacing w:after="0" w:line="241" w:lineRule="exact"/>
        <w:rPr>
          <w:sz w:val="20"/>
          <w:szCs w:val="20"/>
          <w:color w:val="auto"/>
        </w:rPr>
      </w:pPr>
    </w:p>
    <w:p>
      <w:pPr>
        <w:jc w:val="both"/>
        <w:ind w:left="60"/>
        <w:spacing w:after="0" w:line="314" w:lineRule="auto"/>
        <w:rPr>
          <w:sz w:val="20"/>
          <w:szCs w:val="20"/>
          <w:color w:val="auto"/>
        </w:rPr>
      </w:pPr>
      <w:r>
        <w:rPr>
          <w:rFonts w:ascii="Arial" w:cs="Arial" w:eastAsia="Arial" w:hAnsi="Arial"/>
          <w:sz w:val="16"/>
          <w:szCs w:val="16"/>
          <w:b w:val="1"/>
          <w:bCs w:val="1"/>
          <w:color w:val="auto"/>
        </w:rPr>
        <w:t xml:space="preserve">Exhibit Number </w:t>
      </w:r>
      <w:r>
        <w:rPr>
          <w:rFonts w:ascii="Arial" w:cs="Arial" w:eastAsia="Arial" w:hAnsi="Arial"/>
          <w:sz w:val="16"/>
          <w:szCs w:val="16"/>
          <w:color w:val="auto"/>
        </w:rPr>
        <w:t>3.1</w:t>
      </w:r>
    </w:p>
    <w:p>
      <w:pPr>
        <w:spacing w:after="0" w:line="3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121" w:lineRule="exact"/>
        <w:rPr>
          <w:sz w:val="20"/>
          <w:szCs w:val="20"/>
          <w:color w:val="auto"/>
        </w:rPr>
      </w:pPr>
    </w:p>
    <w:p>
      <w:pPr>
        <w:jc w:val="center"/>
        <w:ind w:right="240"/>
        <w:spacing w:after="0"/>
        <w:rPr>
          <w:rFonts w:ascii="Arial" w:cs="Arial" w:eastAsia="Arial" w:hAnsi="Arial"/>
          <w:sz w:val="16"/>
          <w:szCs w:val="16"/>
          <w:u w:val="single" w:color="auto"/>
          <w:color w:val="0000EE"/>
        </w:rPr>
      </w:pPr>
      <w:hyperlink r:id="rId67">
        <w:r>
          <w:rPr>
            <w:rFonts w:ascii="Arial" w:cs="Arial" w:eastAsia="Arial" w:hAnsi="Arial"/>
            <w:sz w:val="16"/>
            <w:szCs w:val="16"/>
            <w:u w:val="single" w:color="auto"/>
            <w:color w:val="0000EE"/>
          </w:rPr>
          <w:t>Restated Certificate of Incorporation of Aziyo Biologics, Inc.</w:t>
        </w:r>
      </w:hyperlink>
    </w:p>
    <w:p>
      <w:pPr>
        <w:spacing w:after="0" w:line="200" w:lineRule="exact"/>
        <w:rPr>
          <w:sz w:val="20"/>
          <w:szCs w:val="20"/>
          <w:color w:val="auto"/>
        </w:rPr>
      </w:pPr>
    </w:p>
    <w:p>
      <w:pPr>
        <w:spacing w:after="0" w:line="264" w:lineRule="exact"/>
        <w:rPr>
          <w:sz w:val="20"/>
          <w:szCs w:val="20"/>
          <w:color w:val="auto"/>
        </w:rPr>
      </w:pPr>
    </w:p>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Amended and Restated Bylaws of Aziyo Biologics, Inc.</w:t>
        </w:r>
      </w:hyperlink>
    </w:p>
    <w:p>
      <w:pPr>
        <w:spacing w:after="0" w:line="333" w:lineRule="exact"/>
        <w:rPr>
          <w:sz w:val="20"/>
          <w:szCs w:val="20"/>
          <w:color w:val="auto"/>
        </w:rPr>
      </w:pPr>
    </w:p>
    <w:p>
      <w:pPr>
        <w:ind w:right="200"/>
        <w:spacing w:after="0" w:line="263" w:lineRule="auto"/>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Second Amended and Restated Investor Rights Agreement,</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dated as of September 14, 2020, among the Registrant and the</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investors named therein</w:t>
        </w:r>
      </w:hyperlink>
    </w:p>
    <w:p>
      <w:pPr>
        <w:spacing w:after="0" w:line="184" w:lineRule="exact"/>
        <w:rPr>
          <w:rFonts w:ascii="Arial" w:cs="Arial" w:eastAsia="Arial" w:hAnsi="Arial"/>
          <w:sz w:val="18"/>
          <w:szCs w:val="18"/>
          <w:u w:val="single" w:color="auto"/>
          <w:color w:val="0000EE"/>
        </w:rPr>
      </w:pPr>
    </w:p>
    <w:p>
      <w:pPr>
        <w:ind w:right="360"/>
        <w:spacing w:after="0" w:line="277" w:lineRule="auto"/>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Specimen stock certificate evidencing the shares of Class A</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common stock</w:t>
        </w:r>
      </w:hyperlink>
    </w:p>
    <w:p>
      <w:pPr>
        <w:spacing w:after="0" w:line="170" w:lineRule="exact"/>
        <w:rPr>
          <w:sz w:val="20"/>
          <w:szCs w:val="20"/>
          <w:color w:val="auto"/>
        </w:rPr>
      </w:pPr>
    </w:p>
    <w:p>
      <w:pPr>
        <w:ind w:right="380"/>
        <w:spacing w:after="0" w:line="277" w:lineRule="auto"/>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Specimen stock certificate evidencing the shares of Class B</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common stock</w:t>
        </w:r>
      </w:hyperlink>
    </w:p>
    <w:p>
      <w:pPr>
        <w:spacing w:after="0" w:line="170" w:lineRule="exact"/>
        <w:rPr>
          <w:sz w:val="20"/>
          <w:szCs w:val="20"/>
          <w:color w:val="auto"/>
        </w:rPr>
      </w:pPr>
    </w:p>
    <w:p>
      <w:pPr>
        <w:spacing w:after="0" w:line="277" w:lineRule="auto"/>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Warrant to Purchase Stock, issued on August 10, 2022, by Aziyo</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Biologics, Inc.to SWK Funding LLC.</w:t>
        </w:r>
      </w:hyperlink>
    </w:p>
    <w:p>
      <w:pPr>
        <w:spacing w:after="0" w:line="170" w:lineRule="exact"/>
        <w:rPr>
          <w:sz w:val="20"/>
          <w:szCs w:val="20"/>
          <w:color w:val="auto"/>
        </w:rPr>
      </w:pPr>
    </w:p>
    <w:p>
      <w:pPr>
        <w:ind w:right="160"/>
        <w:spacing w:after="0" w:line="342" w:lineRule="auto"/>
        <w:rPr>
          <w:rFonts w:ascii="Arial" w:cs="Arial" w:eastAsia="Arial" w:hAnsi="Arial"/>
          <w:sz w:val="16"/>
          <w:szCs w:val="16"/>
          <w:u w:val="single" w:color="auto"/>
          <w:color w:val="0000EE"/>
        </w:rPr>
      </w:pPr>
      <w:hyperlink r:id="rId73">
        <w:r>
          <w:rPr>
            <w:rFonts w:ascii="Arial" w:cs="Arial" w:eastAsia="Arial" w:hAnsi="Arial"/>
            <w:sz w:val="16"/>
            <w:szCs w:val="16"/>
            <w:u w:val="single" w:color="auto"/>
            <w:color w:val="0000EE"/>
          </w:rPr>
          <w:t>Separation and Release of Claims Agreement, dated June 21,</w:t>
        </w:r>
      </w:hyperlink>
      <w:r>
        <w:rPr>
          <w:rFonts w:ascii="Arial" w:cs="Arial" w:eastAsia="Arial" w:hAnsi="Arial"/>
          <w:sz w:val="16"/>
          <w:szCs w:val="16"/>
          <w:u w:val="single" w:color="auto"/>
          <w:color w:val="0000EE"/>
        </w:rPr>
        <w:t xml:space="preserve"> </w:t>
      </w:r>
      <w:hyperlink r:id="rId73">
        <w:r>
          <w:rPr>
            <w:rFonts w:ascii="Arial" w:cs="Arial" w:eastAsia="Arial" w:hAnsi="Arial"/>
            <w:sz w:val="16"/>
            <w:szCs w:val="16"/>
            <w:u w:val="single" w:color="auto"/>
            <w:color w:val="0000EE"/>
          </w:rPr>
          <w:t>2022, by and between Ronald Lloyd and Aziyo Biologics, Inc.</w:t>
        </w:r>
      </w:hyperlink>
    </w:p>
    <w:p>
      <w:pPr>
        <w:spacing w:after="0" w:line="124" w:lineRule="exact"/>
        <w:rPr>
          <w:sz w:val="20"/>
          <w:szCs w:val="20"/>
          <w:color w:val="auto"/>
        </w:rPr>
      </w:pPr>
    </w:p>
    <w:p>
      <w:pPr>
        <w:ind w:right="140"/>
        <w:spacing w:after="0" w:line="277" w:lineRule="auto"/>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Employment Agreement, dated June 21, 2022, by and between</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C. Randal Mills, Ph.D. and Aziyo Biologics, Inc.</w:t>
        </w:r>
      </w:hyperlink>
    </w:p>
    <w:p>
      <w:pPr>
        <w:spacing w:after="0" w:line="170" w:lineRule="exact"/>
        <w:rPr>
          <w:sz w:val="20"/>
          <w:szCs w:val="20"/>
          <w:color w:val="auto"/>
        </w:rPr>
      </w:pPr>
    </w:p>
    <w:p>
      <w:pPr>
        <w:ind w:right="80"/>
        <w:spacing w:after="0" w:line="259" w:lineRule="auto"/>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Credit Agreement, dated as of August 10, 2022, between Aziyo</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Biologics, Inc. and the subsidiaries of the Company, with the</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financial institutions party thereto from time to time as lenders</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and SWK Funding LLC, as agent.</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34" w:lineRule="exact"/>
        <w:rPr>
          <w:rFonts w:ascii="Arial" w:cs="Arial" w:eastAsia="Arial" w:hAnsi="Arial"/>
          <w:sz w:val="18"/>
          <w:szCs w:val="18"/>
          <w:u w:val="single" w:color="auto"/>
          <w:color w:val="0000EE"/>
        </w:rPr>
      </w:pPr>
    </w:p>
    <w:p>
      <w:pPr>
        <w:jc w:val="right"/>
        <w:ind w:right="120"/>
        <w:spacing w:after="0"/>
        <w:rPr>
          <w:sz w:val="20"/>
          <w:szCs w:val="20"/>
          <w:color w:val="auto"/>
        </w:rPr>
      </w:pPr>
      <w:r>
        <w:rPr>
          <w:rFonts w:ascii="Arial" w:cs="Arial" w:eastAsia="Arial" w:hAnsi="Arial"/>
          <w:sz w:val="18"/>
          <w:szCs w:val="18"/>
          <w:b w:val="1"/>
          <w:bCs w:val="1"/>
          <w:color w:val="auto"/>
        </w:rPr>
        <w:t>File</w:t>
      </w:r>
    </w:p>
    <w:p>
      <w:pPr>
        <w:spacing w:after="0" w:line="27" w:lineRule="exact"/>
        <w:rPr>
          <w:rFonts w:ascii="Arial" w:cs="Arial" w:eastAsia="Arial" w:hAnsi="Arial"/>
          <w:sz w:val="18"/>
          <w:szCs w:val="18"/>
          <w:u w:val="single" w:color="auto"/>
          <w:color w:val="0000EE"/>
        </w:rPr>
      </w:pPr>
    </w:p>
    <w:p>
      <w:pPr>
        <w:jc w:val="right"/>
        <w:ind w:right="140"/>
        <w:spacing w:after="0"/>
        <w:tabs>
          <w:tab w:leader="none" w:pos="380" w:val="left"/>
        </w:tabs>
        <w:rPr>
          <w:sz w:val="20"/>
          <w:szCs w:val="20"/>
          <w:color w:val="auto"/>
        </w:rPr>
      </w:pPr>
      <w:r>
        <w:rPr>
          <w:rFonts w:ascii="Arial" w:cs="Arial" w:eastAsia="Arial" w:hAnsi="Arial"/>
          <w:sz w:val="18"/>
          <w:szCs w:val="18"/>
          <w:b w:val="1"/>
          <w:bCs w:val="1"/>
          <w:color w:val="auto"/>
        </w:rPr>
        <w:t>Form</w:t>
      </w:r>
      <w:r>
        <w:rPr>
          <w:sz w:val="20"/>
          <w:szCs w:val="20"/>
          <w:color w:val="auto"/>
        </w:rPr>
        <w:tab/>
      </w:r>
      <w:r>
        <w:rPr>
          <w:rFonts w:ascii="Arial" w:cs="Arial" w:eastAsia="Arial" w:hAnsi="Arial"/>
          <w:sz w:val="16"/>
          <w:szCs w:val="16"/>
          <w:b w:val="1"/>
          <w:bCs w:val="1"/>
          <w:color w:val="auto"/>
        </w:rPr>
        <w:t>No.</w:t>
      </w:r>
    </w:p>
    <w:p>
      <w:pPr>
        <w:jc w:val="right"/>
        <w:ind w:right="100"/>
        <w:spacing w:after="0"/>
        <w:tabs>
          <w:tab w:leader="none" w:pos="400" w:val="left"/>
        </w:tabs>
        <w:rPr>
          <w:sz w:val="20"/>
          <w:szCs w:val="20"/>
          <w:color w:val="auto"/>
        </w:rPr>
      </w:pPr>
      <w:r>
        <w:rPr>
          <w:rFonts w:ascii="Arial" w:cs="Arial" w:eastAsia="Arial" w:hAnsi="Arial"/>
          <w:sz w:val="26"/>
          <w:szCs w:val="26"/>
          <w:color w:val="auto"/>
          <w:vertAlign w:val="subscript"/>
        </w:rPr>
        <w:t>8-K</w:t>
      </w:r>
      <w:r>
        <w:rPr>
          <w:sz w:val="20"/>
          <w:szCs w:val="20"/>
          <w:color w:val="auto"/>
        </w:rPr>
        <w:tab/>
      </w:r>
      <w:r>
        <w:rPr>
          <w:rFonts w:ascii="Arial" w:cs="Arial" w:eastAsia="Arial" w:hAnsi="Arial"/>
          <w:sz w:val="15"/>
          <w:szCs w:val="15"/>
          <w:color w:val="auto"/>
        </w:rPr>
        <w:t>001-</w:t>
      </w:r>
    </w:p>
    <w:p>
      <w:pPr>
        <w:spacing w:after="0" w:line="1" w:lineRule="exact"/>
        <w:rPr>
          <w:rFonts w:ascii="Arial" w:cs="Arial" w:eastAsia="Arial" w:hAnsi="Arial"/>
          <w:sz w:val="18"/>
          <w:szCs w:val="18"/>
          <w:u w:val="single" w:color="auto"/>
          <w:color w:val="0000EE"/>
        </w:rPr>
      </w:pPr>
    </w:p>
    <w:p>
      <w:pPr>
        <w:jc w:val="right"/>
        <w:ind w:right="40"/>
        <w:spacing w:after="0"/>
        <w:rPr>
          <w:sz w:val="20"/>
          <w:szCs w:val="20"/>
          <w:color w:val="auto"/>
        </w:rPr>
      </w:pPr>
      <w:r>
        <w:rPr>
          <w:rFonts w:ascii="Arial" w:cs="Arial" w:eastAsia="Arial" w:hAnsi="Arial"/>
          <w:sz w:val="18"/>
          <w:szCs w:val="18"/>
          <w:color w:val="auto"/>
        </w:rPr>
        <w:t>39577</w:t>
      </w:r>
    </w:p>
    <w:p>
      <w:pPr>
        <w:spacing w:after="0" w:line="39" w:lineRule="exact"/>
        <w:rPr>
          <w:rFonts w:ascii="Arial" w:cs="Arial" w:eastAsia="Arial" w:hAnsi="Arial"/>
          <w:sz w:val="18"/>
          <w:szCs w:val="18"/>
          <w:u w:val="single" w:color="auto"/>
          <w:color w:val="0000EE"/>
        </w:rPr>
      </w:pPr>
    </w:p>
    <w:p>
      <w:pPr>
        <w:jc w:val="right"/>
        <w:ind w:right="100"/>
        <w:spacing w:after="0"/>
        <w:tabs>
          <w:tab w:leader="none" w:pos="400" w:val="left"/>
        </w:tabs>
        <w:rPr>
          <w:sz w:val="20"/>
          <w:szCs w:val="20"/>
          <w:color w:val="auto"/>
        </w:rPr>
      </w:pPr>
      <w:r>
        <w:rPr>
          <w:rFonts w:ascii="Arial" w:cs="Arial" w:eastAsia="Arial" w:hAnsi="Arial"/>
          <w:sz w:val="35"/>
          <w:szCs w:val="35"/>
          <w:color w:val="auto"/>
          <w:vertAlign w:val="subscript"/>
        </w:rPr>
        <w:t>8-K</w:t>
      </w:r>
      <w:r>
        <w:rPr>
          <w:sz w:val="20"/>
          <w:szCs w:val="20"/>
          <w:color w:val="auto"/>
        </w:rPr>
        <w:tab/>
      </w:r>
      <w:r>
        <w:rPr>
          <w:rFonts w:ascii="Arial" w:cs="Arial" w:eastAsia="Arial" w:hAnsi="Arial"/>
          <w:sz w:val="15"/>
          <w:szCs w:val="15"/>
          <w:color w:val="auto"/>
        </w:rPr>
        <w:t>001-</w:t>
      </w:r>
    </w:p>
    <w:p>
      <w:pPr>
        <w:jc w:val="right"/>
        <w:ind w:right="40"/>
        <w:spacing w:after="0"/>
        <w:rPr>
          <w:sz w:val="20"/>
          <w:szCs w:val="20"/>
          <w:color w:val="auto"/>
        </w:rPr>
      </w:pPr>
      <w:r>
        <w:rPr>
          <w:rFonts w:ascii="Arial" w:cs="Arial" w:eastAsia="Arial" w:hAnsi="Arial"/>
          <w:sz w:val="18"/>
          <w:szCs w:val="18"/>
          <w:color w:val="auto"/>
        </w:rPr>
        <w:t>39577</w:t>
      </w:r>
    </w:p>
    <w:p>
      <w:pPr>
        <w:spacing w:after="0" w:line="263" w:lineRule="exact"/>
        <w:rPr>
          <w:rFonts w:ascii="Arial" w:cs="Arial" w:eastAsia="Arial" w:hAnsi="Arial"/>
          <w:sz w:val="18"/>
          <w:szCs w:val="18"/>
          <w:u w:val="single" w:color="auto"/>
          <w:color w:val="0000EE"/>
        </w:rPr>
      </w:pPr>
    </w:p>
    <w:p>
      <w:pPr>
        <w:ind w:left="440" w:hanging="360"/>
        <w:spacing w:after="0" w:line="342" w:lineRule="auto"/>
        <w:tabs>
          <w:tab w:leader="none" w:pos="420" w:val="left"/>
        </w:tabs>
        <w:rPr>
          <w:sz w:val="20"/>
          <w:szCs w:val="20"/>
          <w:color w:val="auto"/>
        </w:rPr>
      </w:pPr>
      <w:r>
        <w:rPr>
          <w:rFonts w:ascii="Arial" w:cs="Arial" w:eastAsia="Arial" w:hAnsi="Arial"/>
          <w:sz w:val="35"/>
          <w:szCs w:val="35"/>
          <w:color w:val="auto"/>
          <w:vertAlign w:val="subscript"/>
        </w:rPr>
        <w:t>S-1</w:t>
      </w:r>
      <w:r>
        <w:rPr>
          <w:sz w:val="20"/>
          <w:szCs w:val="20"/>
          <w:color w:val="auto"/>
        </w:rPr>
        <w:tab/>
      </w:r>
      <w:r>
        <w:rPr>
          <w:rFonts w:ascii="Arial" w:cs="Arial" w:eastAsia="Arial" w:hAnsi="Arial"/>
          <w:sz w:val="16"/>
          <w:szCs w:val="16"/>
          <w:color w:val="auto"/>
        </w:rPr>
        <w:t>333-248788</w:t>
      </w:r>
    </w:p>
    <w:p>
      <w:pPr>
        <w:spacing w:after="0" w:line="232" w:lineRule="exact"/>
        <w:rPr>
          <w:rFonts w:ascii="Arial" w:cs="Arial" w:eastAsia="Arial" w:hAnsi="Arial"/>
          <w:sz w:val="18"/>
          <w:szCs w:val="18"/>
          <w:u w:val="single" w:color="auto"/>
          <w:color w:val="0000EE"/>
        </w:rPr>
      </w:pPr>
    </w:p>
    <w:p>
      <w:pPr>
        <w:ind w:left="440" w:hanging="360"/>
        <w:spacing w:after="0" w:line="342" w:lineRule="auto"/>
        <w:tabs>
          <w:tab w:leader="none" w:pos="420" w:val="left"/>
        </w:tabs>
        <w:rPr>
          <w:sz w:val="20"/>
          <w:szCs w:val="20"/>
          <w:color w:val="auto"/>
        </w:rPr>
      </w:pPr>
      <w:r>
        <w:rPr>
          <w:rFonts w:ascii="Arial" w:cs="Arial" w:eastAsia="Arial" w:hAnsi="Arial"/>
          <w:sz w:val="35"/>
          <w:szCs w:val="35"/>
          <w:color w:val="auto"/>
          <w:vertAlign w:val="subscript"/>
        </w:rPr>
        <w:t>S-1</w:t>
      </w:r>
      <w:r>
        <w:rPr>
          <w:sz w:val="20"/>
          <w:szCs w:val="20"/>
          <w:color w:val="auto"/>
        </w:rPr>
        <w:tab/>
      </w:r>
      <w:r>
        <w:rPr>
          <w:rFonts w:ascii="Arial" w:cs="Arial" w:eastAsia="Arial" w:hAnsi="Arial"/>
          <w:sz w:val="16"/>
          <w:szCs w:val="16"/>
          <w:color w:val="auto"/>
        </w:rPr>
        <w:t>333-248788</w:t>
      </w:r>
    </w:p>
    <w:p>
      <w:pPr>
        <w:spacing w:after="0" w:line="178" w:lineRule="exact"/>
        <w:rPr>
          <w:rFonts w:ascii="Arial" w:cs="Arial" w:eastAsia="Arial" w:hAnsi="Arial"/>
          <w:sz w:val="18"/>
          <w:szCs w:val="18"/>
          <w:u w:val="single" w:color="auto"/>
          <w:color w:val="0000EE"/>
        </w:rPr>
      </w:pPr>
    </w:p>
    <w:p>
      <w:pPr>
        <w:ind w:left="440" w:hanging="450"/>
        <w:spacing w:after="0" w:line="181" w:lineRule="auto"/>
        <w:rPr>
          <w:sz w:val="20"/>
          <w:szCs w:val="20"/>
          <w:color w:val="auto"/>
        </w:rPr>
      </w:pPr>
      <w:r>
        <w:rPr>
          <w:rFonts w:ascii="Arial" w:cs="Arial" w:eastAsia="Arial" w:hAnsi="Arial"/>
          <w:sz w:val="15"/>
          <w:szCs w:val="15"/>
          <w:color w:val="auto"/>
        </w:rPr>
        <w:t xml:space="preserve">S-1/A </w:t>
      </w:r>
      <w:r>
        <w:rPr>
          <w:rFonts w:ascii="Arial" w:cs="Arial" w:eastAsia="Arial" w:hAnsi="Arial"/>
          <w:sz w:val="27"/>
          <w:szCs w:val="27"/>
          <w:color w:val="auto"/>
          <w:vertAlign w:val="superscript"/>
        </w:rPr>
        <w:t>333-</w:t>
      </w:r>
      <w:r>
        <w:rPr>
          <w:rFonts w:ascii="Arial" w:cs="Arial" w:eastAsia="Arial" w:hAnsi="Arial"/>
          <w:sz w:val="15"/>
          <w:szCs w:val="15"/>
          <w:color w:val="auto"/>
        </w:rPr>
        <w:t>248788</w:t>
      </w:r>
    </w:p>
    <w:p>
      <w:pPr>
        <w:spacing w:after="0" w:line="9" w:lineRule="exact"/>
        <w:rPr>
          <w:rFonts w:ascii="Arial" w:cs="Arial" w:eastAsia="Arial" w:hAnsi="Arial"/>
          <w:sz w:val="18"/>
          <w:szCs w:val="18"/>
          <w:u w:val="single" w:color="auto"/>
          <w:color w:val="0000EE"/>
        </w:rPr>
      </w:pPr>
    </w:p>
    <w:p>
      <w:pPr>
        <w:jc w:val="right"/>
        <w:ind w:right="100"/>
        <w:spacing w:after="0"/>
        <w:tabs>
          <w:tab w:leader="none" w:pos="400" w:val="left"/>
        </w:tabs>
        <w:rPr>
          <w:sz w:val="20"/>
          <w:szCs w:val="20"/>
          <w:color w:val="auto"/>
        </w:rPr>
      </w:pPr>
      <w:r>
        <w:rPr>
          <w:rFonts w:ascii="Arial" w:cs="Arial" w:eastAsia="Arial" w:hAnsi="Arial"/>
          <w:sz w:val="35"/>
          <w:szCs w:val="35"/>
          <w:color w:val="auto"/>
          <w:vertAlign w:val="subscript"/>
        </w:rPr>
        <w:t>8-K</w:t>
      </w:r>
      <w:r>
        <w:rPr>
          <w:sz w:val="20"/>
          <w:szCs w:val="20"/>
          <w:color w:val="auto"/>
        </w:rPr>
        <w:tab/>
      </w:r>
      <w:r>
        <w:rPr>
          <w:rFonts w:ascii="Arial" w:cs="Arial" w:eastAsia="Arial" w:hAnsi="Arial"/>
          <w:sz w:val="15"/>
          <w:szCs w:val="15"/>
          <w:color w:val="auto"/>
        </w:rPr>
        <w:t>001-</w:t>
      </w:r>
    </w:p>
    <w:p>
      <w:pPr>
        <w:jc w:val="right"/>
        <w:ind w:right="40"/>
        <w:spacing w:after="0"/>
        <w:rPr>
          <w:sz w:val="20"/>
          <w:szCs w:val="20"/>
          <w:color w:val="auto"/>
        </w:rPr>
      </w:pPr>
      <w:r>
        <w:rPr>
          <w:rFonts w:ascii="Arial" w:cs="Arial" w:eastAsia="Arial" w:hAnsi="Arial"/>
          <w:sz w:val="18"/>
          <w:szCs w:val="18"/>
          <w:color w:val="auto"/>
        </w:rPr>
        <w:t>39577</w:t>
      </w:r>
    </w:p>
    <w:p>
      <w:pPr>
        <w:spacing w:after="0" w:line="39" w:lineRule="exact"/>
        <w:rPr>
          <w:rFonts w:ascii="Arial" w:cs="Arial" w:eastAsia="Arial" w:hAnsi="Arial"/>
          <w:sz w:val="18"/>
          <w:szCs w:val="18"/>
          <w:u w:val="single" w:color="auto"/>
          <w:color w:val="0000EE"/>
        </w:rPr>
      </w:pPr>
    </w:p>
    <w:p>
      <w:pPr>
        <w:jc w:val="right"/>
        <w:ind w:right="100"/>
        <w:spacing w:after="0"/>
        <w:tabs>
          <w:tab w:leader="none" w:pos="400" w:val="left"/>
        </w:tabs>
        <w:rPr>
          <w:sz w:val="20"/>
          <w:szCs w:val="20"/>
          <w:color w:val="auto"/>
        </w:rPr>
      </w:pPr>
      <w:r>
        <w:rPr>
          <w:rFonts w:ascii="Arial" w:cs="Arial" w:eastAsia="Arial" w:hAnsi="Arial"/>
          <w:sz w:val="35"/>
          <w:szCs w:val="35"/>
          <w:color w:val="auto"/>
          <w:vertAlign w:val="subscript"/>
        </w:rPr>
        <w:t>8-K</w:t>
      </w:r>
      <w:r>
        <w:rPr>
          <w:sz w:val="20"/>
          <w:szCs w:val="20"/>
          <w:color w:val="auto"/>
        </w:rPr>
        <w:tab/>
      </w:r>
      <w:r>
        <w:rPr>
          <w:rFonts w:ascii="Arial" w:cs="Arial" w:eastAsia="Arial" w:hAnsi="Arial"/>
          <w:sz w:val="15"/>
          <w:szCs w:val="15"/>
          <w:color w:val="auto"/>
        </w:rPr>
        <w:t>001-</w:t>
      </w:r>
    </w:p>
    <w:p>
      <w:pPr>
        <w:jc w:val="right"/>
        <w:ind w:right="40"/>
        <w:spacing w:after="0"/>
        <w:rPr>
          <w:sz w:val="20"/>
          <w:szCs w:val="20"/>
          <w:color w:val="auto"/>
        </w:rPr>
      </w:pPr>
      <w:r>
        <w:rPr>
          <w:rFonts w:ascii="Arial" w:cs="Arial" w:eastAsia="Arial" w:hAnsi="Arial"/>
          <w:sz w:val="18"/>
          <w:szCs w:val="18"/>
          <w:color w:val="auto"/>
        </w:rPr>
        <w:t>39577</w:t>
      </w:r>
    </w:p>
    <w:p>
      <w:pPr>
        <w:spacing w:after="0" w:line="39" w:lineRule="exact"/>
        <w:rPr>
          <w:rFonts w:ascii="Arial" w:cs="Arial" w:eastAsia="Arial" w:hAnsi="Arial"/>
          <w:sz w:val="18"/>
          <w:szCs w:val="18"/>
          <w:u w:val="single" w:color="auto"/>
          <w:color w:val="0000EE"/>
        </w:rPr>
      </w:pPr>
    </w:p>
    <w:p>
      <w:pPr>
        <w:jc w:val="right"/>
        <w:ind w:right="100"/>
        <w:spacing w:after="0"/>
        <w:tabs>
          <w:tab w:leader="none" w:pos="400" w:val="left"/>
        </w:tabs>
        <w:rPr>
          <w:sz w:val="20"/>
          <w:szCs w:val="20"/>
          <w:color w:val="auto"/>
        </w:rPr>
      </w:pPr>
      <w:r>
        <w:rPr>
          <w:rFonts w:ascii="Arial" w:cs="Arial" w:eastAsia="Arial" w:hAnsi="Arial"/>
          <w:sz w:val="35"/>
          <w:szCs w:val="35"/>
          <w:color w:val="auto"/>
          <w:vertAlign w:val="subscript"/>
        </w:rPr>
        <w:t>8-K</w:t>
      </w:r>
      <w:r>
        <w:rPr>
          <w:sz w:val="20"/>
          <w:szCs w:val="20"/>
          <w:color w:val="auto"/>
        </w:rPr>
        <w:tab/>
      </w:r>
      <w:r>
        <w:rPr>
          <w:rFonts w:ascii="Arial" w:cs="Arial" w:eastAsia="Arial" w:hAnsi="Arial"/>
          <w:sz w:val="15"/>
          <w:szCs w:val="15"/>
          <w:color w:val="auto"/>
        </w:rPr>
        <w:t>001-</w:t>
      </w:r>
    </w:p>
    <w:p>
      <w:pPr>
        <w:jc w:val="right"/>
        <w:ind w:right="40"/>
        <w:spacing w:after="0"/>
        <w:rPr>
          <w:sz w:val="20"/>
          <w:szCs w:val="20"/>
          <w:color w:val="auto"/>
        </w:rPr>
      </w:pPr>
      <w:r>
        <w:rPr>
          <w:rFonts w:ascii="Arial" w:cs="Arial" w:eastAsia="Arial" w:hAnsi="Arial"/>
          <w:sz w:val="18"/>
          <w:szCs w:val="18"/>
          <w:color w:val="auto"/>
        </w:rPr>
        <w:t>39577</w:t>
      </w:r>
    </w:p>
    <w:p>
      <w:pPr>
        <w:spacing w:after="0" w:line="255" w:lineRule="exact"/>
        <w:rPr>
          <w:rFonts w:ascii="Arial" w:cs="Arial" w:eastAsia="Arial" w:hAnsi="Arial"/>
          <w:sz w:val="18"/>
          <w:szCs w:val="18"/>
          <w:u w:val="single" w:color="auto"/>
          <w:color w:val="0000EE"/>
        </w:rPr>
      </w:pPr>
    </w:p>
    <w:p>
      <w:pPr>
        <w:jc w:val="right"/>
        <w:ind w:right="100"/>
        <w:spacing w:after="0"/>
        <w:tabs>
          <w:tab w:leader="none" w:pos="400" w:val="left"/>
        </w:tabs>
        <w:rPr>
          <w:sz w:val="20"/>
          <w:szCs w:val="20"/>
          <w:color w:val="auto"/>
        </w:rPr>
      </w:pPr>
      <w:r>
        <w:rPr>
          <w:rFonts w:ascii="Arial" w:cs="Arial" w:eastAsia="Arial" w:hAnsi="Arial"/>
          <w:sz w:val="35"/>
          <w:szCs w:val="35"/>
          <w:color w:val="auto"/>
          <w:vertAlign w:val="subscript"/>
        </w:rPr>
        <w:t>8-K</w:t>
      </w:r>
      <w:r>
        <w:rPr>
          <w:sz w:val="20"/>
          <w:szCs w:val="20"/>
          <w:color w:val="auto"/>
        </w:rPr>
        <w:tab/>
      </w:r>
      <w:r>
        <w:rPr>
          <w:rFonts w:ascii="Arial" w:cs="Arial" w:eastAsia="Arial" w:hAnsi="Arial"/>
          <w:sz w:val="15"/>
          <w:szCs w:val="15"/>
          <w:color w:val="auto"/>
        </w:rPr>
        <w:t>001-</w:t>
      </w:r>
    </w:p>
    <w:p>
      <w:pPr>
        <w:jc w:val="right"/>
        <w:ind w:right="40"/>
        <w:spacing w:after="0"/>
        <w:rPr>
          <w:sz w:val="20"/>
          <w:szCs w:val="20"/>
          <w:color w:val="auto"/>
        </w:rPr>
      </w:pPr>
      <w:r>
        <w:rPr>
          <w:rFonts w:ascii="Arial" w:cs="Arial" w:eastAsia="Arial" w:hAnsi="Arial"/>
          <w:sz w:val="18"/>
          <w:szCs w:val="18"/>
          <w:color w:val="auto"/>
        </w:rPr>
        <w:t>39577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18" w:lineRule="exact"/>
        <w:rPr>
          <w:rFonts w:ascii="Arial" w:cs="Arial" w:eastAsia="Arial" w:hAnsi="Arial"/>
          <w:sz w:val="18"/>
          <w:szCs w:val="18"/>
          <w:u w:val="single" w:color="auto"/>
          <w:color w:val="0000EE"/>
        </w:rPr>
      </w:pPr>
    </w:p>
    <w:p>
      <w:pPr>
        <w:jc w:val="center"/>
        <w:ind w:right="-1380"/>
        <w:spacing w:after="0"/>
        <w:rPr>
          <w:sz w:val="20"/>
          <w:szCs w:val="20"/>
          <w:color w:val="auto"/>
        </w:rPr>
      </w:pPr>
      <w:r>
        <w:rPr>
          <w:rFonts w:ascii="Arial" w:cs="Arial" w:eastAsia="Arial" w:hAnsi="Arial"/>
          <w:sz w:val="18"/>
          <w:szCs w:val="18"/>
          <w:b w:val="1"/>
          <w:bCs w:val="1"/>
          <w:color w:val="auto"/>
        </w:rPr>
        <w:t>Filed/</w:t>
      </w:r>
    </w:p>
    <w:p>
      <w:pPr>
        <w:spacing w:after="0" w:line="27" w:lineRule="exact"/>
        <w:rPr>
          <w:rFonts w:ascii="Arial" w:cs="Arial" w:eastAsia="Arial" w:hAnsi="Arial"/>
          <w:sz w:val="18"/>
          <w:szCs w:val="18"/>
          <w:u w:val="single" w:color="auto"/>
          <w:color w:val="0000EE"/>
        </w:rPr>
      </w:pPr>
    </w:p>
    <w:p>
      <w:pPr>
        <w:jc w:val="center"/>
        <w:ind w:right="-1380"/>
        <w:spacing w:after="0"/>
        <w:rPr>
          <w:sz w:val="20"/>
          <w:szCs w:val="20"/>
          <w:color w:val="auto"/>
        </w:rPr>
      </w:pPr>
      <w:r>
        <w:rPr>
          <w:rFonts w:ascii="Arial" w:cs="Arial" w:eastAsia="Arial" w:hAnsi="Arial"/>
          <w:sz w:val="16"/>
          <w:szCs w:val="16"/>
          <w:b w:val="1"/>
          <w:bCs w:val="1"/>
          <w:color w:val="auto"/>
        </w:rPr>
        <w:t>Furnished</w:t>
      </w:r>
    </w:p>
    <w:p>
      <w:pPr>
        <w:spacing w:after="0" w:line="32" w:lineRule="exact"/>
        <w:rPr>
          <w:rFonts w:ascii="Arial" w:cs="Arial" w:eastAsia="Arial" w:hAnsi="Arial"/>
          <w:sz w:val="18"/>
          <w:szCs w:val="18"/>
          <w:u w:val="single" w:color="auto"/>
          <w:color w:val="0000EE"/>
        </w:rPr>
      </w:pPr>
    </w:p>
    <w:p>
      <w:pPr>
        <w:jc w:val="center"/>
        <w:ind w:right="139"/>
        <w:spacing w:after="0"/>
        <w:rPr>
          <w:sz w:val="20"/>
          <w:szCs w:val="20"/>
          <w:color w:val="auto"/>
        </w:rPr>
      </w:pPr>
      <w:r>
        <w:rPr>
          <w:rFonts w:ascii="Arial" w:cs="Arial" w:eastAsia="Arial" w:hAnsi="Arial"/>
          <w:sz w:val="17"/>
          <w:szCs w:val="17"/>
          <w:b w:val="1"/>
          <w:bCs w:val="1"/>
          <w:color w:val="auto"/>
        </w:rPr>
        <w:t>ExhibitFiling Date Herewith</w:t>
      </w:r>
    </w:p>
    <w:p>
      <w:pPr>
        <w:spacing w:after="0" w:line="114" w:lineRule="exact"/>
        <w:rPr>
          <w:rFonts w:ascii="Arial" w:cs="Arial" w:eastAsia="Arial" w:hAnsi="Arial"/>
          <w:sz w:val="18"/>
          <w:szCs w:val="18"/>
          <w:u w:val="single" w:color="auto"/>
          <w:color w:val="0000EE"/>
        </w:rPr>
      </w:pPr>
    </w:p>
    <w:p>
      <w:pPr>
        <w:ind w:left="160"/>
        <w:spacing w:after="0"/>
        <w:tabs>
          <w:tab w:leader="none" w:pos="5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10/13/2020</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160"/>
        <w:spacing w:after="0"/>
        <w:tabs>
          <w:tab w:leader="none" w:pos="5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10/13/2020</w:t>
      </w:r>
    </w:p>
    <w:p>
      <w:pPr>
        <w:spacing w:after="0" w:line="200" w:lineRule="exact"/>
        <w:rPr>
          <w:rFonts w:ascii="Arial" w:cs="Arial" w:eastAsia="Arial" w:hAnsi="Arial"/>
          <w:sz w:val="18"/>
          <w:szCs w:val="18"/>
          <w:u w:val="single" w:color="auto"/>
          <w:color w:val="0000EE"/>
        </w:rPr>
      </w:pPr>
    </w:p>
    <w:p>
      <w:pPr>
        <w:spacing w:after="0" w:line="349" w:lineRule="exact"/>
        <w:rPr>
          <w:rFonts w:ascii="Arial" w:cs="Arial" w:eastAsia="Arial" w:hAnsi="Arial"/>
          <w:sz w:val="18"/>
          <w:szCs w:val="18"/>
          <w:u w:val="single" w:color="auto"/>
          <w:color w:val="0000EE"/>
        </w:rPr>
      </w:pPr>
    </w:p>
    <w:p>
      <w:pPr>
        <w:ind w:left="160"/>
        <w:spacing w:after="0"/>
        <w:tabs>
          <w:tab w:leader="none" w:pos="5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09/14/2020</w:t>
      </w:r>
    </w:p>
    <w:p>
      <w:pPr>
        <w:spacing w:after="0" w:line="200" w:lineRule="exact"/>
        <w:rPr>
          <w:rFonts w:ascii="Arial" w:cs="Arial" w:eastAsia="Arial" w:hAnsi="Arial"/>
          <w:sz w:val="18"/>
          <w:szCs w:val="18"/>
          <w:u w:val="single" w:color="auto"/>
          <w:color w:val="0000EE"/>
        </w:rPr>
      </w:pPr>
    </w:p>
    <w:p>
      <w:pPr>
        <w:spacing w:after="0" w:line="349" w:lineRule="exact"/>
        <w:rPr>
          <w:rFonts w:ascii="Arial" w:cs="Arial" w:eastAsia="Arial" w:hAnsi="Arial"/>
          <w:sz w:val="18"/>
          <w:szCs w:val="18"/>
          <w:u w:val="single" w:color="auto"/>
          <w:color w:val="0000EE"/>
        </w:rPr>
      </w:pPr>
    </w:p>
    <w:p>
      <w:pPr>
        <w:ind w:left="160"/>
        <w:spacing w:after="0"/>
        <w:tabs>
          <w:tab w:leader="none" w:pos="5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09/14/2020</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160"/>
        <w:spacing w:after="0"/>
        <w:tabs>
          <w:tab w:leader="none" w:pos="5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09/30/2020</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160"/>
        <w:spacing w:after="0"/>
        <w:tabs>
          <w:tab w:leader="none" w:pos="5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08/15/2022</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12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06/21/2022</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120"/>
        <w:spacing w:after="0"/>
        <w:tabs>
          <w:tab w:leader="none" w:pos="5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06/21/2022</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7" w:lineRule="exact"/>
        <w:rPr>
          <w:rFonts w:ascii="Arial" w:cs="Arial" w:eastAsia="Arial" w:hAnsi="Arial"/>
          <w:sz w:val="18"/>
          <w:szCs w:val="18"/>
          <w:u w:val="single" w:color="auto"/>
          <w:color w:val="0000EE"/>
        </w:rPr>
      </w:pPr>
    </w:p>
    <w:p>
      <w:pPr>
        <w:ind w:left="12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08/15/2022</w:t>
      </w:r>
    </w:p>
    <w:p>
      <w:pPr>
        <w:spacing w:after="0" w:line="531" w:lineRule="exact"/>
        <w:rPr>
          <w:rFonts w:ascii="Arial" w:cs="Arial" w:eastAsia="Arial" w:hAnsi="Arial"/>
          <w:sz w:val="18"/>
          <w:szCs w:val="18"/>
          <w:u w:val="single" w:color="auto"/>
          <w:color w:val="0000EE"/>
        </w:rPr>
      </w:pPr>
    </w:p>
    <w:p>
      <w:pPr>
        <w:sectPr>
          <w:pgSz w:w="11900" w:h="16838" w:orient="portrait"/>
          <w:cols w:equalWidth="0" w:num="4">
            <w:col w:w="700" w:space="240"/>
            <w:col w:w="4660" w:space="40"/>
            <w:col w:w="980" w:space="40"/>
            <w:col w:w="2359"/>
          </w:cols>
          <w:pgMar w:left="1440" w:top="517" w:right="1440"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880" w:type="dxa"/>
            <w:vAlign w:val="bottom"/>
          </w:tcPr>
          <w:p>
            <w:pPr>
              <w:jc w:val="right"/>
              <w:ind w:right="490"/>
              <w:spacing w:after="0"/>
              <w:rPr>
                <w:sz w:val="20"/>
                <w:szCs w:val="20"/>
                <w:color w:val="auto"/>
              </w:rPr>
            </w:pPr>
            <w:r>
              <w:rPr>
                <w:rFonts w:ascii="Arial" w:cs="Arial" w:eastAsia="Arial" w:hAnsi="Arial"/>
                <w:sz w:val="18"/>
                <w:szCs w:val="18"/>
                <w:color w:val="auto"/>
                <w:w w:val="79"/>
              </w:rPr>
              <w:t>31.1</w:t>
            </w:r>
          </w:p>
        </w:tc>
        <w:tc>
          <w:tcPr>
            <w:tcW w:w="4680" w:type="dxa"/>
            <w:vAlign w:val="bottom"/>
            <w:gridSpan w:val="7"/>
          </w:tcPr>
          <w:p>
            <w:pPr>
              <w:spacing w:after="0"/>
              <w:rPr>
                <w:sz w:val="20"/>
                <w:szCs w:val="20"/>
                <w:color w:val="auto"/>
              </w:rPr>
            </w:pPr>
            <w:r>
              <w:rPr>
                <w:rFonts w:ascii="Arial" w:cs="Arial" w:eastAsia="Arial" w:hAnsi="Arial"/>
                <w:sz w:val="18"/>
                <w:szCs w:val="18"/>
                <w:color w:val="0000EE"/>
                <w:w w:val="97"/>
              </w:rPr>
              <w:t>Certification of Principal Executive Officer Pursuant to Rules</w:t>
            </w:r>
          </w:p>
        </w:tc>
      </w:tr>
      <w:tr>
        <w:trPr>
          <w:trHeight w:val="20"/>
        </w:trPr>
        <w:tc>
          <w:tcPr>
            <w:tcW w:w="8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680" w:type="dxa"/>
            <w:vAlign w:val="bottom"/>
            <w:gridSpan w:val="7"/>
          </w:tcPr>
          <w:p>
            <w:pPr>
              <w:spacing w:after="0" w:line="196" w:lineRule="exact"/>
              <w:rPr>
                <w:sz w:val="20"/>
                <w:szCs w:val="20"/>
                <w:color w:val="auto"/>
              </w:rPr>
            </w:pPr>
            <w:r>
              <w:rPr>
                <w:rFonts w:ascii="Arial" w:cs="Arial" w:eastAsia="Arial" w:hAnsi="Arial"/>
                <w:sz w:val="18"/>
                <w:szCs w:val="18"/>
                <w:color w:val="0000EE"/>
                <w:w w:val="93"/>
              </w:rPr>
              <w:t>13a-14(a) and 15d-14(a) under the Securities Exchange Act of</w:t>
            </w:r>
          </w:p>
        </w:tc>
      </w:tr>
      <w:tr>
        <w:trPr>
          <w:trHeight w:val="20"/>
        </w:trPr>
        <w:tc>
          <w:tcPr>
            <w:tcW w:w="8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6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1934, as Adopted Pursuant to Section 302 of the Sarbanes-Oxley</w:t>
            </w:r>
          </w:p>
        </w:tc>
      </w:tr>
      <w:tr>
        <w:trPr>
          <w:trHeight w:val="196"/>
        </w:trPr>
        <w:tc>
          <w:tcPr>
            <w:tcW w:w="880" w:type="dxa"/>
            <w:vAlign w:val="bottom"/>
          </w:tcPr>
          <w:p>
            <w:pPr>
              <w:spacing w:after="0"/>
              <w:rPr>
                <w:sz w:val="17"/>
                <w:szCs w:val="17"/>
                <w:color w:val="auto"/>
              </w:rPr>
            </w:pPr>
          </w:p>
        </w:tc>
        <w:tc>
          <w:tcPr>
            <w:tcW w:w="4680" w:type="dxa"/>
            <w:vAlign w:val="bottom"/>
            <w:gridSpan w:val="7"/>
          </w:tcPr>
          <w:p>
            <w:pPr>
              <w:spacing w:after="0" w:line="196" w:lineRule="exact"/>
              <w:rPr>
                <w:sz w:val="20"/>
                <w:szCs w:val="20"/>
                <w:color w:val="auto"/>
              </w:rPr>
            </w:pPr>
            <w:r>
              <w:rPr>
                <w:rFonts w:ascii="Arial" w:cs="Arial" w:eastAsia="Arial" w:hAnsi="Arial"/>
                <w:sz w:val="18"/>
                <w:szCs w:val="18"/>
                <w:color w:val="0000EE"/>
              </w:rPr>
              <w:t>Act of 2002.</w:t>
            </w:r>
          </w:p>
        </w:tc>
      </w:tr>
      <w:tr>
        <w:trPr>
          <w:trHeight w:val="20"/>
        </w:trPr>
        <w:tc>
          <w:tcPr>
            <w:tcW w:w="8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80" w:type="dxa"/>
            <w:vAlign w:val="bottom"/>
          </w:tcPr>
          <w:p>
            <w:pPr>
              <w:jc w:val="right"/>
              <w:ind w:right="490"/>
              <w:spacing w:after="0"/>
              <w:rPr>
                <w:sz w:val="20"/>
                <w:szCs w:val="20"/>
                <w:color w:val="auto"/>
              </w:rPr>
            </w:pPr>
            <w:r>
              <w:rPr>
                <w:rFonts w:ascii="Arial" w:cs="Arial" w:eastAsia="Arial" w:hAnsi="Arial"/>
                <w:sz w:val="18"/>
                <w:szCs w:val="18"/>
                <w:color w:val="auto"/>
                <w:w w:val="79"/>
              </w:rPr>
              <w:t>31.2</w:t>
            </w:r>
          </w:p>
        </w:tc>
        <w:tc>
          <w:tcPr>
            <w:tcW w:w="44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3"/>
              </w:rPr>
              <w:t>Certification of Principal Financial Officer Pursuant to Rules</w:t>
            </w:r>
          </w:p>
        </w:tc>
        <w:tc>
          <w:tcPr>
            <w:tcW w:w="24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680" w:type="dxa"/>
            <w:vAlign w:val="bottom"/>
            <w:gridSpan w:val="7"/>
          </w:tcPr>
          <w:p>
            <w:pPr>
              <w:spacing w:after="0" w:line="196" w:lineRule="exact"/>
              <w:rPr>
                <w:sz w:val="20"/>
                <w:szCs w:val="20"/>
                <w:color w:val="auto"/>
              </w:rPr>
            </w:pPr>
            <w:r>
              <w:rPr>
                <w:rFonts w:ascii="Arial" w:cs="Arial" w:eastAsia="Arial" w:hAnsi="Arial"/>
                <w:sz w:val="18"/>
                <w:szCs w:val="18"/>
                <w:color w:val="0000EE"/>
                <w:w w:val="93"/>
              </w:rPr>
              <w:t>13a-14(a) and 15d-14(a) under the Securities Exchange Act of</w:t>
            </w:r>
          </w:p>
        </w:tc>
      </w:tr>
      <w:tr>
        <w:trPr>
          <w:trHeight w:val="20"/>
        </w:trPr>
        <w:tc>
          <w:tcPr>
            <w:tcW w:w="88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6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1934, as Adopted Pursuant to Section 302 of the Sarbanes-Oxley</w:t>
            </w:r>
          </w:p>
        </w:tc>
      </w:tr>
      <w:tr>
        <w:trPr>
          <w:trHeight w:val="196"/>
        </w:trPr>
        <w:tc>
          <w:tcPr>
            <w:tcW w:w="880" w:type="dxa"/>
            <w:vAlign w:val="bottom"/>
          </w:tcPr>
          <w:p>
            <w:pPr>
              <w:spacing w:after="0"/>
              <w:rPr>
                <w:sz w:val="17"/>
                <w:szCs w:val="17"/>
                <w:color w:val="auto"/>
              </w:rPr>
            </w:pPr>
          </w:p>
        </w:tc>
        <w:tc>
          <w:tcPr>
            <w:tcW w:w="4680" w:type="dxa"/>
            <w:vAlign w:val="bottom"/>
            <w:gridSpan w:val="7"/>
          </w:tcPr>
          <w:p>
            <w:pPr>
              <w:spacing w:after="0" w:line="196" w:lineRule="exact"/>
              <w:rPr>
                <w:sz w:val="20"/>
                <w:szCs w:val="20"/>
                <w:color w:val="auto"/>
              </w:rPr>
            </w:pPr>
            <w:r>
              <w:rPr>
                <w:rFonts w:ascii="Arial" w:cs="Arial" w:eastAsia="Arial" w:hAnsi="Arial"/>
                <w:sz w:val="18"/>
                <w:szCs w:val="18"/>
                <w:color w:val="0000EE"/>
              </w:rPr>
              <w:t>Act of 2002.</w:t>
            </w:r>
          </w:p>
        </w:tc>
      </w:tr>
      <w:tr>
        <w:trPr>
          <w:trHeight w:val="20"/>
        </w:trPr>
        <w:tc>
          <w:tcPr>
            <w:tcW w:w="8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80" w:type="dxa"/>
            <w:vAlign w:val="bottom"/>
          </w:tcPr>
          <w:p>
            <w:pPr>
              <w:jc w:val="right"/>
              <w:ind w:right="490"/>
              <w:spacing w:after="0"/>
              <w:rPr>
                <w:sz w:val="20"/>
                <w:szCs w:val="20"/>
                <w:color w:val="auto"/>
              </w:rPr>
            </w:pPr>
            <w:r>
              <w:rPr>
                <w:rFonts w:ascii="Arial" w:cs="Arial" w:eastAsia="Arial" w:hAnsi="Arial"/>
                <w:sz w:val="18"/>
                <w:szCs w:val="18"/>
                <w:color w:val="auto"/>
                <w:w w:val="79"/>
              </w:rPr>
              <w:t>32.1</w:t>
            </w:r>
          </w:p>
        </w:tc>
        <w:tc>
          <w:tcPr>
            <w:tcW w:w="42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Certification of Principal Executive Officer Pursuant to 18</w:t>
            </w:r>
          </w:p>
        </w:tc>
        <w:tc>
          <w:tcPr>
            <w:tcW w:w="46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6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U.S.C. Section 1350, as Adopted Pursuant to Section 906 of the</w:t>
            </w:r>
          </w:p>
        </w:tc>
        <w:tc>
          <w:tcPr>
            <w:tcW w:w="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680" w:type="dxa"/>
            <w:vAlign w:val="bottom"/>
            <w:gridSpan w:val="7"/>
          </w:tcPr>
          <w:p>
            <w:pPr>
              <w:spacing w:after="0" w:line="196" w:lineRule="exact"/>
              <w:rPr>
                <w:sz w:val="20"/>
                <w:szCs w:val="20"/>
                <w:color w:val="auto"/>
              </w:rPr>
            </w:pPr>
            <w:r>
              <w:rPr>
                <w:rFonts w:ascii="Arial" w:cs="Arial" w:eastAsia="Arial" w:hAnsi="Arial"/>
                <w:sz w:val="18"/>
                <w:szCs w:val="18"/>
                <w:color w:val="0000EE"/>
              </w:rPr>
              <w:t>Sarbanes-Oxley Act of 2002.</w:t>
            </w:r>
          </w:p>
        </w:tc>
      </w:tr>
      <w:tr>
        <w:trPr>
          <w:trHeight w:val="20"/>
        </w:trPr>
        <w:tc>
          <w:tcPr>
            <w:tcW w:w="88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412"/>
        </w:trPr>
        <w:tc>
          <w:tcPr>
            <w:tcW w:w="880" w:type="dxa"/>
            <w:vAlign w:val="bottom"/>
          </w:tcPr>
          <w:p>
            <w:pPr>
              <w:jc w:val="right"/>
              <w:ind w:right="490"/>
              <w:spacing w:after="0"/>
              <w:rPr>
                <w:sz w:val="20"/>
                <w:szCs w:val="20"/>
                <w:color w:val="auto"/>
              </w:rPr>
            </w:pPr>
            <w:r>
              <w:rPr>
                <w:rFonts w:ascii="Arial" w:cs="Arial" w:eastAsia="Arial" w:hAnsi="Arial"/>
                <w:sz w:val="18"/>
                <w:szCs w:val="18"/>
                <w:color w:val="auto"/>
                <w:w w:val="79"/>
              </w:rPr>
              <w:t>32.2</w:t>
            </w:r>
          </w:p>
        </w:tc>
        <w:tc>
          <w:tcPr>
            <w:tcW w:w="4680" w:type="dxa"/>
            <w:vAlign w:val="bottom"/>
            <w:gridSpan w:val="7"/>
          </w:tcPr>
          <w:p>
            <w:pPr>
              <w:spacing w:after="0"/>
              <w:rPr>
                <w:sz w:val="20"/>
                <w:szCs w:val="20"/>
                <w:color w:val="auto"/>
              </w:rPr>
            </w:pPr>
            <w:r>
              <w:rPr>
                <w:rFonts w:ascii="Arial" w:cs="Arial" w:eastAsia="Arial" w:hAnsi="Arial"/>
                <w:sz w:val="18"/>
                <w:szCs w:val="18"/>
                <w:color w:val="0000EE"/>
              </w:rPr>
              <w:t>Certification of Principal Financial Officer Pursuant to 18</w:t>
            </w:r>
          </w:p>
        </w:tc>
      </w:tr>
      <w:tr>
        <w:trPr>
          <w:trHeight w:val="20"/>
        </w:trPr>
        <w:tc>
          <w:tcPr>
            <w:tcW w:w="880" w:type="dxa"/>
            <w:vAlign w:val="bottom"/>
          </w:tcPr>
          <w:p>
            <w:pPr>
              <w:spacing w:after="0" w:line="20" w:lineRule="exact"/>
              <w:rPr>
                <w:sz w:val="1"/>
                <w:szCs w:val="1"/>
                <w:color w:val="auto"/>
              </w:rPr>
            </w:pPr>
          </w:p>
        </w:tc>
        <w:tc>
          <w:tcPr>
            <w:tcW w:w="4160" w:type="dxa"/>
            <w:vAlign w:val="bottom"/>
            <w:gridSpan w:val="3"/>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6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U.S.C. Section 1350, as Adopted Pursuant to Section 906 of the</w:t>
            </w:r>
          </w:p>
        </w:tc>
        <w:tc>
          <w:tcPr>
            <w:tcW w:w="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680" w:type="dxa"/>
            <w:vAlign w:val="bottom"/>
            <w:gridSpan w:val="7"/>
          </w:tcPr>
          <w:p>
            <w:pPr>
              <w:spacing w:after="0" w:line="196" w:lineRule="exact"/>
              <w:rPr>
                <w:sz w:val="20"/>
                <w:szCs w:val="20"/>
                <w:color w:val="auto"/>
              </w:rPr>
            </w:pPr>
            <w:r>
              <w:rPr>
                <w:rFonts w:ascii="Arial" w:cs="Arial" w:eastAsia="Arial" w:hAnsi="Arial"/>
                <w:sz w:val="18"/>
                <w:szCs w:val="18"/>
                <w:color w:val="0000EE"/>
              </w:rPr>
              <w:t>Sarbanes-Oxley Act of 2002.</w:t>
            </w:r>
          </w:p>
        </w:tc>
      </w:tr>
      <w:tr>
        <w:trPr>
          <w:trHeight w:val="20"/>
        </w:trPr>
        <w:tc>
          <w:tcPr>
            <w:tcW w:w="8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322"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3"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6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7"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412" w:lineRule="exact"/>
        <w:rPr>
          <w:rFonts w:ascii="Arial" w:cs="Arial" w:eastAsia="Arial" w:hAnsi="Arial"/>
          <w:sz w:val="18"/>
          <w:szCs w:val="18"/>
          <w:u w:val="single" w:color="auto"/>
          <w:color w:val="0000EE"/>
        </w:rPr>
      </w:pPr>
    </w:p>
    <w:p>
      <w:pPr>
        <w:sectPr>
          <w:pgSz w:w="11900" w:h="16838" w:orient="portrait"/>
          <w:cols w:equalWidth="0" w:num="2">
            <w:col w:w="7720" w:space="720"/>
            <w:col w:w="579"/>
          </w:cols>
          <w:pgMar w:left="1440" w:top="517" w:right="1440" w:bottom="1440" w:gutter="0" w:footer="0" w:header="0"/>
          <w:type w:val="continuous"/>
        </w:sectPr>
      </w:pPr>
    </w:p>
    <w:p>
      <w:pPr>
        <w:spacing w:after="0" w:line="200" w:lineRule="exact"/>
        <w:rPr>
          <w:rFonts w:ascii="Arial" w:cs="Arial" w:eastAsia="Arial" w:hAnsi="Arial"/>
          <w:sz w:val="18"/>
          <w:szCs w:val="18"/>
          <w:u w:val="single" w:color="auto"/>
          <w:color w:val="0000EE"/>
        </w:rPr>
      </w:pPr>
    </w:p>
    <w:p>
      <w:pPr>
        <w:spacing w:after="0" w:line="261"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4780" w:type="dxa"/>
            <w:vAlign w:val="bottom"/>
          </w:tcPr>
          <w:p>
            <w:pPr>
              <w:ind w:left="100"/>
              <w:spacing w:after="0"/>
              <w:rPr>
                <w:sz w:val="20"/>
                <w:szCs w:val="20"/>
                <w:color w:val="auto"/>
              </w:rPr>
            </w:pPr>
            <w:r>
              <w:rPr>
                <w:rFonts w:ascii="Arial" w:cs="Arial" w:eastAsia="Arial" w:hAnsi="Arial"/>
                <w:sz w:val="18"/>
                <w:szCs w:val="18"/>
                <w:color w:val="auto"/>
                <w:w w:val="93"/>
              </w:rPr>
              <w:t>Inline XBRL Instance Document - the instance document does</w:t>
            </w:r>
          </w:p>
        </w:tc>
      </w:tr>
      <w:tr>
        <w:trPr>
          <w:trHeight w:val="216"/>
        </w:trPr>
        <w:tc>
          <w:tcPr>
            <w:tcW w:w="78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w w:val="89"/>
              </w:rPr>
              <w:t>not appear in the Interactive Data File because its XBRL tags are</w:t>
            </w:r>
          </w:p>
        </w:tc>
      </w:tr>
      <w:tr>
        <w:trPr>
          <w:trHeight w:val="230"/>
        </w:trPr>
        <w:tc>
          <w:tcPr>
            <w:tcW w:w="78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embedded within the Inline XBRL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4780" w:type="dxa"/>
            <w:vAlign w:val="bottom"/>
          </w:tcPr>
          <w:p>
            <w:pPr>
              <w:ind w:left="100"/>
              <w:spacing w:after="0"/>
              <w:rPr>
                <w:sz w:val="20"/>
                <w:szCs w:val="20"/>
                <w:color w:val="auto"/>
              </w:rPr>
            </w:pPr>
            <w:r>
              <w:rPr>
                <w:rFonts w:ascii="Arial" w:cs="Arial" w:eastAsia="Arial" w:hAnsi="Arial"/>
                <w:sz w:val="18"/>
                <w:szCs w:val="18"/>
                <w:color w:val="auto"/>
              </w:rPr>
              <w:t>Inline XBRL Taxonomy Extension Schema Document</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4780" w:type="dxa"/>
            <w:vAlign w:val="bottom"/>
          </w:tcPr>
          <w:p>
            <w:pPr>
              <w:ind w:left="100"/>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78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Document</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4780" w:type="dxa"/>
            <w:vAlign w:val="bottom"/>
          </w:tcPr>
          <w:p>
            <w:pPr>
              <w:ind w:left="10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78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4780" w:type="dxa"/>
            <w:vAlign w:val="bottom"/>
          </w:tcPr>
          <w:p>
            <w:pPr>
              <w:ind w:left="100"/>
              <w:spacing w:after="0"/>
              <w:rPr>
                <w:sz w:val="20"/>
                <w:szCs w:val="20"/>
                <w:color w:val="auto"/>
              </w:rPr>
            </w:pPr>
            <w:r>
              <w:rPr>
                <w:rFonts w:ascii="Arial" w:cs="Arial" w:eastAsia="Arial" w:hAnsi="Arial"/>
                <w:sz w:val="18"/>
                <w:szCs w:val="18"/>
                <w:color w:val="auto"/>
                <w:w w:val="96"/>
              </w:rPr>
              <w:t>Inline XBRL Taxonomy Extension Label Linkbase Document</w:t>
            </w:r>
          </w:p>
        </w:tc>
      </w:tr>
      <w:tr>
        <w:trPr>
          <w:trHeight w:val="634"/>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4780" w:type="dxa"/>
            <w:vAlign w:val="bottom"/>
          </w:tcPr>
          <w:p>
            <w:pPr>
              <w:ind w:left="100"/>
              <w:spacing w:after="0"/>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78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Document</w:t>
            </w:r>
          </w:p>
        </w:tc>
      </w:tr>
    </w:tbl>
    <w:p>
      <w:pPr>
        <w:spacing w:after="0" w:line="202" w:lineRule="exact"/>
        <w:rPr>
          <w:sz w:val="20"/>
          <w:szCs w:val="20"/>
          <w:color w:val="auto"/>
        </w:rPr>
      </w:pPr>
    </w:p>
    <w:p>
      <w:pPr>
        <w:ind w:left="940" w:right="2160" w:hanging="890"/>
        <w:spacing w:after="0" w:line="277"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89"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25" w:lineRule="exact"/>
        <w:rPr>
          <w:rFonts w:ascii="Arial" w:cs="Arial" w:eastAsia="Arial" w:hAnsi="Arial"/>
          <w:sz w:val="18"/>
          <w:szCs w:val="18"/>
          <w:color w:val="auto"/>
        </w:rPr>
      </w:pPr>
    </w:p>
    <w:p>
      <w:pPr>
        <w:ind w:left="920" w:hanging="222"/>
        <w:spacing w:after="0"/>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-438785</wp:posOffset>
            </wp:positionV>
            <wp:extent cx="1414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7760" w:space="720"/>
            <w:col w:w="53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60" w:type="dxa"/>
            <w:vAlign w:val="bottom"/>
          </w:tcPr>
          <w:p>
            <w:pPr>
              <w:ind w:left="940"/>
              <w:spacing w:after="0"/>
              <w:rPr>
                <w:sz w:val="20"/>
                <w:szCs w:val="20"/>
                <w:color w:val="auto"/>
              </w:rPr>
            </w:pPr>
            <w:r>
              <w:rPr>
                <w:rFonts w:ascii="Arial" w:cs="Arial" w:eastAsia="Arial" w:hAnsi="Arial"/>
                <w:sz w:val="18"/>
                <w:szCs w:val="18"/>
                <w:color w:val="auto"/>
              </w:rPr>
              <w:t>AZIYO BIOLOGICS, INC.</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 August 15, 2022</w:t>
            </w:r>
          </w:p>
        </w:tc>
        <w:tc>
          <w:tcPr>
            <w:tcW w:w="1680" w:type="dxa"/>
            <w:vAlign w:val="bottom"/>
          </w:tcPr>
          <w:p>
            <w:pPr>
              <w:ind w:left="1400"/>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C. Randal Mills</w:t>
            </w:r>
          </w:p>
        </w:tc>
      </w:tr>
      <w:tr>
        <w:trPr>
          <w:trHeight w:val="195"/>
        </w:trPr>
        <w:tc>
          <w:tcPr>
            <w:tcW w:w="3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160" w:type="dxa"/>
            <w:vAlign w:val="bottom"/>
          </w:tcPr>
          <w:p>
            <w:pPr>
              <w:ind w:left="320"/>
              <w:spacing w:after="0" w:line="195" w:lineRule="exact"/>
              <w:rPr>
                <w:sz w:val="20"/>
                <w:szCs w:val="20"/>
                <w:color w:val="auto"/>
              </w:rPr>
            </w:pPr>
            <w:r>
              <w:rPr>
                <w:rFonts w:ascii="Arial" w:cs="Arial" w:eastAsia="Arial" w:hAnsi="Arial"/>
                <w:sz w:val="18"/>
                <w:szCs w:val="18"/>
                <w:color w:val="auto"/>
              </w:rPr>
              <w:t>C. Randal Mills</w:t>
            </w:r>
          </w:p>
        </w:tc>
      </w:tr>
      <w:tr>
        <w:trPr>
          <w:trHeight w:val="216"/>
        </w:trPr>
        <w:tc>
          <w:tcPr>
            <w:tcW w:w="3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 August 15, 2022</w:t>
            </w:r>
          </w:p>
        </w:tc>
        <w:tc>
          <w:tcPr>
            <w:tcW w:w="1680" w:type="dxa"/>
            <w:vAlign w:val="bottom"/>
          </w:tcPr>
          <w:p>
            <w:pPr>
              <w:ind w:left="1400"/>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Matthew Ferguson</w:t>
            </w:r>
          </w:p>
        </w:tc>
      </w:tr>
      <w:tr>
        <w:trPr>
          <w:trHeight w:val="195"/>
        </w:trPr>
        <w:tc>
          <w:tcPr>
            <w:tcW w:w="3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160" w:type="dxa"/>
            <w:vAlign w:val="bottom"/>
          </w:tcPr>
          <w:p>
            <w:pPr>
              <w:ind w:left="320"/>
              <w:spacing w:after="0" w:line="195" w:lineRule="exact"/>
              <w:rPr>
                <w:sz w:val="20"/>
                <w:szCs w:val="20"/>
                <w:color w:val="auto"/>
              </w:rPr>
            </w:pPr>
            <w:r>
              <w:rPr>
                <w:rFonts w:ascii="Arial" w:cs="Arial" w:eastAsia="Arial" w:hAnsi="Arial"/>
                <w:sz w:val="18"/>
                <w:szCs w:val="18"/>
                <w:color w:val="auto"/>
              </w:rPr>
              <w:t>Matthew Ferguson</w:t>
            </w:r>
          </w:p>
        </w:tc>
      </w:tr>
      <w:tr>
        <w:trPr>
          <w:trHeight w:val="216"/>
        </w:trPr>
        <w:tc>
          <w:tcPr>
            <w:tcW w:w="3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r>
        <w:trPr>
          <w:trHeight w:val="216"/>
        </w:trPr>
        <w:tc>
          <w:tcPr>
            <w:tcW w:w="3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w w:val="96"/>
              </w:rPr>
              <w:t>(principal financial officer and principal accounting</w:t>
            </w:r>
          </w:p>
        </w:tc>
      </w:tr>
      <w:tr>
        <w:trPr>
          <w:trHeight w:val="230"/>
        </w:trPr>
        <w:tc>
          <w:tcPr>
            <w:tcW w:w="3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 Randal Mills,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June 30, 2022 of Aziyo Biologics, Inc.;</w:t>
      </w:r>
    </w:p>
    <w:p>
      <w:pPr>
        <w:spacing w:after="0" w:line="26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August 15, 2022</w:t>
            </w:r>
          </w:p>
        </w:tc>
        <w:tc>
          <w:tcPr>
            <w:tcW w:w="1980" w:type="dxa"/>
            <w:vAlign w:val="bottom"/>
          </w:tcPr>
          <w:p>
            <w:pPr>
              <w:ind w:left="16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 Randal Mills</w:t>
            </w:r>
          </w:p>
        </w:tc>
      </w:tr>
      <w:tr>
        <w:trPr>
          <w:trHeight w:val="195"/>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4"/>
              </w:rPr>
              <w:t>C. Randal Mills</w:t>
            </w:r>
          </w:p>
        </w:tc>
      </w:tr>
      <w:tr>
        <w:trPr>
          <w:trHeight w:val="216"/>
        </w:trPr>
        <w:tc>
          <w:tcPr>
            <w:tcW w:w="3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776"/>
        </w:trPr>
        <w:tc>
          <w:tcPr>
            <w:tcW w:w="3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Ferguson,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June 30, 2022 of Aziyo Biologics, Inc.;</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August 15, 2022</w:t>
            </w:r>
          </w:p>
        </w:tc>
        <w:tc>
          <w:tcPr>
            <w:tcW w:w="1980" w:type="dxa"/>
            <w:vAlign w:val="bottom"/>
          </w:tcPr>
          <w:p>
            <w:pPr>
              <w:ind w:left="16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Matthew Ferguson</w:t>
            </w:r>
          </w:p>
        </w:tc>
      </w:tr>
      <w:tr>
        <w:trPr>
          <w:trHeight w:val="195"/>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Ferguson</w:t>
            </w:r>
          </w:p>
        </w:tc>
      </w:tr>
      <w:tr>
        <w:trPr>
          <w:trHeight w:val="216"/>
        </w:trPr>
        <w:tc>
          <w:tcPr>
            <w:tcW w:w="3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776"/>
        </w:trPr>
        <w:tc>
          <w:tcPr>
            <w:tcW w:w="3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connection with the Quarterly Report of Aziyo Biologics, Inc. (the “Company”) on Form 10-Q for the quarterly period ended June 30,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8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August 15, 2022</w:t>
            </w:r>
          </w:p>
        </w:tc>
        <w:tc>
          <w:tcPr>
            <w:tcW w:w="1980" w:type="dxa"/>
            <w:vAlign w:val="bottom"/>
          </w:tcPr>
          <w:p>
            <w:pPr>
              <w:ind w:left="16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 Randal Mills</w:t>
            </w:r>
          </w:p>
        </w:tc>
      </w:tr>
      <w:tr>
        <w:trPr>
          <w:trHeight w:val="195"/>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4"/>
              </w:rPr>
              <w:t>C. Randal Mills</w:t>
            </w:r>
          </w:p>
        </w:tc>
      </w:tr>
      <w:tr>
        <w:trPr>
          <w:trHeight w:val="216"/>
        </w:trPr>
        <w:tc>
          <w:tcPr>
            <w:tcW w:w="3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bl>
    <w:p>
      <w:pPr>
        <w:spacing w:after="0" w:line="202"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connection with the Quarterly Report of Aziyo Biologics, Inc. (the “Company”) on Form 10-Q for the quarterly period ended June 30,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80" w:hanging="648"/>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August 15, 2022</w:t>
            </w:r>
          </w:p>
        </w:tc>
        <w:tc>
          <w:tcPr>
            <w:tcW w:w="1980" w:type="dxa"/>
            <w:vAlign w:val="bottom"/>
          </w:tcPr>
          <w:p>
            <w:pPr>
              <w:ind w:left="16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Matthew Ferguson</w:t>
            </w:r>
          </w:p>
        </w:tc>
      </w:tr>
      <w:tr>
        <w:trPr>
          <w:trHeight w:val="195"/>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Ferguson</w:t>
            </w:r>
          </w:p>
        </w:tc>
      </w:tr>
      <w:tr>
        <w:trPr>
          <w:trHeight w:val="216"/>
        </w:trPr>
        <w:tc>
          <w:tcPr>
            <w:tcW w:w="3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202"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
      <w:numFmt w:val="bullet"/>
      <w:start w:val="1"/>
    </w:lvl>
  </w:abstractNum>
  <w:abstractNum w:abstractNumId="4">
    <w:nsid w:val="1F16E9E8"/>
    <w:multiLevelType w:val="hybridMultilevel"/>
    <w:lvl w:ilvl="0">
      <w:lvlJc w:val="left"/>
      <w:lvlText w:val="(%1)"/>
      <w:numFmt w:val="decimal"/>
      <w:start w:val="10"/>
    </w:lvl>
  </w:abstractNum>
  <w:abstractNum w:abstractNumId="5">
    <w:nsid w:val="1190CDE7"/>
    <w:multiLevelType w:val="hybridMultilevel"/>
    <w:lvl w:ilvl="0">
      <w:lvlJc w:val="left"/>
      <w:lvlText w:val="(%1)"/>
      <w:numFmt w:val="decimal"/>
      <w:start w:val="15"/>
    </w:lvl>
  </w:abstractNum>
  <w:abstractNum w:abstractNumId="6">
    <w:nsid w:val="66EF438D"/>
    <w:multiLevelType w:val="hybridMultilevel"/>
    <w:lvl w:ilvl="0">
      <w:lvlJc w:val="left"/>
      <w:lvlText w:val="(%1)"/>
      <w:numFmt w:val="lowerRoman"/>
      <w:start w:val="4"/>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04"/>
    </w:lvl>
    <w:lvl w:ilvl="1">
      <w:lvlJc w:val="left"/>
      <w:lvlText w:val="*"/>
      <w:numFmt w:val="bullet"/>
      <w:start w:val="1"/>
    </w:lvl>
  </w:abstractNum>
  <w:abstractNum w:abstractNumId="12">
    <w:nsid w:val="1BEFD79F"/>
    <w:multiLevelType w:val="hybridMultilevel"/>
    <w:lvl w:ilvl="0">
      <w:lvlJc w:val="left"/>
      <w:lvlText w:val="%1"/>
      <w:numFmt w:val="decimal"/>
      <w:start w:val="1"/>
    </w:lvl>
    <w:lvl w:ilvl="1">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67" Type="http://schemas.openxmlformats.org/officeDocument/2006/relationships/hyperlink" Target="https://www.sec.gov/Archives/edgar/data/1708527/000110465920114535/tm2023171d18_ex3-1.htm" TargetMode="External"/><Relationship Id="rId68" Type="http://schemas.openxmlformats.org/officeDocument/2006/relationships/hyperlink" Target="https://www.sec.gov/Archives/edgar/data/1708527/000110465920114535/tm2023171d18_ex3-2.htm" TargetMode="External"/><Relationship Id="rId69" Type="http://schemas.openxmlformats.org/officeDocument/2006/relationships/hyperlink" Target="https://www.sec.gov/Archives/edgar/data/1708527/000110465920104884/tm2023171d8_ex4-1.htm" TargetMode="External"/><Relationship Id="rId70" Type="http://schemas.openxmlformats.org/officeDocument/2006/relationships/hyperlink" Target="https://www.sec.gov/Archives/edgar/data/1708527/000110465920104884/tm2023171d8_ex4-2.htm" TargetMode="External"/><Relationship Id="rId71" Type="http://schemas.openxmlformats.org/officeDocument/2006/relationships/hyperlink" Target="https://www.sec.gov/Archives/edgar/data/1708527/000110465920110107/tm2023171d11_ex4-3.htm" TargetMode="External"/><Relationship Id="rId72" Type="http://schemas.openxmlformats.org/officeDocument/2006/relationships/hyperlink" Target="https://www.sec.gov/Archives/edgar/data/1708527/000110465922091214/tm2223445d1_ex4-1.htm" TargetMode="External"/><Relationship Id="rId73" Type="http://schemas.openxmlformats.org/officeDocument/2006/relationships/hyperlink" Target="https://www.sec.gov/Archives/edgar/data/1708527/000110465922072962/tm2218923d1_ex10-1.htm" TargetMode="External"/><Relationship Id="rId74" Type="http://schemas.openxmlformats.org/officeDocument/2006/relationships/hyperlink" Target="https://www.sec.gov/Archives/edgar/data/1708527/000110465922072962/tm2218923d1_ex10-2.htm" TargetMode="External"/><Relationship Id="rId75" Type="http://schemas.openxmlformats.org/officeDocument/2006/relationships/hyperlink" Target="https://www.sec.gov/Archives/edgar/data/1708527/000110465922091214/tm222344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2022-08-15T18:05:16Z</dcterms:created>
  <dcterms:modified xsi:type="dcterms:W3CDTF">2022-08-15T18:05:16Z</dcterms:modified>
</cp:coreProperties>
</file>