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sz w:val="24"/>
          <w:bdr w:val="single" w:sz="8" w:space="1" w:color="000000"/>
        </w:rPr>
      </w:pPr>
      <w:bookmarkStart w:id="0" w:name="_3a907513_a85f_4b38_8b1f_6181716ed748"/>
      <w:bookmarkStart w:id="1" w:name="elut-20260817x8k.htm"/>
      <w:bookmarkStart w:id="2" w:name="kselut20260817x8k"/>
      <w:bookmarkEnd w:id="0"/>
      <w:bookmarkEnd w:id="1"/>
      <w:bookmarkEnd w:id="2"/>
      <w:r>
        <w:rPr>
          <w:rFonts w:ascii="Times New Roman;Times;serif" w:hAnsi="Times New Roman;Times;serif"/>
          <w:b/>
          <w:sz w:val="24"/>
          <w:bdr w:val="single" w:sz="8" w:space="1" w:color="000000"/>
        </w:rPr>
        <w:t>UNITED STATES</w:t>
      </w:r>
    </w:p>
    <w:p>
      <w:pPr>
        <w:pStyle w:val="TextBody"/>
        <w:bidi w:val="0"/>
        <w:spacing w:before="0" w:after="0"/>
        <w:ind w:left="0" w:right="0" w:hanging="0"/>
        <w:jc w:val="center"/>
        <w:rPr>
          <w:rFonts w:ascii="Times New Roman;Times;serif" w:hAnsi="Times New Roman;Times;serif"/>
          <w:b/>
          <w:sz w:val="24"/>
          <w:bdr w:val="single" w:sz="8" w:space="1" w:color="000000"/>
        </w:rPr>
      </w:pPr>
      <w:r>
        <w:rPr>
          <w:rFonts w:ascii="Times New Roman;Times;serif" w:hAnsi="Times New Roman;Times;serif"/>
          <w:b/>
          <w:sz w:val="24"/>
          <w:bdr w:val="single" w:sz="8" w:space="1" w:color="000000"/>
        </w:rPr>
        <w:t>SECURITIES AND EXCHANGE COMMISSION</w:t>
      </w:r>
    </w:p>
    <w:p>
      <w:pPr>
        <w:pStyle w:val="TextBody"/>
        <w:bidi w:val="0"/>
        <w:spacing w:before="0" w:after="0"/>
        <w:ind w:left="0" w:right="0" w:hanging="0"/>
        <w:jc w:val="center"/>
        <w:rPr>
          <w:rFonts w:ascii="Times New Roman;Times;serif" w:hAnsi="Times New Roman;Times;serif"/>
          <w:b/>
          <w:sz w:val="24"/>
          <w:bdr w:val="single" w:sz="8" w:space="1" w:color="000000"/>
        </w:rPr>
      </w:pPr>
      <w:r>
        <w:rPr>
          <w:rFonts w:ascii="Times New Roman;Times;serif" w:hAnsi="Times New Roman;Times;serif"/>
          <w:b/>
          <w:sz w:val="24"/>
          <w:bdr w:val="single" w:sz="8" w:space="1" w:color="000000"/>
        </w:rPr>
        <w:t>Washington, D.C. 20549</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center"/>
        <w:rPr>
          <w:rFonts w:ascii="Times New Roman;Times;serif" w:hAnsi="Times New Roman;Times;serif"/>
          <w:b/>
          <w:sz w:val="24"/>
          <w:bdr w:val="single" w:sz="8" w:space="1" w:color="000000"/>
        </w:rPr>
      </w:pPr>
      <w:r>
        <w:rPr>
          <w:rFonts w:ascii="Times New Roman;Times;serif" w:hAnsi="Times New Roman;Times;serif"/>
          <w:b/>
          <w:sz w:val="24"/>
          <w:bdr w:val="single" w:sz="8" w:space="1" w:color="000000"/>
        </w:rPr>
        <w:t>FORM 8-K</w:t>
      </w:r>
    </w:p>
    <w:p>
      <w:pPr>
        <w:pStyle w:val="TextBody"/>
        <w:bidi w:val="0"/>
        <w:spacing w:before="0" w:after="0"/>
        <w:ind w:left="0" w:right="0" w:hanging="0"/>
        <w:jc w:val="center"/>
        <w:rPr>
          <w:rFonts w:ascii="Times New Roman;Times;serif" w:hAnsi="Times New Roman;Times;serif"/>
          <w:b/>
          <w:sz w:val="24"/>
          <w:bdr w:val="single" w:sz="8" w:space="1" w:color="000000"/>
        </w:rPr>
      </w:pPr>
      <w:r>
        <w:rPr>
          <w:rFonts w:ascii="Times New Roman;Times;serif" w:hAnsi="Times New Roman;Times;serif"/>
          <w:b/>
          <w:sz w:val="24"/>
          <w:bdr w:val="single" w:sz="8" w:space="1" w:color="000000"/>
        </w:rPr>
        <w:t>CURRENT REPORT</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center"/>
        <w:rPr>
          <w:rFonts w:ascii="Times New Roman;Times;serif" w:hAnsi="Times New Roman;Times;serif"/>
          <w:b/>
          <w:sz w:val="24"/>
          <w:bdr w:val="single" w:sz="8" w:space="1" w:color="000000"/>
        </w:rPr>
      </w:pPr>
      <w:r>
        <w:rPr>
          <w:rFonts w:ascii="Times New Roman;Times;serif" w:hAnsi="Times New Roman;Times;serif"/>
          <w:b/>
          <w:sz w:val="24"/>
          <w:bdr w:val="single" w:sz="8" w:space="1" w:color="000000"/>
        </w:rPr>
        <w:t>Pursuant to Section 13 or 15(d) of the Securities Exchange Act of 1934</w:t>
      </w:r>
    </w:p>
    <w:p>
      <w:pPr>
        <w:pStyle w:val="TextBody"/>
        <w:bidi w:val="0"/>
        <w:spacing w:before="0" w:after="0"/>
        <w:ind w:left="0" w:right="0" w:hanging="0"/>
        <w:jc w:val="center"/>
        <w:rPr>
          <w:bdr w:val="single" w:sz="8" w:space="1" w:color="000000"/>
        </w:rPr>
      </w:pPr>
      <w:r>
        <w:rPr>
          <w:bdr w:val="single" w:sz="8" w:space="1" w:color="000000"/>
        </w:rPr>
        <w:t>​</w:t>
      </w:r>
    </w:p>
    <w:p>
      <w:pPr>
        <w:pStyle w:val="TextBody"/>
        <w:bidi w:val="0"/>
        <w:spacing w:before="0" w:after="0"/>
        <w:ind w:left="0" w:right="0" w:hanging="0"/>
        <w:jc w:val="center"/>
        <w:rPr>
          <w:rFonts w:ascii="Times New Roman;Times;serif" w:hAnsi="Times New Roman;Times;serif"/>
          <w:sz w:val="24"/>
          <w:bdr w:val="single" w:sz="8" w:space="1" w:color="000000"/>
        </w:rPr>
      </w:pPr>
      <w:r>
        <w:rPr>
          <w:rFonts w:ascii="Times New Roman;Times;serif" w:hAnsi="Times New Roman;Times;serif"/>
          <w:sz w:val="24"/>
          <w:bdr w:val="single" w:sz="8" w:space="1" w:color="000000"/>
        </w:rPr>
        <w:t xml:space="preserve">Date of Report (Date of earliest event reported): August 21, 2026 (August 17, 2026) </w:t>
      </w:r>
    </w:p>
    <w:p>
      <w:pPr>
        <w:pStyle w:val="TextBody"/>
        <w:bidi w:val="0"/>
        <w:spacing w:before="0" w:after="0"/>
        <w:ind w:left="0" w:right="0" w:hanging="0"/>
        <w:jc w:val="center"/>
        <w:rPr>
          <w:bdr w:val="single" w:sz="8" w:space="1" w:color="000000"/>
        </w:rPr>
      </w:pPr>
      <w:r>
        <w:rPr>
          <w:bdr w:val="single" w:sz="8" w:space="1" w:color="000000"/>
        </w:rPr>
        <w:t>​</w:t>
      </w:r>
    </w:p>
    <w:p>
      <w:pPr>
        <w:pStyle w:val="TextBody"/>
        <w:bidi w:val="0"/>
        <w:spacing w:before="0" w:after="0"/>
        <w:ind w:left="0" w:right="0" w:hanging="0"/>
        <w:jc w:val="center"/>
        <w:rPr>
          <w:rFonts w:ascii="Times New Roman;Times;serif" w:hAnsi="Times New Roman;Times;serif"/>
          <w:b/>
          <w:sz w:val="24"/>
          <w:bdr w:val="single" w:sz="8" w:space="1" w:color="000000"/>
        </w:rPr>
      </w:pPr>
      <w:r>
        <w:rPr>
          <w:rFonts w:ascii="Times New Roman;Times;serif" w:hAnsi="Times New Roman;Times;serif"/>
          <w:b/>
          <w:sz w:val="24"/>
          <w:bdr w:val="single" w:sz="8" w:space="1" w:color="000000"/>
        </w:rPr>
        <w:t>ELUTIA INC.</w:t>
      </w:r>
    </w:p>
    <w:p>
      <w:pPr>
        <w:pStyle w:val="TextBody"/>
        <w:bidi w:val="0"/>
        <w:spacing w:before="0" w:after="0"/>
        <w:ind w:left="0" w:right="0" w:hanging="0"/>
        <w:jc w:val="center"/>
        <w:rPr>
          <w:rFonts w:ascii="Times New Roman;Times;serif" w:hAnsi="Times New Roman;Times;serif"/>
          <w:sz w:val="24"/>
          <w:bdr w:val="single" w:sz="8" w:space="1" w:color="000000"/>
        </w:rPr>
      </w:pPr>
      <w:r>
        <w:rPr>
          <w:rFonts w:ascii="Times New Roman;Times;serif" w:hAnsi="Times New Roman;Times;serif"/>
          <w:sz w:val="24"/>
          <w:bdr w:val="single" w:sz="8" w:space="1" w:color="000000"/>
        </w:rPr>
        <w:t>(Exact name of registrant as specified in its charter)</w:t>
      </w:r>
    </w:p>
    <w:p>
      <w:pPr>
        <w:pStyle w:val="TextBody"/>
        <w:bidi w:val="0"/>
        <w:spacing w:before="0" w:after="0"/>
        <w:ind w:left="0" w:right="0" w:hanging="0"/>
        <w:jc w:val="center"/>
        <w:rPr>
          <w:bdr w:val="single" w:sz="8" w:space="1" w:color="000000"/>
        </w:rPr>
      </w:pPr>
      <w:r>
        <w:rPr>
          <w:bdr w:val="single" w:sz="8" w:space="1" w:color="000000"/>
        </w:rPr>
        <w:t>​</w:t>
      </w:r>
    </w:p>
    <w:p>
      <w:pPr>
        <w:pStyle w:val="Normal"/>
        <w:bidi w:val="0"/>
        <w:spacing w:before="0" w:after="0"/>
        <w:jc w:val="left"/>
        <w:rPr>
          <w:sz w:val="4"/>
          <w:szCs w:val="4"/>
        </w:rPr>
      </w:pPr>
      <w:r>
        <w:rPr>
          <w:sz w:val="4"/>
          <w:szCs w:val="4"/>
        </w:rPr>
      </w:r>
      <w:bookmarkStart w:id="3" w:name="Tc_2XOsEqF8q0Sq01w5Hm9DtA_2_2"/>
      <w:bookmarkStart w:id="4" w:name="Tc_c5kAvlkXlk2vZ2NKZV7zaQ_2_1"/>
      <w:bookmarkStart w:id="5" w:name="Tc_UwXyaE3J1UmBrUkNpVgCyQ_2_0"/>
      <w:bookmarkStart w:id="6" w:name="_324adfde_731d_4019_8a3b_342fb005b637"/>
      <w:bookmarkStart w:id="7" w:name="Tc_2XOsEqF8q0Sq01w5Hm9DtA_2_2"/>
      <w:bookmarkStart w:id="8" w:name="Tc_c5kAvlkXlk2vZ2NKZV7zaQ_2_1"/>
      <w:bookmarkStart w:id="9" w:name="Tc_UwXyaE3J1UmBrUkNpVgCyQ_2_0"/>
      <w:bookmarkStart w:id="10" w:name="_324adfde_731d_4019_8a3b_342fb005b637"/>
      <w:bookmarkEnd w:id="7"/>
      <w:bookmarkEnd w:id="8"/>
      <w:bookmarkEnd w:id="9"/>
      <w:bookmarkEnd w:id="10"/>
    </w:p>
    <w:tbl>
      <w:tblPr>
        <w:tblW w:w="7488" w:type="dxa"/>
        <w:jc w:val="left"/>
        <w:tblInd w:w="0" w:type="dxa"/>
        <w:tblLayout w:type="fixed"/>
        <w:tblCellMar>
          <w:top w:w="0" w:type="dxa"/>
          <w:left w:w="0" w:type="dxa"/>
          <w:bottom w:w="0" w:type="dxa"/>
          <w:right w:w="0" w:type="dxa"/>
        </w:tblCellMar>
      </w:tblPr>
      <w:tblGrid>
        <w:gridCol w:w="4216"/>
        <w:gridCol w:w="1381"/>
        <w:gridCol w:w="1891"/>
      </w:tblGrid>
      <w:tr>
        <w:trPr/>
        <w:tc>
          <w:tcPr>
            <w:tcW w:w="421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891" w:type="dxa"/>
            <w:tcBorders/>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001-39577</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47-4790334</w:t>
            </w:r>
          </w:p>
        </w:tc>
      </w:tr>
      <w:tr>
        <w:trPr/>
        <w:tc>
          <w:tcPr>
            <w:tcW w:w="42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(State or other jurisdiction of incorporation)</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(Commission</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File Number)</w:t>
            </w:r>
          </w:p>
        </w:tc>
        <w:tc>
          <w:tcPr>
            <w:tcW w:w="189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(IRS Employer </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Identification No.)</w:t>
            </w:r>
          </w:p>
        </w:tc>
      </w:tr>
    </w:tbl>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center"/>
        <w:rPr>
          <w:rFonts w:ascii="Times" w:hAnsi="Times"/>
          <w:sz w:val="24"/>
          <w:bdr w:val="single" w:sz="8" w:space="1" w:color="000000"/>
        </w:rPr>
      </w:pPr>
      <w:r>
        <w:rPr>
          <w:rFonts w:ascii="Times New Roman;Times;serif" w:hAnsi="Times New Roman;Times;serif"/>
          <w:b/>
          <w:sz w:val="24"/>
          <w:bdr w:val="single" w:sz="8" w:space="1" w:color="000000"/>
        </w:rPr>
        <w:t>20 Firstfield Road, Gaithersburg, MD</w:t>
      </w:r>
      <w:r>
        <w:rPr>
          <w:rFonts w:ascii="Times" w:hAnsi="Times"/>
          <w:sz w:val="24"/>
          <w:bdr w:val="single" w:sz="8" w:space="1" w:color="000000"/>
        </w:rPr>
        <w:t xml:space="preserve"> </w:t>
      </w:r>
      <w:r>
        <w:rPr>
          <w:rFonts w:ascii="Times New Roman;Times;serif" w:hAnsi="Times New Roman;Times;serif"/>
          <w:b/>
          <w:sz w:val="24"/>
          <w:bdr w:val="single" w:sz="8" w:space="1" w:color="000000"/>
        </w:rPr>
        <w:t>20878</w:t>
      </w:r>
    </w:p>
    <w:p>
      <w:pPr>
        <w:pStyle w:val="TextBody"/>
        <w:bidi w:val="0"/>
        <w:spacing w:before="0" w:after="0"/>
        <w:ind w:left="0" w:right="0" w:hanging="0"/>
        <w:jc w:val="center"/>
        <w:rPr>
          <w:rFonts w:ascii="Times New Roman;Times;serif" w:hAnsi="Times New Roman;Times;serif"/>
          <w:sz w:val="24"/>
          <w:bdr w:val="single" w:sz="8" w:space="1" w:color="000000"/>
        </w:rPr>
      </w:pPr>
      <w:r>
        <w:rPr>
          <w:rFonts w:ascii="Times New Roman;Times;serif" w:hAnsi="Times New Roman;Times;serif"/>
          <w:sz w:val="24"/>
          <w:bdr w:val="single" w:sz="8" w:space="1" w:color="000000"/>
        </w:rPr>
        <w:t>(Address of principal executive offices) (Zip Code)</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center"/>
        <w:rPr>
          <w:rFonts w:ascii="Times New Roman;Times;serif" w:hAnsi="Times New Roman;Times;serif"/>
          <w:b/>
          <w:sz w:val="24"/>
          <w:bdr w:val="single" w:sz="8" w:space="1" w:color="000000"/>
        </w:rPr>
      </w:pPr>
      <w:r>
        <w:rPr>
          <w:rFonts w:ascii="Times New Roman;Times;serif" w:hAnsi="Times New Roman;Times;serif"/>
          <w:b/>
          <w:sz w:val="24"/>
          <w:bdr w:val="single" w:sz="8" w:space="1" w:color="000000"/>
        </w:rPr>
        <w:t>(240) 247-1170</w:t>
      </w:r>
    </w:p>
    <w:p>
      <w:pPr>
        <w:pStyle w:val="TextBody"/>
        <w:bidi w:val="0"/>
        <w:spacing w:before="0" w:after="0"/>
        <w:ind w:left="0" w:right="0" w:hanging="0"/>
        <w:jc w:val="center"/>
        <w:rPr>
          <w:rFonts w:ascii="Times New Roman;Times;serif" w:hAnsi="Times New Roman;Times;serif"/>
          <w:sz w:val="24"/>
          <w:bdr w:val="single" w:sz="8" w:space="1" w:color="000000"/>
        </w:rPr>
      </w:pPr>
      <w:r>
        <w:rPr>
          <w:rFonts w:ascii="Times New Roman;Times;serif" w:hAnsi="Times New Roman;Times;serif"/>
          <w:sz w:val="24"/>
          <w:bdr w:val="single" w:sz="8" w:space="1" w:color="000000"/>
        </w:rPr>
        <w:t>(Registrant’s telephone number, including area code)</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center"/>
        <w:rPr>
          <w:rFonts w:ascii="Times New Roman;Times;serif" w:hAnsi="Times New Roman;Times;serif"/>
          <w:b/>
          <w:sz w:val="24"/>
          <w:bdr w:val="single" w:sz="8" w:space="1" w:color="000000"/>
        </w:rPr>
      </w:pPr>
      <w:r>
        <w:rPr>
          <w:rFonts w:ascii="Times New Roman;Times;serif" w:hAnsi="Times New Roman;Times;serif"/>
          <w:b/>
          <w:sz w:val="24"/>
          <w:bdr w:val="single" w:sz="8" w:space="1" w:color="000000"/>
        </w:rPr>
        <w:t>N/A</w:t>
      </w:r>
    </w:p>
    <w:p>
      <w:pPr>
        <w:pStyle w:val="TextBody"/>
        <w:bidi w:val="0"/>
        <w:spacing w:before="0" w:after="0"/>
        <w:ind w:left="0" w:right="0" w:hanging="0"/>
        <w:jc w:val="center"/>
        <w:rPr>
          <w:rFonts w:ascii="Times New Roman;Times;serif" w:hAnsi="Times New Roman;Times;serif"/>
          <w:sz w:val="24"/>
          <w:bdr w:val="single" w:sz="8" w:space="1" w:color="000000"/>
        </w:rPr>
      </w:pPr>
      <w:r>
        <w:rPr>
          <w:rFonts w:ascii="Times New Roman;Times;serif" w:hAnsi="Times New Roman;Times;serif"/>
          <w:sz w:val="24"/>
          <w:bdr w:val="single" w:sz="8" w:space="1" w:color="000000"/>
        </w:rPr>
        <w:t>(Former name or former address, if changed since last report)</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both"/>
        <w:rPr>
          <w:rFonts w:ascii="Times New Roman;Times;serif" w:hAnsi="Times New Roman;Times;serif"/>
          <w:sz w:val="21"/>
          <w:bdr w:val="single" w:sz="8" w:space="1" w:color="000000"/>
        </w:rPr>
      </w:pPr>
      <w:r>
        <w:rPr>
          <w:rFonts w:ascii="Times New Roman;Times;serif" w:hAnsi="Times New Roman;Times;serif"/>
          <w:sz w:val="21"/>
          <w:bdr w:val="single" w:sz="8" w:space="1" w:color="00000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left"/>
        <w:rPr>
          <w:rFonts w:ascii="Times" w:hAnsi="Times"/>
          <w:sz w:val="24"/>
          <w:bdr w:val="single" w:sz="8" w:space="1" w:color="000000"/>
        </w:rPr>
      </w:pPr>
      <w:r>
        <w:rPr>
          <w:rFonts w:ascii="Times New Roman;Times;serif" w:hAnsi="Times New Roman;Times;serif"/>
          <w:b w:val="false"/>
          <w:i w:val="false"/>
          <w:caps w:val="false"/>
          <w:smallCaps w:val="false"/>
          <w:sz w:val="19"/>
          <w:bdr w:val="single" w:sz="8" w:space="1" w:color="000000"/>
        </w:rPr>
        <w:t>[ ]</w:t>
      </w:r>
      <w:r>
        <w:rPr>
          <w:rFonts w:ascii="Times" w:hAnsi="Times"/>
          <w:sz w:val="24"/>
          <w:bdr w:val="single" w:sz="8" w:space="1" w:color="000000"/>
        </w:rPr>
        <w:t xml:space="preserve"> </w:t>
      </w:r>
      <w:r>
        <w:rPr>
          <w:rFonts w:ascii="Times New Roman;Times;serif" w:hAnsi="Times New Roman;Times;serif"/>
          <w:sz w:val="19"/>
          <w:bdr w:val="single" w:sz="8" w:space="1" w:color="000000"/>
        </w:rPr>
        <w:t xml:space="preserve">Written communications pursuant to Rule 425 under the Securities Act (17 CFR 230.425) </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left"/>
        <w:rPr>
          <w:rFonts w:ascii="Times" w:hAnsi="Times"/>
          <w:sz w:val="24"/>
          <w:bdr w:val="single" w:sz="8" w:space="1" w:color="000000"/>
        </w:rPr>
      </w:pPr>
      <w:r>
        <w:rPr>
          <w:rFonts w:ascii="Times New Roman;Times;serif" w:hAnsi="Times New Roman;Times;serif"/>
          <w:b w:val="false"/>
          <w:i w:val="false"/>
          <w:caps w:val="false"/>
          <w:smallCaps w:val="false"/>
          <w:sz w:val="19"/>
          <w:bdr w:val="single" w:sz="8" w:space="1" w:color="000000"/>
        </w:rPr>
        <w:t>[ ]</w:t>
      </w:r>
      <w:r>
        <w:rPr>
          <w:rFonts w:ascii="Times" w:hAnsi="Times"/>
          <w:sz w:val="24"/>
          <w:bdr w:val="single" w:sz="8" w:space="1" w:color="000000"/>
        </w:rPr>
        <w:t xml:space="preserve"> </w:t>
      </w:r>
      <w:r>
        <w:rPr>
          <w:rFonts w:ascii="Times New Roman;Times;serif" w:hAnsi="Times New Roman;Times;serif"/>
          <w:sz w:val="19"/>
          <w:bdr w:val="single" w:sz="8" w:space="1" w:color="000000"/>
        </w:rPr>
        <w:t>Soliciting material pursuant to Rule 14a-12 under the Exchange Act (17 CFR 240.14a-12)</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left"/>
        <w:rPr>
          <w:rFonts w:ascii="Times" w:hAnsi="Times"/>
          <w:sz w:val="20"/>
          <w:bdr w:val="single" w:sz="8" w:space="1" w:color="000000"/>
        </w:rPr>
      </w:pPr>
      <w:r>
        <w:rPr>
          <w:rFonts w:ascii="Times New Roman;Times;serif" w:hAnsi="Times New Roman;Times;serif"/>
          <w:b w:val="false"/>
          <w:i w:val="false"/>
          <w:caps w:val="false"/>
          <w:smallCaps w:val="false"/>
          <w:sz w:val="19"/>
          <w:bdr w:val="single" w:sz="8" w:space="1" w:color="000000"/>
        </w:rPr>
        <w:t>[ ]</w:t>
      </w:r>
      <w:r>
        <w:rPr>
          <w:rFonts w:ascii="Times" w:hAnsi="Times"/>
          <w:sz w:val="20"/>
          <w:bdr w:val="single" w:sz="8" w:space="1" w:color="000000"/>
        </w:rPr>
        <w:t xml:space="preserve"> </w:t>
      </w:r>
      <w:r>
        <w:rPr>
          <w:rFonts w:ascii="Times New Roman;Times;serif" w:hAnsi="Times New Roman;Times;serif"/>
          <w:sz w:val="19"/>
          <w:bdr w:val="single" w:sz="8" w:space="1" w:color="000000"/>
        </w:rPr>
        <w:t>Pre-commencement communications pursuant to Rule 14d-2(b) under the Exchange Act (17 CFR 240.14d-2(b))</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left"/>
        <w:rPr>
          <w:rFonts w:ascii="Times New Roman;Times;serif" w:hAnsi="Times New Roman;Times;serif"/>
          <w:sz w:val="24"/>
          <w:bdr w:val="single" w:sz="8" w:space="1" w:color="000000"/>
        </w:rPr>
      </w:pPr>
      <w:r>
        <w:rPr>
          <w:rFonts w:ascii="Times New Roman;Times;serif" w:hAnsi="Times New Roman;Times;serif"/>
          <w:b w:val="false"/>
          <w:i w:val="false"/>
          <w:caps w:val="false"/>
          <w:smallCaps w:val="false"/>
          <w:sz w:val="19"/>
          <w:bdr w:val="single" w:sz="8" w:space="1" w:color="000000"/>
        </w:rPr>
        <w:t>[ ]</w:t>
      </w:r>
      <w:r>
        <w:rPr>
          <w:rFonts w:ascii="Times New Roman;Times;serif" w:hAnsi="Times New Roman;Times;serif"/>
          <w:sz w:val="24"/>
          <w:bdr w:val="single" w:sz="8" w:space="1" w:color="000000"/>
        </w:rPr>
        <w:t xml:space="preserve"> </w:t>
      </w:r>
      <w:r>
        <w:rPr>
          <w:rFonts w:ascii="Times New Roman;Times;serif" w:hAnsi="Times New Roman;Times;serif"/>
          <w:sz w:val="19"/>
          <w:bdr w:val="single" w:sz="8" w:space="1" w:color="000000"/>
        </w:rPr>
        <w:t xml:space="preserve">Pre-commencement communications pursuant to Rule 13e-4(c) under the Exchange Act (17 CFR 240.13e-4(c)) </w:t>
      </w:r>
    </w:p>
    <w:p>
      <w:pPr>
        <w:pStyle w:val="TextBody"/>
        <w:bidi w:val="0"/>
        <w:spacing w:before="100" w:after="100"/>
        <w:ind w:left="0" w:right="0" w:hanging="0"/>
        <w:jc w:val="left"/>
        <w:rPr>
          <w:bdr w:val="single" w:sz="8" w:space="1" w:color="000000"/>
        </w:rPr>
      </w:pPr>
      <w:r>
        <w:rPr>
          <w:bdr w:val="single" w:sz="8" w:space="1" w:color="000000"/>
        </w:rPr>
        <w:t>​</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Securities registered pursuant to Section 12(b) of the Act:</w:t>
      </w:r>
    </w:p>
    <w:p>
      <w:pPr>
        <w:pStyle w:val="TextBody"/>
        <w:bidi w:val="0"/>
        <w:spacing w:before="100" w:after="100"/>
        <w:ind w:left="0" w:right="0" w:hanging="0"/>
        <w:jc w:val="left"/>
        <w:rPr>
          <w:bdr w:val="single" w:sz="8" w:space="1" w:color="000000"/>
        </w:rPr>
      </w:pPr>
      <w:r>
        <w:rPr>
          <w:bdr w:val="single" w:sz="8" w:space="1" w:color="000000"/>
        </w:rPr>
        <w:t>​</w:t>
      </w:r>
    </w:p>
    <w:p>
      <w:pPr>
        <w:pStyle w:val="Normal"/>
        <w:bidi w:val="0"/>
        <w:spacing w:before="0" w:after="0"/>
        <w:ind w:left="0" w:right="0" w:hanging="0"/>
        <w:jc w:val="left"/>
        <w:rPr>
          <w:sz w:val="4"/>
          <w:szCs w:val="4"/>
        </w:rPr>
      </w:pPr>
      <w:r>
        <w:rPr>
          <w:sz w:val="4"/>
          <w:szCs w:val="4"/>
        </w:rPr>
      </w:r>
      <w:bookmarkStart w:id="11" w:name="Tc_WJC69LHHU0iTzSgdAW601g_2_2"/>
      <w:bookmarkStart w:id="12" w:name="Tc_ERHyGvagIEmDCcd-1J7qcw_1_2"/>
      <w:bookmarkStart w:id="13" w:name="Tc_B-Iaen8UF0a9N4GvaFiHuw_1_1"/>
      <w:bookmarkStart w:id="14" w:name="Tc_tATN9i_hWk2PlJpYZmm72w_1_0"/>
      <w:bookmarkStart w:id="15" w:name="_bf177ee9_883c_4e15_94f9_c71a4d3b93fd"/>
      <w:bookmarkStart w:id="16" w:name="Tc_WJC69LHHU0iTzSgdAW601g_2_2"/>
      <w:bookmarkStart w:id="17" w:name="Tc_ERHyGvagIEmDCcd-1J7qcw_1_2"/>
      <w:bookmarkStart w:id="18" w:name="Tc_B-Iaen8UF0a9N4GvaFiHuw_1_1"/>
      <w:bookmarkStart w:id="19" w:name="Tc_tATN9i_hWk2PlJpYZmm72w_1_0"/>
      <w:bookmarkStart w:id="20" w:name="_bf177ee9_883c_4e15_94f9_c71a4d3b93fd"/>
      <w:bookmarkEnd w:id="16"/>
      <w:bookmarkEnd w:id="17"/>
      <w:bookmarkEnd w:id="18"/>
      <w:bookmarkEnd w:id="19"/>
      <w:bookmarkEnd w:id="20"/>
    </w:p>
    <w:tbl>
      <w:tblPr>
        <w:tblW w:w="8808" w:type="dxa"/>
        <w:jc w:val="left"/>
        <w:tblInd w:w="0" w:type="dxa"/>
        <w:tblLayout w:type="fixed"/>
        <w:tblCellMar>
          <w:top w:w="0" w:type="dxa"/>
          <w:left w:w="0" w:type="dxa"/>
          <w:bottom w:w="0" w:type="dxa"/>
          <w:right w:w="0" w:type="dxa"/>
        </w:tblCellMar>
      </w:tblPr>
      <w:tblGrid>
        <w:gridCol w:w="4081"/>
        <w:gridCol w:w="1456"/>
        <w:gridCol w:w="3271"/>
      </w:tblGrid>
      <w:tr>
        <w:trPr/>
        <w:tc>
          <w:tcPr>
            <w:tcW w:w="4081"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pPr>
            <w:r>
              <w:rPr/>
              <w:t>​</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Class A Common Stock, $0.001 par value per share</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ELUT</w:t>
            </w:r>
          </w:p>
        </w:tc>
        <w:tc>
          <w:tcPr>
            <w:tcW w:w="3271" w:type="dxa"/>
            <w:tcBorders/>
            <w:vAlign w:val="center"/>
          </w:tcPr>
          <w:p>
            <w:pPr>
              <w:pStyle w:val="TableContents"/>
              <w:bidi w:val="0"/>
              <w:spacing w:before="0" w:after="0"/>
              <w:ind w:left="0" w:right="0" w:hanging="0"/>
              <w:jc w:val="center"/>
              <w:rPr>
                <w:rFonts w:ascii="Times" w:hAnsi="Times"/>
                <w:sz w:val="24"/>
              </w:rPr>
            </w:pPr>
            <w:r>
              <w:rPr>
                <w:rFonts w:ascii="Times New Roman;Times;serif" w:hAnsi="Times New Roman;Times;serif"/>
                <w:b/>
                <w:sz w:val="18"/>
              </w:rPr>
              <w:t>The Nasdaq</w:t>
            </w:r>
            <w:r>
              <w:rPr>
                <w:rFonts w:ascii="Times" w:hAnsi="Times"/>
                <w:sz w:val="24"/>
              </w:rPr>
              <w:t xml:space="preserve"> </w:t>
            </w:r>
            <w:r>
              <w:rPr>
                <w:rFonts w:ascii="Times New Roman;Times;serif" w:hAnsi="Times New Roman;Times;serif"/>
                <w:b/>
                <w:sz w:val="18"/>
              </w:rPr>
              <w:t>Capital Market</w:t>
            </w:r>
          </w:p>
        </w:tc>
      </w:tr>
    </w:tbl>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left"/>
        <w:rPr>
          <w:rFonts w:ascii="Times New Roman;Times;serif" w:hAnsi="Times New Roman;Times;serif"/>
          <w:sz w:val="21"/>
          <w:bdr w:val="single" w:sz="8" w:space="1" w:color="000000"/>
        </w:rPr>
      </w:pPr>
      <w:r>
        <w:rPr>
          <w:rFonts w:ascii="Times New Roman;Times;serif" w:hAnsi="Times New Roman;Times;serif"/>
          <w:sz w:val="21"/>
          <w:bdr w:val="single" w:sz="8" w:space="1" w:color="00000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bdr w:val="single" w:sz="8" w:space="1" w:color="000000"/>
        </w:rPr>
      </w:pPr>
      <w:r>
        <w:rPr>
          <w:bdr w:val="single" w:sz="8" w:space="1" w:color="000000"/>
        </w:rPr>
        <w:t> </w:t>
      </w:r>
      <w:r>
        <w:rPr>
          <w:rFonts w:ascii="Times New Roman;Times;serif" w:hAnsi="Times New Roman;Times;serif"/>
          <w:sz w:val="21"/>
          <w:bdr w:val="single" w:sz="8" w:space="1" w:color="000000"/>
        </w:rPr>
        <w:t xml:space="preserve">Emerging growth company </w:t>
      </w:r>
      <w:r>
        <w:rPr>
          <w:rFonts w:ascii="Times New Roman;Times;serif" w:hAnsi="Times New Roman;Times;serif"/>
          <w:sz w:val="24"/>
          <w:bdr w:val="single" w:sz="8" w:space="1" w:color="000000"/>
        </w:rPr>
        <w:t>☒</w:t>
      </w:r>
    </w:p>
    <w:p>
      <w:pPr>
        <w:pStyle w:val="TextBody"/>
        <w:bidi w:val="0"/>
        <w:spacing w:before="100" w:after="100"/>
        <w:ind w:left="0" w:right="0" w:hanging="0"/>
        <w:jc w:val="right"/>
        <w:rPr>
          <w:bdr w:val="single" w:sz="8" w:space="1" w:color="000000"/>
        </w:rPr>
      </w:pPr>
      <w:r>
        <w:rPr>
          <w:bdr w:val="single" w:sz="8" w:space="1" w:color="000000"/>
        </w:rPr>
        <w:t>​</w:t>
      </w:r>
    </w:p>
    <w:p>
      <w:pPr>
        <w:pStyle w:val="TextBody"/>
        <w:bidi w:val="0"/>
        <w:spacing w:before="0" w:after="0"/>
        <w:ind w:left="0" w:right="0" w:hanging="0"/>
        <w:jc w:val="left"/>
        <w:rPr>
          <w:rFonts w:ascii="Times New Roman;Times;serif" w:hAnsi="Times New Roman;Times;serif"/>
          <w:sz w:val="24"/>
          <w:bdr w:val="single" w:sz="8" w:space="1" w:color="000000"/>
        </w:rPr>
      </w:pPr>
      <w:r>
        <w:rPr>
          <w:rFonts w:ascii="Times New Roman;Times;serif" w:hAnsi="Times New Roman;Times;serif"/>
          <w:sz w:val="21"/>
          <w:bdr w:val="single" w:sz="8" w:space="1" w:color="00000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4"/>
          <w:bdr w:val="single" w:sz="8" w:space="1" w:color="000000"/>
        </w:rPr>
        <w:t>☐</w:t>
      </w:r>
    </w:p>
    <w:p>
      <w:pPr>
        <w:pStyle w:val="TextBody"/>
        <w:bidi w:val="0"/>
        <w:spacing w:before="0" w:after="0"/>
        <w:ind w:left="0" w:right="0" w:hanging="0"/>
        <w:jc w:val="both"/>
        <w:rPr>
          <w:bdr w:val="single" w:sz="8" w:space="1" w:color="000000"/>
        </w:rPr>
      </w:pPr>
      <w:r>
        <w:rPr>
          <w:bdr w:val="single" w:sz="8" w:space="1" w:color="000000"/>
        </w:rPr>
        <w:t>​</w:t>
      </w:r>
    </w:p>
    <w:p>
      <w:pPr>
        <w:pStyle w:val="TextBody"/>
        <w:bidi w:val="0"/>
        <w:spacing w:before="0" w:after="0"/>
        <w:ind w:left="0" w:right="0" w:hanging="0"/>
        <w:jc w:val="left"/>
        <w:rPr>
          <w:caps/>
          <w:bdr w:val="single" w:sz="8" w:space="1" w:color="000000"/>
        </w:rPr>
      </w:pPr>
      <w:r>
        <w:rPr>
          <w:caps/>
          <w:bdr w:val="single" w:sz="8" w:space="1" w:color="000000"/>
        </w:rPr>
        <w:t>​</w:t>
      </w:r>
    </w:p>
    <w:p>
      <w:pPr>
        <w:pStyle w:val="TextBody"/>
        <w:bidi w:val="0"/>
        <w:spacing w:before="0" w:after="0"/>
        <w:ind w:left="0" w:right="0" w:hanging="0"/>
        <w:jc w:val="left"/>
        <w:rPr>
          <w:bdr w:val="single" w:sz="8" w:space="1" w:color="000000"/>
        </w:rPr>
      </w:pPr>
      <w:r>
        <w:rPr>
          <w:bdr w:val="single" w:sz="8" w:space="1" w:color="000000"/>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sz w:val="22"/>
        </w:rPr>
      </w:pPr>
      <w:bookmarkStart w:id="21" w:name="_3a147933_e49e_4111_818a_ee83e8067472"/>
      <w:bookmarkStart w:id="22" w:name="T0"/>
      <w:bookmarkStart w:id="23" w:name="_cp_text_1_139"/>
      <w:bookmarkEnd w:id="21"/>
      <w:bookmarkEnd w:id="22"/>
      <w:bookmarkEnd w:id="23"/>
      <w:r>
        <w:rPr>
          <w:rFonts w:ascii="Times New Roman;Times;serif" w:hAnsi="Times New Roman;Times;serif"/>
          <w:b/>
          <w:i w:val="false"/>
          <w:caps w:val="false"/>
          <w:smallCaps w:val="false"/>
          <w:sz w:val="22"/>
        </w:rPr>
        <w:t xml:space="preserve">Item 2.01 </w:t>
      </w:r>
      <w:r>
        <w:rPr>
          <w:rFonts w:ascii="Times New Roman;Times;serif" w:hAnsi="Times New Roman;Times;serif"/>
          <w:b/>
          <w:sz w:val="22"/>
        </w:rPr>
        <w:t>Completion of Acquisition or Disposition of Assets.</w:t>
      </w:r>
    </w:p>
    <w:p>
      <w:pPr>
        <w:pStyle w:val="TextBody"/>
        <w:bidi w:val="0"/>
        <w:spacing w:before="280" w:after="0"/>
        <w:ind w:left="0" w:right="0" w:hanging="0"/>
        <w:jc w:val="both"/>
        <w:rPr>
          <w:rFonts w:ascii="Times New Roman;Times;serif" w:hAnsi="Times New Roman;Times;serif"/>
          <w:i/>
          <w:sz w:val="22"/>
        </w:rPr>
      </w:pPr>
      <w:r>
        <w:rPr>
          <w:rFonts w:ascii="Times New Roman;Times;serif" w:hAnsi="Times New Roman;Times;serif"/>
          <w:i/>
          <w:sz w:val="22"/>
        </w:rPr>
        <w:t>Closing of Sale of SimpliDerm Business</w:t>
      </w:r>
    </w:p>
    <w:p>
      <w:pPr>
        <w:pStyle w:val="TextBody"/>
        <w:bidi w:val="0"/>
        <w:spacing w:before="280" w:after="0"/>
        <w:ind w:left="0" w:right="0" w:firstLine="720"/>
        <w:jc w:val="both"/>
        <w:rPr>
          <w:rFonts w:ascii="Times New Roman;Times;serif" w:hAnsi="Times New Roman;Times;serif"/>
          <w:sz w:val="22"/>
        </w:rPr>
      </w:pPr>
      <w:r>
        <w:rPr>
          <w:rFonts w:ascii="Times New Roman;Times;serif" w:hAnsi="Times New Roman;Times;serif"/>
          <w:sz w:val="22"/>
        </w:rPr>
        <w:t>As previously reported, on July 16, 2026, Elutia Inc., a Delaware corporation (the “Company” or “Elutia”) executed an Asset Purchase Agreement (the “Purchase Agreement”) with Cellution Biologics Inc., a Delaware corporation (“Cellution Biologics”). Subject to the terms and conditions of the Purchase Agreement, Cellution Biologics agreed to purchase substantially all of the assets related to the Company’s business of commercializing, manufacturing, distributing, selling and/or marketing human acellular dermis (hADM) products for use in the field of breast reconstruction under the SimpliDerm® brand (collectively the “SimpliDerm Business”). The assets of the SimpliDerm Business constituted substantially all of the assets of Elutia’s Women’s Health segment.</w:t>
      </w:r>
    </w:p>
    <w:p>
      <w:pPr>
        <w:pStyle w:val="TextBody"/>
        <w:bidi w:val="0"/>
        <w:spacing w:before="280" w:after="0"/>
        <w:ind w:left="0" w:right="0" w:firstLine="720"/>
        <w:jc w:val="both"/>
        <w:rPr>
          <w:rFonts w:ascii="Times New Roman;Times;serif" w:hAnsi="Times New Roman;Times;serif"/>
          <w:sz w:val="22"/>
        </w:rPr>
      </w:pPr>
      <w:r>
        <w:rPr>
          <w:rFonts w:ascii="Times New Roman;Times;serif" w:hAnsi="Times New Roman;Times;serif"/>
          <w:sz w:val="22"/>
        </w:rPr>
        <w:t>On August 17, 2026, the parties completed the sale of the SimpliDerm Business. In accordance with the Purchase Agreement, $7.7 million of the purchase price was paid to the Company. The purchase price is subject to possible adjustment based on the outcome of a post-closing inventory valuation and could include up to an additional $3 million in contingent payments potentially payable over the next eighteen months depending on the achievement of certain technology transfer and commercial milestones.</w:t>
      </w:r>
    </w:p>
    <w:p>
      <w:pPr>
        <w:pStyle w:val="TextBody"/>
        <w:bidi w:val="0"/>
        <w:spacing w:before="280" w:after="0"/>
        <w:ind w:left="0" w:right="0" w:firstLine="720"/>
        <w:jc w:val="both"/>
        <w:rPr>
          <w:rFonts w:ascii="Times New Roman;Times;serif" w:hAnsi="Times New Roman;Times;serif"/>
          <w:sz w:val="22"/>
        </w:rPr>
      </w:pPr>
      <w:r>
        <w:rPr>
          <w:rFonts w:ascii="Times New Roman;Times;serif" w:hAnsi="Times New Roman;Times;serif"/>
          <w:sz w:val="22"/>
        </w:rPr>
        <w:t>At closing, the Company entered into a non-competition agreement pursuant to which it agreed to be subject to certain restrictive covenants in business lines related to human acellular dermis products for five years, a transition services agreement pursuant to which the Company has agreed to provide certain post-closing transitional support services to Cellution Biologics in connection with the transfer of the SimpliDerm Business for up to six months and other documents and agreements customary for transactions similar to the SimpliDerm Business sale.  Also in connection with the completion of the sale of the SimpliDerm Business assets, the Company amended its Loan and Security Agreement dated August 11, 2026 with Avenue Venture Opportunities Fund II, L.P., as agent, and the lenders party thereto, to release the lien on the assets.</w:t>
      </w:r>
    </w:p>
    <w:p>
      <w:pPr>
        <w:pStyle w:val="TextBody"/>
        <w:bidi w:val="0"/>
        <w:spacing w:before="280" w:after="0"/>
        <w:ind w:left="0" w:right="0" w:firstLine="720"/>
        <w:jc w:val="both"/>
        <w:rPr>
          <w:rFonts w:ascii="Times New Roman;Times;serif" w:hAnsi="Times New Roman;Times;serif"/>
          <w:sz w:val="22"/>
        </w:rPr>
      </w:pPr>
      <w:r>
        <w:rPr>
          <w:rFonts w:ascii="Times New Roman;Times;serif" w:hAnsi="Times New Roman;Times;serif"/>
          <w:sz w:val="22"/>
        </w:rPr>
        <w:t>The foregoing description of the Purchase Agreement and the SimpliDerm Business sale does not purport to be complete and is subject to, and qualified in its entirety by, the full text of the Purchase Agreement, which is filed as Exhibit 10.1 to this Current Report on Form 8-K and is incorporated herein by reference. The Purchase Agreement is not intended to provide any other factual information about the Company or Cellution Biologics or their respective owners, subsidiaries and affiliates. The representations, warranties and covenants contained in the Purchase Agreement: (i) were made solely for purposes of the Purchase Agreement and as of the date of the Purchase Agreement; (ii) were solely for the benefit of the parties to the Purchase Agreement; (iii) may be subject to qualifications and limitations agreed upon by the parties to the Purchase Agreement, including being qualified by confidential disclosures made for the purposes of allocating contractual risk among the parties to the Purchase Agreement instead of establishing these matters as facts; and (iv) may be subject to standards of materiality applicable to the contracting parties that differ from those applicable to security holders of the Company. Investors and security holders of the Company should not rely on the representations, warranties and covenants or any description thereof as characterizations of the actual state of facts or condition of the Company. Moreover, information concerning the subject matter of the representations, warranties and covenants may change after the date of the Purchase Agreement, which subsequent information may or may not be fully reflected in public disclosures by the Company.</w:t>
      </w:r>
    </w:p>
    <w:p>
      <w:pPr>
        <w:pStyle w:val="TextBody"/>
        <w:bidi w:val="0"/>
        <w:spacing w:before="0" w:after="0"/>
        <w:ind w:left="0" w:right="0" w:hanging="0"/>
        <w:jc w:val="left"/>
        <w:rPr>
          <w:caps/>
        </w:rPr>
      </w:pPr>
      <w:r>
        <w:rPr>
          <w:caps/>
        </w:rPr>
        <w:t>​</w:t>
      </w:r>
    </w:p>
    <w:p>
      <w:pPr>
        <w:pStyle w:val="TextBody"/>
        <w:bidi w:val="0"/>
        <w:spacing w:before="0" w:after="0"/>
        <w:ind w:left="0" w:right="0" w:hanging="0"/>
        <w:jc w:val="left"/>
        <w:rPr/>
      </w:pPr>
      <w:r>
        <w:rPr/>
        <w:t>​</w:t>
      </w:r>
    </w:p>
    <w:p>
      <w:pPr>
        <w:pStyle w:val="TextBody"/>
        <w:bidi w:val="0"/>
        <w:spacing w:before="280" w:after="0"/>
        <w:ind w:left="0" w:right="0" w:hanging="0"/>
        <w:jc w:val="both"/>
        <w:rPr>
          <w:rFonts w:ascii="Times New Roman;Times;serif" w:hAnsi="Times New Roman;Times;serif"/>
          <w:i/>
          <w:sz w:val="22"/>
        </w:rPr>
      </w:pPr>
      <w:r>
        <w:rPr>
          <w:rFonts w:ascii="Times New Roman;Times;serif" w:hAnsi="Times New Roman;Times;serif"/>
          <w:i/>
          <w:sz w:val="22"/>
        </w:rPr>
        <w:t>Forward-Looking Statements</w:t>
      </w:r>
    </w:p>
    <w:p>
      <w:pPr>
        <w:pStyle w:val="TextBody"/>
        <w:bidi w:val="0"/>
        <w:spacing w:before="280" w:after="0"/>
        <w:ind w:left="0" w:right="0" w:firstLine="720"/>
        <w:jc w:val="both"/>
        <w:rPr>
          <w:rFonts w:ascii="Times New Roman;Times;serif" w:hAnsi="Times New Roman;Times;serif"/>
          <w:sz w:val="22"/>
        </w:rPr>
      </w:pPr>
      <w:r>
        <w:rPr>
          <w:rFonts w:ascii="Times New Roman;Times;serif" w:hAnsi="Times New Roman;Times;serif"/>
          <w:sz w:val="22"/>
        </w:rPr>
        <w:t>This Report contains “forward-looking statements” within the meaning of Section 27A of the Securities Act of 1933, as amended (the “Securities Act”), and Section 21E of the Securities Exchange Act of 1934, as amended (the “Exchange Act”), related to the SimpliDerm Business purchase price post-closing adjustment for inventory valuation, and the contingent future payments related to technology transfer and commercial milestones. Such statements are subject to the risks of an unfavorable outcome from the post-closing inventory valuation and possible non- or under-achievement of the contingent payment milestones. Any beliefs or assumptions expressed with respect to forward-looking statements are also subject to a number of known and unknown risks, uncertainties and other important factors including those found in the “Risk Factors” and “Forward-Looking Statements” sections of Elutia’s public filings with the Securities and Exchange Commission (“SEC”), including Elutia’s Annual Report on Form 10-K for the year ended December 31, 2025 and subsequent Quarterly Reports on Form 10-Q, as such factors may be updated from time to time in Elutia’s other filings with the SEC, accessible on the SEC’s website at www.sec.gov and the Investor Relations page of Elutia’s website at https://investors.elutia.com. Because forward-looking statements are inherently subject to risks and uncertainties and only based on currently available information, you should not rely on these forward-looking statements as predictions of future events. Except as required by law, Elutia disclaims any obligation to publicly update any forward-looking statements.</w:t>
      </w:r>
    </w:p>
    <w:p>
      <w:pPr>
        <w:pStyle w:val="TextBody"/>
        <w:bidi w:val="0"/>
        <w:spacing w:before="280" w:after="0"/>
        <w:ind w:left="0" w:right="0" w:hanging="0"/>
        <w:jc w:val="left"/>
        <w:rPr>
          <w:rFonts w:ascii="Times" w:hAnsi="Times"/>
          <w:sz w:val="22"/>
        </w:rPr>
      </w:pPr>
      <w:bookmarkStart w:id="24" w:name="_d3937d2c_d177_42fe_8a86_03a5920df7e5"/>
      <w:bookmarkEnd w:id="24"/>
      <w:r>
        <w:rPr>
          <w:rFonts w:ascii="Times New Roman;Times;serif" w:hAnsi="Times New Roman;Times;serif"/>
          <w:b/>
          <w:i w:val="false"/>
          <w:caps w:val="false"/>
          <w:smallCaps w:val="false"/>
          <w:sz w:val="22"/>
        </w:rPr>
        <w:t>Item 7.01</w:t>
      </w:r>
      <w:r>
        <w:rPr>
          <w:rFonts w:ascii="Times New Roman;Times;serif" w:hAnsi="Times New Roman;Times;serif"/>
          <w:b/>
          <w:sz w:val="22"/>
        </w:rPr>
        <w:t>Regulation FD Disclosure.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On August 18, 2026, Elutia issued a press release announcing the closing of the sale of the SimpliDerm Business, a copy of which is attached as Exhibit 99.1 to this Current Report on Form 8-K.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The information in this Item 7.01 (including Exhibit 99.1) of this Current Report on Form 8-K is being furnished and shall not be deemed “filed” for purposes of Section 18 of the Exchange Act, or otherwise subject to the liabilities of that Section, nor shall it be deemed to be incorporated by reference into any filing of the Company under the Securities Act or the Exchange Act, except as expressly set forth by specific reference in such filing.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w:hAnsi="Times"/>
          <w:sz w:val="22"/>
        </w:rPr>
      </w:pPr>
      <w:bookmarkStart w:id="25" w:name="_bade0f62_ac59_4012_8fd0_531842681db7"/>
      <w:bookmarkEnd w:id="25"/>
      <w:r>
        <w:rPr>
          <w:rFonts w:ascii="Times New Roman;Times;serif" w:hAnsi="Times New Roman;Times;serif"/>
          <w:b/>
          <w:i w:val="false"/>
          <w:caps w:val="false"/>
          <w:smallCaps w:val="false"/>
          <w:sz w:val="22"/>
        </w:rPr>
        <w:t>Item 9.01</w:t>
      </w:r>
      <w:r>
        <w:rPr>
          <w:rFonts w:ascii="Times New Roman;Times;serif" w:hAnsi="Times New Roman;Times;serif"/>
          <w:b/>
          <w:sz w:val="22"/>
        </w:rPr>
        <w:t>Financial Statements and Exhibits.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w:hAnsi="Times"/>
          <w:sz w:val="22"/>
        </w:rPr>
      </w:pPr>
      <w:r>
        <w:rPr>
          <w:rFonts w:ascii="Times New Roman;Times;serif" w:hAnsi="Times New Roman;Times;serif"/>
          <w:b w:val="false"/>
          <w:i w:val="false"/>
          <w:caps w:val="false"/>
          <w:smallCaps w:val="false"/>
          <w:sz w:val="22"/>
        </w:rPr>
        <w:t>(b)</w:t>
      </w:r>
      <w:r>
        <w:rPr>
          <w:rFonts w:ascii="Times New Roman;Times;serif" w:hAnsi="Times New Roman;Times;serif"/>
          <w:i/>
          <w:sz w:val="22"/>
        </w:rPr>
        <w:t>Pro forma financial information</w:t>
      </w:r>
      <w:r>
        <w:rPr>
          <w:rFonts w:ascii="Times New Roman;Times;serif" w:hAnsi="Times New Roman;Times;serif"/>
          <w:sz w:val="22"/>
        </w:rPr>
        <w:t>. The unaudited pro forma consolidated financial information of the Company as of June 30, 2026, for the six-month period ended June 30, 2026 and for each of the years ended December 31, 2025 and December 31, 2024 is filed as Exhibit 99.2 hereto and is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w:hAnsi="Times"/>
          <w:sz w:val="22"/>
        </w:rPr>
      </w:pPr>
      <w:r>
        <w:rPr>
          <w:rFonts w:ascii="Times New Roman;Times;serif" w:hAnsi="Times New Roman;Times;serif"/>
          <w:b w:val="false"/>
          <w:i w:val="false"/>
          <w:caps w:val="false"/>
          <w:smallCaps w:val="false"/>
          <w:sz w:val="22"/>
        </w:rPr>
        <w:t>(d)</w:t>
      </w:r>
      <w:r>
        <w:rPr>
          <w:rFonts w:ascii="Times New Roman;Times;serif" w:hAnsi="Times New Roman;Times;serif"/>
          <w:i/>
          <w:sz w:val="22"/>
        </w:rPr>
        <w:t>Exhibits.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90"/>
        <w:gridCol w:w="9215"/>
      </w:tblGrid>
      <w:tr>
        <w:trPr/>
        <w:tc>
          <w:tcPr>
            <w:tcW w:w="990" w:type="dxa"/>
            <w:tcBorders/>
            <w:vAlign w:val="center"/>
          </w:tcPr>
          <w:p>
            <w:pPr>
              <w:pStyle w:val="TableContents"/>
              <w:bidi w:val="0"/>
              <w:spacing w:before="0" w:after="0"/>
              <w:ind w:left="0" w:right="0" w:hanging="0"/>
              <w:jc w:val="left"/>
              <w:rPr/>
            </w:pPr>
            <w:r>
              <w:rPr/>
              <w:t>​</w:t>
            </w:r>
          </w:p>
        </w:tc>
        <w:tc>
          <w:tcPr>
            <w:tcW w:w="9215" w:type="dxa"/>
            <w:tcBorders/>
            <w:vAlign w:val="center"/>
          </w:tcPr>
          <w:p>
            <w:pPr>
              <w:pStyle w:val="TableContents"/>
              <w:bidi w:val="0"/>
              <w:spacing w:before="0" w:after="0"/>
              <w:ind w:left="0" w:right="0" w:hanging="0"/>
              <w:jc w:val="left"/>
              <w:rPr/>
            </w:pPr>
            <w:r>
              <w:rPr/>
              <w:t>​</w:t>
            </w:r>
          </w:p>
        </w:tc>
      </w:tr>
      <w:tr>
        <w:trPr/>
        <w:tc>
          <w:tcPr>
            <w:tcW w:w="990"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Exhibit No.</w:t>
            </w:r>
          </w:p>
        </w:tc>
        <w:tc>
          <w:tcPr>
            <w:tcW w:w="9215"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Description</w:t>
            </w:r>
          </w:p>
        </w:tc>
      </w:tr>
      <w:tr>
        <w:trPr/>
        <w:tc>
          <w:tcPr>
            <w:tcW w:w="990" w:type="dxa"/>
            <w:tcBorders/>
            <w:vAlign w:val="center"/>
          </w:tcPr>
          <w:p>
            <w:pPr>
              <w:pStyle w:val="TableContents"/>
              <w:bidi w:val="0"/>
              <w:spacing w:before="0" w:after="0"/>
              <w:ind w:left="0" w:right="0" w:hanging="0"/>
              <w:jc w:val="both"/>
              <w:rPr/>
            </w:pPr>
            <w:r>
              <w:rPr/>
              <w:t>​</w:t>
            </w:r>
          </w:p>
        </w:tc>
        <w:tc>
          <w:tcPr>
            <w:tcW w:w="9215" w:type="dxa"/>
            <w:tcBorders/>
            <w:vAlign w:val="center"/>
          </w:tcPr>
          <w:p>
            <w:pPr>
              <w:pStyle w:val="TableContents"/>
              <w:bidi w:val="0"/>
              <w:spacing w:before="0" w:after="0"/>
              <w:ind w:left="0" w:right="0" w:hanging="0"/>
              <w:jc w:val="both"/>
              <w:rPr/>
            </w:pPr>
            <w:r>
              <w:rPr/>
              <w:t>​</w:t>
            </w:r>
          </w:p>
        </w:tc>
      </w:tr>
      <w:tr>
        <w:trPr/>
        <w:tc>
          <w:tcPr>
            <w:tcW w:w="990" w:type="dxa"/>
            <w:tcBorders/>
            <w:vAlign w:val="center"/>
          </w:tcPr>
          <w:p>
            <w:pPr>
              <w:pStyle w:val="TableContents"/>
              <w:bidi w:val="0"/>
              <w:spacing w:before="0" w:after="0"/>
              <w:ind w:left="0" w:right="0" w:hanging="0"/>
              <w:jc w:val="both"/>
              <w:rPr>
                <w:rFonts w:ascii="Times" w:hAnsi="Times"/>
                <w:sz w:val="22"/>
              </w:rPr>
            </w:pPr>
            <w:r>
              <w:rPr>
                <w:rFonts w:ascii="Times New Roman;Times;serif" w:hAnsi="Times New Roman;Times;serif"/>
                <w:sz w:val="22"/>
              </w:rPr>
              <w:t>10.1*</w:t>
            </w:r>
            <w:r>
              <w:rPr>
                <w:rFonts w:ascii="Times" w:hAnsi="Times"/>
                <w:sz w:val="22"/>
              </w:rPr>
              <w:t xml:space="preserve">† </w:t>
            </w:r>
          </w:p>
        </w:tc>
        <w:tc>
          <w:tcPr>
            <w:tcW w:w="9215"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2"/>
                </w:rPr>
                <w:t>Asset Purchase Agreement, dated July 16, 2026, by and between Cellution Biologics Inc. and Elutia Inc. (incorporated by reference to Exhibit 10.1 to the Company’s Current Report on Form 8-K filed on July 20, 2026).</w:t>
              </w:r>
            </w:hyperlink>
          </w:p>
        </w:tc>
      </w:tr>
      <w:tr>
        <w:trPr/>
        <w:tc>
          <w:tcPr>
            <w:tcW w:w="990" w:type="dxa"/>
            <w:tcBorders/>
            <w:vAlign w:val="center"/>
          </w:tcPr>
          <w:p>
            <w:pPr>
              <w:pStyle w:val="TableContents"/>
              <w:bidi w:val="0"/>
              <w:spacing w:before="0" w:after="0"/>
              <w:ind w:left="0" w:right="0" w:hanging="0"/>
              <w:jc w:val="both"/>
              <w:rPr/>
            </w:pPr>
            <w:r>
              <w:rPr/>
              <w:t>​</w:t>
            </w:r>
          </w:p>
        </w:tc>
        <w:tc>
          <w:tcPr>
            <w:tcW w:w="9215" w:type="dxa"/>
            <w:tcBorders/>
            <w:vAlign w:val="center"/>
          </w:tcPr>
          <w:p>
            <w:pPr>
              <w:pStyle w:val="TableContents"/>
              <w:bidi w:val="0"/>
              <w:spacing w:before="0" w:after="0"/>
              <w:ind w:left="0" w:right="0" w:hanging="0"/>
              <w:jc w:val="both"/>
              <w:rPr/>
            </w:pPr>
            <w:r>
              <w:rPr/>
              <w:t>​</w:t>
            </w:r>
          </w:p>
        </w:tc>
      </w:tr>
      <w:tr>
        <w:trPr/>
        <w:tc>
          <w:tcPr>
            <w:tcW w:w="99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99.1</w:t>
            </w:r>
          </w:p>
        </w:tc>
        <w:tc>
          <w:tcPr>
            <w:tcW w:w="9215" w:type="dxa"/>
            <w:tcBorders/>
            <w:vAlign w:val="center"/>
          </w:tcPr>
          <w:p>
            <w:pPr>
              <w:pStyle w:val="TableContents"/>
              <w:bidi w:val="0"/>
              <w:spacing w:before="0" w:after="0"/>
              <w:ind w:left="0" w:right="0" w:hanging="0"/>
              <w:jc w:val="both"/>
              <w:rPr/>
            </w:pPr>
            <w:hyperlink w:anchor="elut-20260817xex99d1.htm">
              <w:r>
                <w:rPr>
                  <w:rStyle w:val="InternetLink"/>
                  <w:rFonts w:ascii="Times New Roman;Times;serif" w:hAnsi="Times New Roman;Times;serif"/>
                  <w:b w:val="false"/>
                  <w:i w:val="false"/>
                  <w:caps w:val="false"/>
                  <w:smallCaps w:val="false"/>
                  <w:sz w:val="22"/>
                </w:rPr>
                <w:t>Press Release of Elutia Inc. dated August 18, 2026 announcing closing of SimpliDerm Business sale.</w:t>
              </w:r>
            </w:hyperlink>
          </w:p>
        </w:tc>
      </w:tr>
      <w:tr>
        <w:trPr/>
        <w:tc>
          <w:tcPr>
            <w:tcW w:w="990" w:type="dxa"/>
            <w:tcBorders/>
            <w:vAlign w:val="center"/>
          </w:tcPr>
          <w:p>
            <w:pPr>
              <w:pStyle w:val="TableContents"/>
              <w:bidi w:val="0"/>
              <w:spacing w:before="0" w:after="0"/>
              <w:ind w:left="0" w:right="0" w:hanging="0"/>
              <w:jc w:val="both"/>
              <w:rPr/>
            </w:pPr>
            <w:r>
              <w:rPr/>
              <w:t>​</w:t>
            </w:r>
          </w:p>
        </w:tc>
        <w:tc>
          <w:tcPr>
            <w:tcW w:w="9215" w:type="dxa"/>
            <w:tcBorders/>
            <w:vAlign w:val="center"/>
          </w:tcPr>
          <w:p>
            <w:pPr>
              <w:pStyle w:val="TableContents"/>
              <w:bidi w:val="0"/>
              <w:spacing w:before="0" w:after="0"/>
              <w:ind w:left="0" w:right="0" w:hanging="0"/>
              <w:jc w:val="both"/>
              <w:rPr/>
            </w:pPr>
            <w:r>
              <w:rPr/>
              <w:t>​</w:t>
            </w:r>
          </w:p>
        </w:tc>
      </w:tr>
      <w:tr>
        <w:trPr/>
        <w:tc>
          <w:tcPr>
            <w:tcW w:w="99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99.2</w:t>
            </w:r>
          </w:p>
        </w:tc>
        <w:tc>
          <w:tcPr>
            <w:tcW w:w="9215" w:type="dxa"/>
            <w:tcBorders/>
            <w:vAlign w:val="center"/>
          </w:tcPr>
          <w:p>
            <w:pPr>
              <w:pStyle w:val="TableContents"/>
              <w:bidi w:val="0"/>
              <w:spacing w:before="0" w:after="0"/>
              <w:ind w:left="0" w:right="0" w:hanging="0"/>
              <w:jc w:val="both"/>
              <w:rPr/>
            </w:pPr>
            <w:hyperlink w:anchor="elut-20260817xex99d2.htm">
              <w:r>
                <w:rPr>
                  <w:rStyle w:val="InternetLink"/>
                  <w:rFonts w:ascii="Times New Roman;Times;serif" w:hAnsi="Times New Roman;Times;serif"/>
                  <w:b w:val="false"/>
                  <w:i w:val="false"/>
                  <w:caps w:val="false"/>
                  <w:smallCaps w:val="false"/>
                  <w:sz w:val="22"/>
                </w:rPr>
                <w:t>Unaudited Pro Forma Condensed Consolidated Financial Information of Elutia Inc.</w:t>
              </w:r>
            </w:hyperlink>
          </w:p>
        </w:tc>
      </w:tr>
      <w:tr>
        <w:trPr/>
        <w:tc>
          <w:tcPr>
            <w:tcW w:w="990" w:type="dxa"/>
            <w:tcBorders/>
            <w:vAlign w:val="center"/>
          </w:tcPr>
          <w:p>
            <w:pPr>
              <w:pStyle w:val="TableContents"/>
              <w:bidi w:val="0"/>
              <w:spacing w:before="0" w:after="0"/>
              <w:ind w:left="0" w:right="0" w:hanging="0"/>
              <w:jc w:val="both"/>
              <w:rPr/>
            </w:pPr>
            <w:r>
              <w:rPr/>
              <w:t>​</w:t>
            </w:r>
          </w:p>
        </w:tc>
        <w:tc>
          <w:tcPr>
            <w:tcW w:w="9215" w:type="dxa"/>
            <w:tcBorders/>
            <w:vAlign w:val="center"/>
          </w:tcPr>
          <w:p>
            <w:pPr>
              <w:pStyle w:val="TableContents"/>
              <w:bidi w:val="0"/>
              <w:spacing w:before="0" w:after="0"/>
              <w:ind w:left="0" w:right="0" w:hanging="0"/>
              <w:jc w:val="both"/>
              <w:rPr/>
            </w:pPr>
            <w:r>
              <w:rPr/>
              <w:t>​</w:t>
            </w:r>
          </w:p>
        </w:tc>
      </w:tr>
      <w:tr>
        <w:trPr/>
        <w:tc>
          <w:tcPr>
            <w:tcW w:w="99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104</w:t>
            </w:r>
          </w:p>
        </w:tc>
        <w:tc>
          <w:tcPr>
            <w:tcW w:w="9215"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Cover Page Interactive Data File (formatted as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*Certain confidential information contained in this Exhibit, marked in brackets, has been omitted, because it is both not material and of the type of information that the registrant treats as private or confidential.</w:t>
      </w:r>
    </w:p>
    <w:p>
      <w:pPr>
        <w:pStyle w:val="TextBody"/>
        <w:bidi w:val="0"/>
        <w:spacing w:before="0" w:after="0"/>
        <w:ind w:left="0" w:right="0" w:hanging="0"/>
        <w:jc w:val="both"/>
        <w:rPr/>
      </w:pPr>
      <w:r>
        <w:rPr/>
        <w:t>​</w:t>
      </w:r>
    </w:p>
    <w:p>
      <w:pPr>
        <w:pStyle w:val="TextBody"/>
        <w:bidi w:val="0"/>
        <w:spacing w:before="0" w:after="0"/>
        <w:ind w:left="0" w:right="0" w:hanging="0"/>
        <w:jc w:val="both"/>
        <w:rPr/>
      </w:pPr>
      <w:r>
        <w:rPr/>
        <w:t xml:space="preserve">† </w:t>
      </w:r>
      <w:r>
        <w:rPr>
          <w:rFonts w:ascii="Times New Roman;Times;serif" w:hAnsi="Times New Roman;Times;serif"/>
          <w:sz w:val="22"/>
        </w:rPr>
        <w:t>Schedules have been omitted pursuant to Item 601(a)(5) of Regulation S-K. The Company undertakes to furnish supplemental copies of any of the omitted schedules upon request by the SEC.</w:t>
      </w:r>
      <w:r>
        <w:rPr>
          <w:rFonts w:ascii="Times" w:hAnsi="Times"/>
          <w:sz w:val="22"/>
        </w:rPr>
        <w:t xml:space="preserve">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bookmarkStart w:id="26" w:name="_d9d07438_a207_4c0f_afb2_4fdee20463de"/>
      <w:bookmarkEnd w:id="26"/>
      <w:r>
        <w:rPr>
          <w:rFonts w:ascii="Times New Roman;Times;serif" w:hAnsi="Times New Roman;Times;serif"/>
          <w:b/>
          <w:sz w:val="22"/>
        </w:rPr>
        <w:t>SIGNATURES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b/>
          <w:sz w:val="22"/>
        </w:rPr>
      </w:pPr>
      <w:r>
        <w:rPr>
          <w:rFonts w:ascii="Times New Roman;Times;serif" w:hAnsi="Times New Roman;Times;serif"/>
          <w:b/>
          <w:sz w:val="22"/>
        </w:rPr>
        <w:t>ELUTIA INC.</w:t>
      </w:r>
    </w:p>
    <w:p>
      <w:pPr>
        <w:pStyle w:val="TextBody"/>
        <w:bidi w:val="0"/>
        <w:spacing w:before="0" w:after="0"/>
        <w:ind w:left="4320" w:right="0" w:hanging="0"/>
        <w:jc w:val="left"/>
        <w:rPr>
          <w:rFonts w:ascii="Times" w:hAnsi="Times"/>
          <w:sz w:val="22"/>
        </w:rPr>
      </w:pPr>
      <w:r>
        <w:rPr>
          <w:rFonts w:ascii="Times New Roman;Times;serif" w:hAnsi="Times New Roman;Times;serif"/>
          <w:sz w:val="22"/>
        </w:rPr>
        <w:t>(</w:t>
      </w:r>
      <w:r>
        <w:rPr>
          <w:rFonts w:ascii="Times New Roman;Times;serif" w:hAnsi="Times New Roman;Times;serif"/>
          <w:i/>
          <w:sz w:val="22"/>
        </w:rPr>
        <w:t>Registrant</w:t>
      </w:r>
      <w:r>
        <w:rPr>
          <w:rFonts w:ascii="Times New Roman;Times;serif" w:hAnsi="Times New Roman;Times;serif"/>
          <w:sz w:val="22"/>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0" w:right="0" w:hanging="0"/>
        <w:jc w:val="both"/>
        <w:rPr>
          <w:rFonts w:ascii="Times" w:hAnsi="Times"/>
          <w:sz w:val="22"/>
        </w:rPr>
      </w:pPr>
      <w:r>
        <w:rPr>
          <w:rFonts w:ascii="Times New Roman;Times;serif" w:hAnsi="Times New Roman;Times;serif"/>
          <w:sz w:val="22"/>
        </w:rPr>
        <w:t>Date: August 21, 2026By: /s/ Matthew Ferguson</w:t>
      </w:r>
      <w:r>
        <w:rPr>
          <w:rFonts w:ascii="Times" w:hAnsi="Times"/>
          <w:sz w:val="22"/>
          <w:u w:val="single"/>
        </w:rPr>
        <w:t>​ ​​ ​​ ​</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Matthew Ferguson</w:t>
      </w:r>
    </w:p>
    <w:p>
      <w:pPr>
        <w:pStyle w:val="TextBody"/>
        <w:bidi w:val="0"/>
        <w:spacing w:before="0" w:after="0"/>
        <w:ind w:left="4320" w:right="0" w:hanging="0"/>
        <w:jc w:val="left"/>
        <w:rPr>
          <w:rFonts w:ascii="Times" w:hAnsi="Times"/>
          <w:sz w:val="22"/>
        </w:rPr>
      </w:pPr>
      <w:r>
        <w:rPr>
          <w:rFonts w:ascii="Times" w:hAnsi="Times"/>
          <w:sz w:val="22"/>
        </w:rPr>
        <w:t>Chief Financial Officer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432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0"/>
        <w:ind w:left="0" w:right="0" w:hanging="0"/>
        <w:jc w:val="right"/>
        <w:rPr>
          <w:rFonts w:ascii="Arial;Helvetica;sans-serif" w:hAnsi="Arial;Helvetica;sans-serif"/>
          <w:b/>
          <w:color w:val="1B2E5A"/>
          <w:sz w:val="20"/>
        </w:rPr>
      </w:pPr>
      <w:bookmarkStart w:id="27" w:name="elut-20260817xex99d1.htm"/>
      <w:bookmarkStart w:id="28" w:name="kselut20260817xex99d1"/>
      <w:bookmarkEnd w:id="27"/>
      <w:bookmarkEnd w:id="28"/>
      <w:r>
        <w:rPr>
          <w:rFonts w:ascii="Arial;Helvetica;sans-serif" w:hAnsi="Arial;Helvetica;sans-serif"/>
          <w:b/>
          <w:color w:val="1B2E5A"/>
          <w:sz w:val="20"/>
        </w:rPr>
        <w:t>Exhibit 99.1</w:t>
      </w:r>
      <w:r>
        <w:br w:type="page"/>
      </w:r>
    </w:p>
    <w:p>
      <w:pPr>
        <w:pStyle w:val="TextBody"/>
        <w:bidi w:val="0"/>
        <w:spacing w:before="0" w:after="220"/>
        <w:ind w:left="0" w:right="0" w:hanging="0"/>
        <w:jc w:val="left"/>
        <w:rPr>
          <w:rFonts w:ascii="Times New Roman;Times;serif" w:hAnsi="Times New Roman;Times;serif"/>
          <w:sz w:val="20"/>
        </w:rPr>
      </w:pPr>
      <w:r>
        <w:rPr>
          <w:rFonts w:ascii="Arial;Helvetica;sans-serif" w:hAnsi="Arial;Helvetica;sans-serif"/>
          <w:b/>
          <w:color w:val="1B2E5A"/>
          <w:sz w:val="30"/>
        </w:rPr>
        <w:t>Elutia Completes SimpliDerm</w:t>
      </w:r>
      <w:r>
        <w:rPr>
          <w:rFonts w:ascii="Arial;Helvetica;sans-serif" w:hAnsi="Arial;Helvetica;sans-serif"/>
          <w:b/>
          <w:color w:val="1B2E5A"/>
          <w:sz w:val="23"/>
        </w:rPr>
        <w:t>®</w:t>
      </w:r>
      <w:r>
        <w:rPr>
          <w:rFonts w:ascii="Times New Roman;Times;serif" w:hAnsi="Times New Roman;Times;serif"/>
          <w:color w:val="1B2E5A"/>
          <w:sz w:val="20"/>
        </w:rPr>
        <w:t xml:space="preserve"> </w:t>
      </w:r>
      <w:r>
        <w:rPr>
          <w:rFonts w:ascii="Arial;Helvetica;sans-serif" w:hAnsi="Arial;Helvetica;sans-serif"/>
          <w:b/>
          <w:color w:val="1B2E5A"/>
          <w:sz w:val="30"/>
        </w:rPr>
        <w:t>Sale on Schedule, Adds $8 Million in Cash to Fund NXT-41x Through Full Commercial Launch</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i w:val="false"/>
                <w:caps w:val="false"/>
                <w:smallCaps w:val="false"/>
                <w:color w:val="1B2E5A"/>
                <w:sz w:val="21"/>
              </w:rPr>
            </w:pPr>
            <w:r>
              <w:rPr>
                <w:rFonts w:ascii="Arial;Helvetica;sans-serif" w:hAnsi="Arial;Helvetica;sans-serif"/>
                <w:b/>
                <w:i w:val="false"/>
                <w:caps w:val="false"/>
                <w:smallCaps w:val="false"/>
                <w:color w:val="1B2E5A"/>
                <w:sz w:val="21"/>
              </w:rPr>
              <w:t>Deal valued at $11 million in cash, with $8 million at closing and up to $3 million in additional milestone payments over the next 18 months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i w:val="false"/>
                <w:caps w:val="false"/>
                <w:smallCaps w:val="false"/>
                <w:color w:val="1B2E5A"/>
                <w:sz w:val="21"/>
              </w:rPr>
            </w:pPr>
            <w:r>
              <w:rPr>
                <w:rFonts w:ascii="Arial;Helvetica;sans-serif" w:hAnsi="Arial;Helvetica;sans-serif"/>
                <w:b/>
                <w:i w:val="false"/>
                <w:caps w:val="false"/>
                <w:smallCaps w:val="false"/>
                <w:color w:val="1B2E5A"/>
                <w:sz w:val="21"/>
              </w:rPr>
              <w:t xml:space="preserve">Divestiture further concentrates Elutia’s attention and resources on the development and commercialization of NXT-41x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i w:val="false"/>
                <w:caps w:val="false"/>
                <w:smallCaps w:val="false"/>
                <w:color w:val="1B2E5A"/>
                <w:sz w:val="21"/>
              </w:rPr>
            </w:pPr>
            <w:r>
              <w:rPr>
                <w:rFonts w:ascii="Arial;Helvetica;sans-serif" w:hAnsi="Arial;Helvetica;sans-serif"/>
                <w:b/>
                <w:i w:val="false"/>
                <w:caps w:val="false"/>
                <w:smallCaps w:val="false"/>
                <w:color w:val="1B2E5A"/>
                <w:sz w:val="21"/>
              </w:rPr>
              <w:t xml:space="preserve">NXT-41x is an antibiotic-eluting biomatrix designed to address post-operative infection in the $1.5 billion U.S. plastic and reconstructive surgery market </w:t>
            </w:r>
          </w:p>
        </w:tc>
      </w:tr>
    </w:tbl>
    <w:tbl>
      <w:tblPr>
        <w:tblW w:w="5493" w:type="dxa"/>
        <w:jc w:val="left"/>
        <w:tblInd w:w="0" w:type="dxa"/>
        <w:tblLayout w:type="fixed"/>
        <w:tblCellMar>
          <w:top w:w="0" w:type="dxa"/>
          <w:left w:w="0" w:type="dxa"/>
          <w:bottom w:w="0" w:type="dxa"/>
          <w:right w:w="0" w:type="dxa"/>
        </w:tblCellMar>
      </w:tblPr>
      <w:tblGrid>
        <w:gridCol w:w="23"/>
        <w:gridCol w:w="170"/>
        <w:gridCol w:w="5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left"/>
              <w:rPr>
                <w:rFonts w:ascii="Arial;Helvetica;sans-serif" w:hAnsi="Arial;Helvetica;sans-serif"/>
                <w:b/>
                <w:i w:val="false"/>
                <w:caps w:val="false"/>
                <w:smallCaps w:val="false"/>
                <w:color w:val="1B2E5A"/>
                <w:sz w:val="21"/>
              </w:rPr>
            </w:pPr>
            <w:r>
              <w:rPr>
                <w:rFonts w:ascii="Arial;Helvetica;sans-serif" w:hAnsi="Arial;Helvetica;sans-serif"/>
                <w:b/>
                <w:i w:val="false"/>
                <w:caps w:val="false"/>
                <w:smallCaps w:val="false"/>
                <w:color w:val="1B2E5A"/>
                <w:sz w:val="21"/>
              </w:rPr>
              <w:t>NXT-41x clearance expected in the first half of 2027</w:t>
            </w:r>
          </w:p>
        </w:tc>
      </w:tr>
    </w:tbl>
    <w:p>
      <w:pPr>
        <w:pStyle w:val="TextBody"/>
        <w:bidi w:val="0"/>
        <w:spacing w:before="0" w:after="200"/>
        <w:ind w:left="0" w:right="0" w:hanging="0"/>
        <w:jc w:val="left"/>
        <w:rPr/>
      </w:pPr>
      <w:r>
        <w:rPr/>
        <w:t>​</w:t>
      </w:r>
    </w:p>
    <w:p>
      <w:pPr>
        <w:pStyle w:val="TextBody"/>
        <w:bidi w:val="0"/>
        <w:spacing w:before="0" w:after="160"/>
        <w:ind w:left="0" w:right="0" w:hanging="0"/>
        <w:jc w:val="left"/>
        <w:rPr>
          <w:rFonts w:ascii="Arial;Helvetica;sans-serif" w:hAnsi="Arial;Helvetica;sans-serif"/>
          <w:sz w:val="21"/>
        </w:rPr>
      </w:pPr>
      <w:r>
        <w:rPr>
          <w:rFonts w:ascii="Arial;Helvetica;sans-serif" w:hAnsi="Arial;Helvetica;sans-serif"/>
          <w:sz w:val="21"/>
        </w:rPr>
        <w:t>GAITHERSBURG, Md., August 18, 2026 (GLOBE NEWSWIRE) -- Elutia Inc. (Nasdaq: ELUT) (“Elutia” or the “Company”), a pioneer in drug-eluting biomatrix technologies, today announced it completed the sale of its SimpliDerm® human acellular dermal matrix business to Cellution Biologics Inc. for total consideration of up to $11 million. Total proceeds are comprised of $8 million at closing, subject to customary adjustments for inventory levels and transaction expenses, plus additional contingent milestone payments of up to $3 million over the next 18 months.</w:t>
      </w:r>
    </w:p>
    <w:p>
      <w:pPr>
        <w:pStyle w:val="TextBody"/>
        <w:bidi w:val="0"/>
        <w:spacing w:before="0" w:after="160"/>
        <w:ind w:left="0" w:right="0" w:hanging="0"/>
        <w:jc w:val="left"/>
        <w:rPr>
          <w:rFonts w:ascii="Arial;Helvetica;sans-serif" w:hAnsi="Arial;Helvetica;sans-serif"/>
          <w:sz w:val="21"/>
        </w:rPr>
      </w:pPr>
      <w:r>
        <w:rPr>
          <w:rFonts w:ascii="Arial;Helvetica;sans-serif" w:hAnsi="Arial;Helvetica;sans-serif"/>
          <w:sz w:val="21"/>
        </w:rPr>
        <w:t>The transaction strengthens the Company’s balance sheet with non-dilutive capital and positions Elutia to focus strategically on NXT-41x, its proprietary drug-eluting biomatrix. The Company expects FDA clearance of NXT-41x in the first half of 2027. With the closing of this transaction and previously announced funding sources, the Company believes it has secured sufficient funding to support operations through the first full year of the NXT-41x commercial launch in 2028.</w:t>
      </w:r>
    </w:p>
    <w:p>
      <w:pPr>
        <w:pStyle w:val="TextBody"/>
        <w:bidi w:val="0"/>
        <w:spacing w:before="0" w:after="160"/>
        <w:ind w:left="0" w:right="0" w:hanging="0"/>
        <w:jc w:val="left"/>
        <w:rPr/>
      </w:pPr>
      <w:r>
        <w:rPr/>
        <w:t>“</w:t>
      </w:r>
      <w:r>
        <w:rPr>
          <w:rFonts w:ascii="Arial;Helvetica;sans-serif" w:hAnsi="Arial;Helvetica;sans-serif"/>
          <w:sz w:val="21"/>
        </w:rPr>
        <w:t xml:space="preserve">Completing this divestiture reflects the discipline and commitment the Elutia team brings to everything we do,” said Dr. Sonali Fonseca, Vice President of Emerging Business, who led the divestiture effort. “It is another important step forward in our mission to Humanize Medicine by providing additional funding while sharpening our focus on bringing NXT-41x to patients so they can thrive without compromise.” </w:t>
      </w:r>
    </w:p>
    <w:p>
      <w:pPr>
        <w:pStyle w:val="TextBody"/>
        <w:bidi w:val="0"/>
        <w:spacing w:before="0" w:after="160"/>
        <w:ind w:left="0" w:right="0" w:hanging="0"/>
        <w:jc w:val="left"/>
        <w:rPr>
          <w:rFonts w:ascii="Arial;Helvetica;sans-serif" w:hAnsi="Arial;Helvetica;sans-serif"/>
          <w:sz w:val="21"/>
        </w:rPr>
      </w:pPr>
      <w:r>
        <w:rPr>
          <w:rFonts w:ascii="Arial;Helvetica;sans-serif" w:hAnsi="Arial;Helvetica;sans-serif"/>
          <w:sz w:val="21"/>
        </w:rPr>
        <w:t>NXT-41x is being developed for use in plastic and reconstructive surgery, where complex procedures can carry post-operative infection rates of 15–20%. The product is designed to provide soft-tissue reinforcement while locally delivering antibiotics locally to inhibit bacterial colonization at the surgical site. Elutia plans to first commercialize NXT-41x in the approximately $1.5 billion U.S. plastic and reconstructive surgery market, followed by expansion into general and oncologic surgeries with similar infection risks.</w:t>
      </w:r>
    </w:p>
    <w:p>
      <w:pPr>
        <w:pStyle w:val="TextBody"/>
        <w:bidi w:val="0"/>
        <w:spacing w:before="220" w:after="0"/>
        <w:ind w:left="0" w:right="0" w:hanging="0"/>
        <w:jc w:val="left"/>
        <w:rPr>
          <w:rFonts w:ascii="Arial;Helvetica;sans-serif" w:hAnsi="Arial;Helvetica;sans-serif"/>
          <w:b/>
          <w:color w:val="375D84"/>
          <w:sz w:val="22"/>
        </w:rPr>
      </w:pPr>
      <w:r>
        <w:rPr>
          <w:rFonts w:ascii="Arial;Helvetica;sans-serif" w:hAnsi="Arial;Helvetica;sans-serif"/>
          <w:b/>
          <w:color w:val="375D84"/>
          <w:sz w:val="22"/>
        </w:rPr>
        <w:t>About Elutia</w:t>
      </w:r>
    </w:p>
    <w:p>
      <w:pPr>
        <w:pStyle w:val="TextBody"/>
        <w:bidi w:val="0"/>
        <w:spacing w:before="0" w:after="0"/>
        <w:ind w:left="0" w:right="0" w:hanging="0"/>
        <w:jc w:val="left"/>
        <w:rPr>
          <w:rFonts w:ascii="Arial;Helvetica;sans-serif" w:hAnsi="Arial;Helvetica;sans-serif"/>
          <w:sz w:val="21"/>
        </w:rPr>
      </w:pPr>
      <w:r>
        <w:rPr>
          <w:rFonts w:ascii="Arial;Helvetica;sans-serif" w:hAnsi="Arial;Helvetica;sans-serif"/>
          <w:sz w:val="21"/>
        </w:rPr>
        <w:t>Elutia develops and commercializes drug-eluting biomatrix products to improve compatibility between medical devices and the patients who need them. With a growing population in need of implantable technologies, Elutia’s mission is humanizing medicine so patients can thrive without compromise. For more information, visit www.Elutia.com.</w:t>
      </w:r>
    </w:p>
    <w:p>
      <w:pPr>
        <w:pStyle w:val="TextBody"/>
        <w:bidi w:val="0"/>
        <w:spacing w:before="220" w:after="0"/>
        <w:ind w:left="0" w:right="0" w:hanging="0"/>
        <w:jc w:val="left"/>
        <w:rPr>
          <w:rFonts w:ascii="Arial;Helvetica;sans-serif" w:hAnsi="Arial;Helvetica;sans-serif"/>
          <w:b/>
          <w:color w:val="375D84"/>
          <w:sz w:val="22"/>
        </w:rPr>
      </w:pPr>
      <w:r>
        <w:rPr>
          <w:rFonts w:ascii="Arial;Helvetica;sans-serif" w:hAnsi="Arial;Helvetica;sans-serif"/>
          <w:b/>
          <w:color w:val="375D84"/>
          <w:sz w:val="22"/>
        </w:rPr>
        <w:t>Forward-Looking Statements</w:t>
      </w:r>
    </w:p>
    <w:p>
      <w:pPr>
        <w:pStyle w:val="TextBody"/>
        <w:bidi w:val="0"/>
        <w:spacing w:before="0" w:after="0"/>
        <w:ind w:left="0" w:right="0" w:hanging="0"/>
        <w:jc w:val="left"/>
        <w:rPr>
          <w:rFonts w:ascii="Arial;Helvetica;sans-serif" w:hAnsi="Arial;Helvetica;sans-serif"/>
          <w:sz w:val="21"/>
        </w:rPr>
      </w:pPr>
      <w:r>
        <w:rPr>
          <w:rFonts w:ascii="Arial;Helvetica;sans-serif" w:hAnsi="Arial;Helvetica;sans-serif"/>
          <w:sz w:val="21"/>
        </w:rPr>
        <w:t xml:space="preserve">This press release contains “forward-looking statements” within the meaning of Section 27A of the Securities Act of 1933, as amended, and Section 21E of the Securities Exchange Act of 1934, as amended. Forward-looking statements can be identified by words such as “projects,” “may,” “will,” “could,” “would,” “should,” “believes,” “expects,” “anticipates,” “estimates,” “intends,” “plans,” “potential,” “promise” or similar references to future periods. All statements contained in this press release that do not relate to matters of historical fact should be considered forward-looking statements, including any statements and information regarding whether any of the technology transfer and commercial milestones related to the sale of SimpliDerm will be achieved or any related milestone payments will be received; the application of the proceeds of the transaction; the size of the U.S. plastic and reconstructive surgery </w:t>
      </w:r>
    </w:p>
    <w:p>
      <w:pPr>
        <w:pStyle w:val="TextBody"/>
        <w:pBdr>
          <w:top w:val="single" w:sz="2" w:space="4" w:color="8E999D"/>
        </w:pBdr>
        <w:bidi w:val="0"/>
        <w:spacing w:before="0" w:after="0"/>
        <w:ind w:left="0" w:right="0" w:hanging="0"/>
        <w:jc w:val="right"/>
        <w:rPr>
          <w:rFonts w:ascii="Arial;Helvetica;sans-serif" w:hAnsi="Arial;Helvetica;sans-serif"/>
          <w:color w:val="8E999D"/>
          <w:sz w:val="14"/>
        </w:rPr>
      </w:pPr>
      <w:r>
        <w:rPr>
          <w:rFonts w:ascii="Arial;Helvetica;sans-serif" w:hAnsi="Arial;Helvetica;sans-serif"/>
          <w:color w:val="8E999D"/>
          <w:sz w:val="14"/>
        </w:rPr>
        <w:t>Elutia Inc. — DRAFT — Not Yet Issued | Page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sz w:val="21"/>
        </w:rPr>
      </w:pPr>
      <w:r>
        <w:rPr>
          <w:rFonts w:ascii="Arial;Helvetica;sans-serif" w:hAnsi="Arial;Helvetica;sans-serif"/>
          <w:sz w:val="21"/>
        </w:rPr>
        <w:t>market and the potential of the Company’s next-generation drug-eluting biomatrix pipeline to compete in that market, including the timing and success of NXT-41 and NXT-41x; the expansion of commercialization of NXT-41x into general and oncologic surgical procedures; and the sufficiency of the Company’s capital resources to fund operations through commercialization of NXT-41x. These 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risk that the technology transfer and commercial milestone payments are reduced, delayed, or not earned or received; risks associated with our reliance on a narrower product set, and increasingly on under-development solutions, NXT-41 and NXT-41x; our ability to successfully execute or achieve expected benefits from the divestiture of our SimpliDerm business; our ability to enhance our products, expand our product indications and successfully develop, acquire and commercialize additional product offerings, including NXT-41 and NXT-41x; our ability to obtain regulatory approval or other marketing authorizations by the FDA and comparable foreign authorities for our products and product candidates, including NXT-41 and NXT-41x; physician awareness of the distinctive characteristics, benefits, safety, clinical efficacy and cost-effectiveness of our products; our ability to achieve or sustain profitability; our ability to service our indebtedness; our ability to regain compliance with Nasdaq’s minimum bid price requirement and otherwise maintain compliance with any other listing requirement of Nasdaq Capital Market, and our ability to maintain a listing of our Class A common stock on the Nasdaq Capital Market; our ability to raise funds in the future in the amounts and at the times needed; the risk of product liability claims and our ability to obtain or maintain adequate product liability insurance; our ability to defend against the various lawsuits related to FiberCel and VBM, and any other ongoing or future litigation, and avoid a material adverse financial consequence; the continued and future acceptance of our products by the medical community; our dependence on independent sales agents to generate a substantial portion of our net sales; our dependence on a limited number of third-party suppliers and manufacturers, which, in certain cases, are exclusive suppliers for products essential to our business; our ability to successfully realize the anticipated benefits of the sale of our CIED business; our ability to compete against other companies, most of which have longer operating histories, more established products and/or greater resources than we do; pricing pressure as a result of cost-containment efforts of our customers, purchasing groups, third-party payors and governmental organizations could adversely affect our sales and profitability; our ability to obtain, maintain and adequately protect our intellectual property rights; and other important factors which can be found in the “Risk Factors” section of Elutia’s public filings with the Securities and Exchange Commission (“SEC”), including Elutia’s Annual Report on Form 10-K for the year ended December 31, 2025, as such factors may be updated from time to time in Elutia’s other filings with the SEC, accessible on the SEC’s website at www.sec.gov and the Investor Relations page of Elutia’s website at https://investors.elutia.com. Because forward-looking statements are inherently subject to risks and uncertainties, you should not rely on these forward-looking statements as predictions of future events. Any forward-looking statement made by Elutia in this press release is based only on information currently available and speaks only as of the date on which it is made. Except as required by applicable law, Elutia expressly disclaims any obligation to publicly update any forward-looking statements, whether written or oral, that may be made from time to time, whether as a result of new information, future developments or otherwise.</w:t>
      </w:r>
    </w:p>
    <w:p>
      <w:pPr>
        <w:pStyle w:val="TextBody"/>
        <w:bidi w:val="0"/>
        <w:spacing w:before="0" w:after="0"/>
        <w:ind w:left="0" w:right="0" w:hanging="0"/>
        <w:jc w:val="left"/>
        <w:rPr>
          <w:color w:val="375D84"/>
        </w:rPr>
      </w:pPr>
      <w:r>
        <w:rPr>
          <w:color w:val="375D84"/>
        </w:rPr>
        <w:t>​</w:t>
      </w:r>
    </w:p>
    <w:p>
      <w:pPr>
        <w:pStyle w:val="TextBody"/>
        <w:bidi w:val="0"/>
        <w:spacing w:before="0" w:after="0"/>
        <w:ind w:left="0" w:right="0" w:hanging="0"/>
        <w:jc w:val="left"/>
        <w:rPr>
          <w:rFonts w:ascii="Arial;Helvetica;sans-serif" w:hAnsi="Arial;Helvetica;sans-serif"/>
          <w:b/>
          <w:color w:val="375D84"/>
          <w:sz w:val="22"/>
        </w:rPr>
      </w:pPr>
      <w:r>
        <w:rPr>
          <w:rFonts w:ascii="Arial;Helvetica;sans-serif" w:hAnsi="Arial;Helvetica;sans-serif"/>
          <w:b/>
          <w:color w:val="375D84"/>
          <w:sz w:val="22"/>
        </w:rPr>
        <w:t>Investors</w:t>
      </w:r>
    </w:p>
    <w:p>
      <w:pPr>
        <w:pStyle w:val="TextBody"/>
        <w:bidi w:val="0"/>
        <w:spacing w:before="0" w:after="0"/>
        <w:ind w:left="0" w:right="0" w:hanging="0"/>
        <w:jc w:val="left"/>
        <w:rPr>
          <w:rFonts w:ascii="Arial;Helvetica;sans-serif" w:hAnsi="Arial;Helvetica;sans-serif"/>
          <w:sz w:val="21"/>
        </w:rPr>
      </w:pPr>
      <w:r>
        <w:rPr>
          <w:rFonts w:ascii="Arial;Helvetica;sans-serif" w:hAnsi="Arial;Helvetica;sans-serif"/>
          <w:sz w:val="21"/>
        </w:rPr>
        <w:t>Elutia Investor Relations</w:t>
      </w:r>
    </w:p>
    <w:p>
      <w:pPr>
        <w:pStyle w:val="TextBody"/>
        <w:bidi w:val="0"/>
        <w:spacing w:before="0" w:after="0"/>
        <w:ind w:left="0" w:right="0" w:hanging="0"/>
        <w:jc w:val="left"/>
        <w:rPr>
          <w:rFonts w:ascii="Arial;Helvetica;sans-serif" w:hAnsi="Arial;Helvetica;sans-serif"/>
          <w:sz w:val="21"/>
        </w:rPr>
      </w:pPr>
      <w:r>
        <w:rPr>
          <w:rFonts w:ascii="Arial;Helvetica;sans-serif" w:hAnsi="Arial;Helvetica;sans-serif"/>
          <w:sz w:val="21"/>
        </w:rPr>
        <w:t>ir@elutia.com</w:t>
      </w:r>
    </w:p>
    <w:p>
      <w:pPr>
        <w:pStyle w:val="TextBody"/>
        <w:pBdr>
          <w:top w:val="single" w:sz="2" w:space="4" w:color="8E999D"/>
        </w:pBdr>
        <w:bidi w:val="0"/>
        <w:spacing w:before="0" w:after="0"/>
        <w:ind w:left="0" w:right="0" w:hanging="0"/>
        <w:jc w:val="right"/>
        <w:rPr>
          <w:rFonts w:ascii="Arial;Helvetica;sans-serif" w:hAnsi="Arial;Helvetica;sans-serif"/>
          <w:color w:val="8E999D"/>
          <w:sz w:val="14"/>
        </w:rPr>
      </w:pPr>
      <w:r>
        <w:rPr>
          <w:rFonts w:ascii="Arial;Helvetica;sans-serif" w:hAnsi="Arial;Helvetica;sans-serif"/>
          <w:color w:val="8E999D"/>
          <w:sz w:val="14"/>
        </w:rPr>
        <w:t>Elutia Inc. — DRAFT — Not Yet Issued | Page 2</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right"/>
        <w:rPr>
          <w:rFonts w:ascii="Times New Roman;Times;serif" w:hAnsi="Times New Roman;Times;serif"/>
          <w:sz w:val="20"/>
        </w:rPr>
      </w:pPr>
      <w:bookmarkStart w:id="29" w:name="elut-20260817xex99d2.htm"/>
      <w:bookmarkStart w:id="30" w:name="kselut20260817xex99d2"/>
      <w:bookmarkEnd w:id="29"/>
      <w:bookmarkEnd w:id="30"/>
      <w:r>
        <w:rPr>
          <w:rFonts w:ascii="Times New Roman;Times;serif" w:hAnsi="Times New Roman;Times;serif"/>
          <w:sz w:val="20"/>
        </w:rPr>
        <w:t>Exhibit 99.2</w:t>
      </w:r>
      <w:r>
        <w:br w:type="page"/>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UNAUDITED</w:t>
      </w:r>
      <w:r>
        <w:rPr>
          <w:rFonts w:ascii="Helvetica;sans-serif" w:hAnsi="Helvetica;sans-serif"/>
          <w:sz w:val="20"/>
        </w:rPr>
        <w:t xml:space="preserve"> </w:t>
      </w:r>
      <w:r>
        <w:rPr>
          <w:rFonts w:ascii="Times New Roman;Times;serif" w:hAnsi="Times New Roman;Times;serif"/>
          <w:b/>
          <w:sz w:val="20"/>
        </w:rPr>
        <w:t>PRO FORMA CONDENSED CONSOLIDATED FINANCIAL INFORMATION</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On August 17, 2026, Elutia Inc. (the “Company”) completed the previously announced sale of its Women’s Health segment (the “SimpliDerm Business”) to Cellution</w:t>
      </w:r>
      <w:r>
        <w:rPr>
          <w:rFonts w:ascii="Helvetica;sans-serif" w:hAnsi="Helvetica;sans-serif"/>
          <w:sz w:val="20"/>
        </w:rPr>
        <w:t xml:space="preserve"> </w:t>
      </w:r>
      <w:r>
        <w:rPr>
          <w:rFonts w:ascii="Times New Roman;Times;serif" w:hAnsi="Times New Roman;Times;serif"/>
          <w:sz w:val="20"/>
        </w:rPr>
        <w:t>Biologics Inc.</w:t>
      </w:r>
      <w:r>
        <w:rPr>
          <w:rFonts w:ascii="Helvetica;sans-serif" w:hAnsi="Helvetica;sans-serif"/>
          <w:sz w:val="20"/>
        </w:rPr>
        <w:t xml:space="preserve"> </w:t>
      </w:r>
      <w:r>
        <w:rPr>
          <w:rFonts w:ascii="Times New Roman;Times;serif" w:hAnsi="Times New Roman;Times;serif"/>
          <w:sz w:val="20"/>
        </w:rPr>
        <w:t>(“Cellution</w:t>
      </w:r>
      <w:r>
        <w:rPr>
          <w:rFonts w:ascii="Helvetica;sans-serif" w:hAnsi="Helvetica;sans-serif"/>
          <w:sz w:val="20"/>
        </w:rPr>
        <w:t xml:space="preserve"> </w:t>
      </w:r>
      <w:r>
        <w:rPr>
          <w:rFonts w:ascii="Times New Roman;Times;serif" w:hAnsi="Times New Roman;Times;serif"/>
          <w:sz w:val="20"/>
        </w:rPr>
        <w:t>Biologics</w:t>
      </w:r>
      <w:r>
        <w:rPr>
          <w:rFonts w:ascii="Helvetica;sans-serif" w:hAnsi="Helvetica;sans-serif"/>
          <w:sz w:val="20"/>
        </w:rPr>
        <w:t xml:space="preserve">” </w:t>
      </w:r>
      <w:r>
        <w:rPr>
          <w:rFonts w:ascii="Times New Roman;Times;serif" w:hAnsi="Times New Roman;Times;serif"/>
          <w:sz w:val="20"/>
        </w:rPr>
        <w:t>or the “Buyer”). The sale (the “SimpliDerm Sale”)</w:t>
      </w:r>
      <w:r>
        <w:rPr>
          <w:rFonts w:ascii="Helvetica;sans-serif" w:hAnsi="Helvetica;sans-serif"/>
          <w:sz w:val="20"/>
        </w:rPr>
        <w:t xml:space="preserve"> </w:t>
      </w:r>
      <w:r>
        <w:rPr>
          <w:rFonts w:ascii="Times New Roman;Times;serif" w:hAnsi="Times New Roman;Times;serif"/>
          <w:sz w:val="20"/>
        </w:rPr>
        <w:t>was structured as an asset sale, which occurred by divestiture of substantially all of the assets related to the Company’s business of commercializing, manufacturing, distributing, selling and/or marketing human acellular dermis (hADM) products for use in the field. The Company received net cash proceeds of approximately $7.7 million from the SimpliDerm Sale, subject to post-closing adjustments.</w:t>
      </w:r>
      <w:r>
        <w:rPr>
          <w:rFonts w:ascii="Helvetica;sans-serif" w:hAnsi="Helvetica;sans-serif"/>
          <w:sz w:val="20"/>
        </w:rPr>
        <w:t xml:space="preserve"> </w:t>
      </w:r>
      <w:r>
        <w:rPr>
          <w:rFonts w:ascii="Times New Roman;Times;serif" w:hAnsi="Times New Roman;Times;serif"/>
          <w:sz w:val="20"/>
        </w:rPr>
        <w:t>As part of the SimpliDerm</w:t>
      </w:r>
      <w:r>
        <w:rPr>
          <w:rFonts w:ascii="Helvetica;sans-serif" w:hAnsi="Helvetica;sans-serif"/>
          <w:sz w:val="20"/>
        </w:rPr>
        <w:t xml:space="preserve"> </w:t>
      </w:r>
      <w:r>
        <w:rPr>
          <w:rFonts w:ascii="Times New Roman;Times;serif" w:hAnsi="Times New Roman;Times;serif"/>
          <w:sz w:val="20"/>
        </w:rPr>
        <w:t>Sale, the Company may also receive up to $3.0 million in contingent payments based on the satisfaction of transition milestones and revenue targets in the post-close periods. Although the transaction was legally structured as an asset sale, the Company evaluated the transaction under the definition of a business according to Accounting Standards Codification 805-10 and concluded the transferred assets</w:t>
      </w:r>
      <w:r>
        <w:rPr>
          <w:rFonts w:ascii="Helvetica;sans-serif" w:hAnsi="Helvetica;sans-serif"/>
          <w:sz w:val="20"/>
        </w:rPr>
        <w:t xml:space="preserve"> </w:t>
      </w:r>
      <w:r>
        <w:rPr>
          <w:rFonts w:ascii="Times New Roman;Times;serif" w:hAnsi="Times New Roman;Times;serif"/>
          <w:sz w:val="20"/>
        </w:rPr>
        <w:t xml:space="preserve">constituted a business. As a result, the transaction was treated as a divestiture of a business under U.S. GAAP.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Helvetica;sans-serif" w:hAnsi="Helvetica;sans-serif"/>
          <w:sz w:val="20"/>
        </w:rPr>
      </w:pPr>
      <w:r>
        <w:rPr>
          <w:rFonts w:ascii="Times New Roman;Times;serif" w:hAnsi="Times New Roman;Times;serif"/>
          <w:sz w:val="20"/>
        </w:rPr>
        <w:t>The Company determined that the SimpliDerm Sale has met the criteria under Accounting Standards Codification 205-20, Presentation of Financial Statements - Discontinued Operations ("ASC 205-20") to be classified as a discontinued operation, as the SimpliDerm Sale represents a strategic shift that will have a significant effect on the Company's operations and financial results. Accordingly, the Company will account for the SimpliDerm Sale as a discontinued operation beginning in its Quarterly Report on Form 10-Q for the quarter ended September 30, 2026. The Company's estimates as presented in the unaudited</w:t>
      </w:r>
      <w:r>
        <w:rPr>
          <w:rFonts w:ascii="Helvetica;sans-serif" w:hAnsi="Helvetica;sans-serif"/>
          <w:sz w:val="20"/>
        </w:rPr>
        <w:t xml:space="preserve"> </w:t>
      </w:r>
      <w:r>
        <w:rPr>
          <w:rFonts w:ascii="Times New Roman;Times;serif" w:hAnsi="Times New Roman;Times;serif"/>
          <w:sz w:val="20"/>
        </w:rPr>
        <w:t>pro forma condensed consolidated financial information are preliminary and actual results could differ from these estimates as the Company finalizes the discontinued operations accounting to be reported.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unaudited pro forma condensed consolidated financial information is based on historical financial statements of the Company as adjusted for the unaudited pro forma effects of the SimpliDerm Sale. The unaudited pro forma condensed consolidated financial information should be read in conjunction with: </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consolidated financial statements, accompanying notes thereto, and “Management’s Discussion and Analysis of Financial Condition and Results of Operations” included in the Company’s Annual Report on Form 10-K for the year ended December 31, 2025, as filed with the SEC on March 13, 2026;</w:t>
            </w:r>
          </w:p>
        </w:tc>
      </w:tr>
    </w:tbl>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historical condensed consolidated financial statements, accompanying notes thereto, and “Management’s Discussion and Analysis of Financial Condition and Results of Operations” included in the Company’s Quarterly Report on Form 10-Q for the six months ended June 30, 2026 filed with the SEC on August 14, 2026;</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unaudited pro forma condensed consolidated financial information has been prepared in accordance with Article 11 of Regulation S-X, Pro Forma Financial Information (“Article 11”).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Unaudited Pro Forma Condensed Consolidated Balance Sheet as of June 30, 2026 presents the financial position of the Company as if the SimpliDerm Sale had occurred on June 30, 2026.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following Unaudited Pro Forma Condensed Consolidated Statements of Operations for the six months ended June 30, 2026, and for the years ended December 31, 2025 and 2024 present the Company’s results of operations through income from continuing operations and reflect the SimpliDerm Sale as if it had occurred on January 1, 2025. Therefore, there are no Transaction Accounting Adjustments for the year ended December 31, 2024.</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Unaudited Pro Forma Condensed Consolidated Statements of Operations for the six months ended June 30, 2026, and for the years ended December 31, 2025 and 2024 reflect the effects of the SimpliDerm Sale as a discontinued operation. </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sale, the Company and the Buyer entered into a Transition Services Agreement (“TSA”), effective August 17, 2026, whereby the Company will provide certain post-closing services to the Buyer on a transitional basis. The unaudited pro forma condensed consolidated financial information does not include any fees that may be earned under the TSA as the fees are not expected to be material.</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unaudited pro forma adjustments and related assumptions are described in the accompanying notes to the unaudited pro forma condensed consolidated financial information. The unaudited pro forma condensed consolidated financial information has been prepared based upon currently available information and assumptions that are deemed appropriate by the Company’s management. The unaudited pro forma condensed consolidated financial information is for informational and illustrative purposes only and is not intended to be indicative of what actual results would have been had the SimpliDerm Sale occurred on the dates assumed, nor does such data purport to represent the consolidated financial results of the Company for future periods. The pro forma adjustments are based on currently available information, estimates and assumptions that the Company believes are reasonable in order to reflect, on a pro forma basis, the impact of this disposition on our historical financial information. The actual financial position and results of operations may differ significantly from the unaudited pro forma amounts reflected herein due to a variety of factors.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 xml:space="preserve">PRO FORMA CONDENSED CONSOLIDATED BALANCE SHEET </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As of June 30, 2026</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lineRule="auto" w:line="307" w:before="0" w:after="160"/>
        <w:ind w:left="0" w:right="0" w:hanging="36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307" w:before="0" w:after="16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034"/>
        <w:gridCol w:w="199"/>
        <w:gridCol w:w="791"/>
        <w:gridCol w:w="460"/>
        <w:gridCol w:w="1346"/>
        <w:gridCol w:w="281"/>
        <w:gridCol w:w="1639"/>
        <w:gridCol w:w="606"/>
        <w:gridCol w:w="169"/>
        <w:gridCol w:w="353"/>
        <w:gridCol w:w="925"/>
        <w:gridCol w:w="220"/>
        <w:gridCol w:w="156"/>
        <w:gridCol w:w="196"/>
        <w:gridCol w:w="830"/>
      </w:tblGrid>
      <w:tr>
        <w:trPr/>
        <w:tc>
          <w:tcPr>
            <w:tcW w:w="2034" w:type="dxa"/>
            <w:tcBorders/>
            <w:vAlign w:val="center"/>
          </w:tcPr>
          <w:p>
            <w:pPr>
              <w:pStyle w:val="TableContents"/>
              <w:bidi w:val="0"/>
              <w:spacing w:before="0" w:after="283"/>
              <w:ind w:left="0" w:right="0" w:hanging="0"/>
              <w:jc w:val="left"/>
              <w:rPr>
                <w:sz w:val="4"/>
                <w:szCs w:val="4"/>
              </w:rPr>
            </w:pPr>
            <w:r>
              <w:rPr>
                <w:sz w:val="4"/>
                <w:szCs w:val="4"/>
              </w:rPr>
            </w:r>
          </w:p>
        </w:tc>
        <w:tc>
          <w:tcPr>
            <w:tcW w:w="9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Historical</w:t>
            </w:r>
          </w:p>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reported)</w:t>
            </w:r>
          </w:p>
        </w:tc>
        <w:tc>
          <w:tcPr>
            <w:tcW w:w="18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SimpliDerm Discontinued Operations </w:t>
              <w:br/>
              <w:t>(Note a)</w:t>
            </w:r>
          </w:p>
        </w:tc>
        <w:tc>
          <w:tcPr>
            <w:tcW w:w="281" w:type="dxa"/>
            <w:tcBorders>
              <w:bottom w:val="single" w:sz="2" w:space="0" w:color="000000"/>
            </w:tcBorders>
            <w:tcMar>
              <w:bottom w:w="28" w:type="dxa"/>
            </w:tcMar>
            <w:vAlign w:val="center"/>
          </w:tcPr>
          <w:p>
            <w:pPr>
              <w:pStyle w:val="TableContents"/>
              <w:bidi w:val="0"/>
              <w:spacing w:lineRule="auto" w:line="307" w:before="0" w:after="160"/>
              <w:ind w:left="0" w:right="0" w:hanging="0"/>
              <w:jc w:val="center"/>
              <w:rPr/>
            </w:pPr>
            <w:r>
              <w:rPr/>
              <w:t>​</w:t>
            </w:r>
          </w:p>
        </w:tc>
        <w:tc>
          <w:tcPr>
            <w:tcW w:w="22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Adjusted for Discontinued Operations </w:t>
            </w:r>
          </w:p>
        </w:tc>
        <w:tc>
          <w:tcPr>
            <w:tcW w:w="1667"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Transaction Accounting</w:t>
              <w:br/>
              <w:t>Adjustments</w:t>
            </w:r>
          </w:p>
        </w:tc>
        <w:tc>
          <w:tcPr>
            <w:tcW w:w="1182"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Pro Forma</w:t>
            </w:r>
          </w:p>
        </w:tc>
      </w:tr>
      <w:tr>
        <w:trPr/>
        <w:tc>
          <w:tcPr>
            <w:tcW w:w="203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307" w:before="0" w:after="160"/>
              <w:ind w:left="0" w:right="0" w:hanging="0"/>
              <w:jc w:val="right"/>
              <w:rPr/>
            </w:pPr>
            <w:r>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307" w:before="0" w:after="160"/>
              <w:ind w:left="0" w:right="0" w:hanging="0"/>
              <w:jc w:val="right"/>
              <w:rPr/>
            </w:pPr>
            <w:r>
              <w:rPr/>
              <w:t>​</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307" w:before="0" w:after="160"/>
              <w:ind w:left="0" w:right="0" w:hanging="0"/>
              <w:jc w:val="right"/>
              <w:rPr/>
            </w:pPr>
            <w:r>
              <w:rPr/>
              <w:t>​</w:t>
            </w:r>
          </w:p>
        </w:tc>
        <w:tc>
          <w:tcPr>
            <w:tcW w:w="376"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307" w:before="0" w:after="160"/>
              <w:ind w:left="0" w:right="0" w:hanging="0"/>
              <w:jc w:val="right"/>
              <w:rPr/>
            </w:pPr>
            <w:r>
              <w:rPr/>
              <w:t>​</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before="0" w:after="283"/>
              <w:ind w:left="0" w:right="0" w:hanging="0"/>
              <w:jc w:val="left"/>
              <w:rPr>
                <w:sz w:val="4"/>
                <w:szCs w:val="4"/>
              </w:rPr>
            </w:pPr>
            <w:r>
              <w:rPr>
                <w:sz w:val="4"/>
                <w:szCs w:val="4"/>
              </w:rPr>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307" w:before="0" w:after="160"/>
              <w:ind w:left="0" w:right="0" w:hanging="0"/>
              <w:jc w:val="right"/>
              <w:rPr/>
            </w:pPr>
            <w:r>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307" w:before="0" w:after="160"/>
              <w:ind w:left="0" w:right="0" w:hanging="0"/>
              <w:jc w:val="right"/>
              <w:rPr/>
            </w:pPr>
            <w:r>
              <w:rPr/>
              <w:t>​</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307" w:before="0" w:after="160"/>
              <w:ind w:left="0" w:right="0" w:hanging="0"/>
              <w:jc w:val="right"/>
              <w:rPr/>
            </w:pPr>
            <w:r>
              <w:rPr/>
              <w:t>​</w:t>
            </w:r>
          </w:p>
        </w:tc>
        <w:tc>
          <w:tcPr>
            <w:tcW w:w="37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307" w:before="0" w:after="160"/>
              <w:ind w:left="0" w:right="0" w:hanging="0"/>
              <w:jc w:val="right"/>
              <w:rPr/>
            </w:pPr>
            <w:r>
              <w:rPr/>
              <w:t>​</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19,896</w:t>
            </w:r>
          </w:p>
        </w:tc>
        <w:tc>
          <w:tcPr>
            <w:tcW w:w="4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19,896</w:t>
            </w:r>
          </w:p>
        </w:tc>
        <w:tc>
          <w:tcPr>
            <w:tcW w:w="35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7,700</w:t>
            </w:r>
          </w:p>
        </w:tc>
        <w:tc>
          <w:tcPr>
            <w:tcW w:w="376" w:type="dxa"/>
            <w:gridSpan w:val="2"/>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(b, e)</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27,596</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1,438</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1,438</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1,438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Inventory </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2,649</w:t>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(2,379)</w:t>
            </w:r>
          </w:p>
        </w:tc>
        <w:tc>
          <w:tcPr>
            <w:tcW w:w="2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(d)</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270</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270</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Insurance receivables of litigation costs</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3,854</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3,854</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3,854</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1,378</w:t>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1,378</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1,378</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Divestiture proceeds receivable</w:t>
            </w:r>
          </w:p>
        </w:tc>
        <w:tc>
          <w:tcPr>
            <w:tcW w:w="199" w:type="dxa"/>
            <w:tcBorders/>
            <w:vAlign w:val="center"/>
          </w:tcPr>
          <w:p>
            <w:pPr>
              <w:pStyle w:val="TableContents"/>
              <w:bidi w:val="0"/>
              <w:spacing w:lineRule="auto" w:line="307" w:before="0" w:after="160"/>
              <w:ind w:left="0" w:right="0" w:hanging="0"/>
              <w:jc w:val="right"/>
              <w:rPr>
                <w:caps w:val="false"/>
                <w:smallCaps w:val="false"/>
                <w:color w:val="000000"/>
              </w:rPr>
            </w:pPr>
            <w:r>
              <w:rPr>
                <w:caps w:val="false"/>
                <w:smallCaps w:val="false"/>
                <w:color w:val="000000"/>
              </w:rPr>
              <w:t>​</w:t>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8,000</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307" w:before="0" w:after="160"/>
              <w:ind w:left="0" w:right="0" w:hanging="0"/>
              <w:jc w:val="right"/>
              <w:rPr/>
            </w:pPr>
            <w:r>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8,000</w:t>
            </w:r>
          </w:p>
        </w:tc>
        <w:tc>
          <w:tcPr>
            <w:tcW w:w="353" w:type="dxa"/>
            <w:tcBorders/>
            <w:vAlign w:val="center"/>
          </w:tcPr>
          <w:p>
            <w:pPr>
              <w:pStyle w:val="TableContents"/>
              <w:bidi w:val="0"/>
              <w:spacing w:lineRule="auto" w:line="307" w:before="0" w:after="160"/>
              <w:ind w:left="0" w:right="0" w:hanging="0"/>
              <w:jc w:val="right"/>
              <w:rPr/>
            </w:pPr>
            <w:r>
              <w:rPr/>
              <w:t>​</w:t>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lineRule="auto" w:line="307" w:before="0" w:after="160"/>
              <w:ind w:left="0" w:right="0" w:hanging="0"/>
              <w:jc w:val="right"/>
              <w:rPr/>
            </w:pPr>
            <w:r>
              <w:rPr/>
              <w:t>​</w:t>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8,000</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199"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79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37,215</w:t>
            </w:r>
          </w:p>
        </w:tc>
        <w:tc>
          <w:tcPr>
            <w:tcW w:w="460" w:type="dxa"/>
            <w:tcBorders>
              <w:top w:val="single" w:sz="2" w:space="0" w:color="000000"/>
            </w:tcBorders>
            <w:shd w:fill="CCEEFF" w:val="clear"/>
            <w:tcMar>
              <w:top w:w="28" w:type="dxa"/>
            </w:tcMar>
            <w:vAlign w:val="center"/>
          </w:tcPr>
          <w:p>
            <w:pPr>
              <w:pStyle w:val="TableContents"/>
              <w:bidi w:val="0"/>
              <w:spacing w:lineRule="auto" w:line="307" w:before="0" w:after="160"/>
              <w:ind w:left="0" w:right="0" w:hanging="0"/>
              <w:jc w:val="right"/>
              <w:rPr/>
            </w:pPr>
            <w:r>
              <w:rPr/>
              <w:t>​</w:t>
            </w:r>
          </w:p>
        </w:tc>
        <w:tc>
          <w:tcPr>
            <w:tcW w:w="13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(2,379)</w:t>
            </w:r>
          </w:p>
        </w:tc>
        <w:tc>
          <w:tcPr>
            <w:tcW w:w="281" w:type="dxa"/>
            <w:tcBorders>
              <w:top w:val="single" w:sz="2" w:space="0" w:color="000000"/>
            </w:tcBorders>
            <w:shd w:fill="CCEEFF" w:val="clear"/>
            <w:tcMar>
              <w:top w:w="28" w:type="dxa"/>
            </w:tcMar>
            <w:vAlign w:val="center"/>
          </w:tcPr>
          <w:p>
            <w:pPr>
              <w:pStyle w:val="TableContents"/>
              <w:bidi w:val="0"/>
              <w:spacing w:lineRule="auto" w:line="307" w:before="0" w:after="160"/>
              <w:ind w:left="0" w:right="0" w:hanging="0"/>
              <w:jc w:val="right"/>
              <w:rPr/>
            </w:pPr>
            <w:r>
              <w:rPr/>
              <w:t>​</w:t>
            </w:r>
          </w:p>
        </w:tc>
        <w:tc>
          <w:tcPr>
            <w:tcW w:w="1639" w:type="dxa"/>
            <w:tcBorders>
              <w:top w:val="single" w:sz="2" w:space="0" w:color="000000"/>
            </w:tcBorders>
            <w:shd w:fill="CCEEFF" w:val="clear"/>
            <w:tcMar>
              <w:top w:w="28" w:type="dxa"/>
            </w:tcMar>
            <w:vAlign w:val="center"/>
          </w:tcPr>
          <w:p>
            <w:pPr>
              <w:pStyle w:val="TableContents"/>
              <w:bidi w:val="0"/>
              <w:spacing w:lineRule="auto" w:line="307" w:before="0" w:after="160"/>
              <w:ind w:left="0" w:right="0" w:hanging="0"/>
              <w:jc w:val="right"/>
              <w:rPr/>
            </w:pPr>
            <w:r>
              <w:rPr/>
              <w:t>​</w:t>
            </w:r>
          </w:p>
        </w:tc>
        <w:tc>
          <w:tcPr>
            <w:tcW w:w="775" w:type="dxa"/>
            <w:gridSpan w:val="2"/>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34,836</w:t>
            </w:r>
          </w:p>
        </w:tc>
        <w:tc>
          <w:tcPr>
            <w:tcW w:w="353"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92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7,700</w:t>
            </w:r>
          </w:p>
        </w:tc>
        <w:tc>
          <w:tcPr>
            <w:tcW w:w="376" w:type="dxa"/>
            <w:gridSpan w:val="2"/>
            <w:tcBorders>
              <w:top w:val="single" w:sz="2" w:space="0" w:color="000000"/>
            </w:tcBorders>
            <w:shd w:fill="CCEEFF" w:val="clear"/>
            <w:tcMar>
              <w:top w:w="28" w:type="dxa"/>
            </w:tcMar>
            <w:vAlign w:val="center"/>
          </w:tcPr>
          <w:p>
            <w:pPr>
              <w:pStyle w:val="TableContents"/>
              <w:bidi w:val="0"/>
              <w:spacing w:lineRule="auto" w:line="307" w:before="0" w:after="160"/>
              <w:ind w:left="0" w:right="0" w:hanging="0"/>
              <w:jc w:val="center"/>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83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42,536</w:t>
            </w:r>
          </w:p>
        </w:tc>
      </w:tr>
      <w:tr>
        <w:trPr/>
        <w:tc>
          <w:tcPr>
            <w:tcW w:w="2034" w:type="dxa"/>
            <w:tcBorders/>
            <w:vAlign w:val="center"/>
          </w:tcPr>
          <w:p>
            <w:pPr>
              <w:pStyle w:val="TableContents"/>
              <w:bidi w:val="0"/>
              <w:spacing w:before="0" w:after="283"/>
              <w:ind w:left="0" w:right="0" w:hanging="0"/>
              <w:jc w:val="left"/>
              <w:rPr>
                <w:sz w:val="4"/>
                <w:szCs w:val="4"/>
              </w:rPr>
            </w:pPr>
            <w:r>
              <w:rPr>
                <w:sz w:val="4"/>
                <w:szCs w:val="4"/>
              </w:rPr>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before="0" w:after="283"/>
              <w:ind w:left="0" w:right="0" w:hanging="0"/>
              <w:jc w:val="left"/>
              <w:rPr>
                <w:sz w:val="4"/>
                <w:szCs w:val="4"/>
              </w:rPr>
            </w:pPr>
            <w:r>
              <w:rPr>
                <w:sz w:val="4"/>
                <w:szCs w:val="4"/>
              </w:rPr>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307" w:before="0" w:after="160"/>
              <w:ind w:left="0" w:right="0" w:hanging="0"/>
              <w:jc w:val="right"/>
              <w:rPr/>
            </w:pPr>
            <w:r>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307" w:before="0" w:after="160"/>
              <w:ind w:left="0" w:right="0" w:hanging="0"/>
              <w:jc w:val="right"/>
              <w:rPr/>
            </w:pPr>
            <w:r>
              <w:rPr/>
              <w:t>​</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307" w:before="0" w:after="160"/>
              <w:ind w:left="0" w:right="0" w:hanging="0"/>
              <w:jc w:val="right"/>
              <w:rPr/>
            </w:pPr>
            <w:r>
              <w:rPr/>
              <w:t>​</w:t>
            </w:r>
          </w:p>
        </w:tc>
        <w:tc>
          <w:tcPr>
            <w:tcW w:w="37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307" w:before="0" w:after="160"/>
              <w:ind w:left="0" w:right="0" w:hanging="0"/>
              <w:jc w:val="right"/>
              <w:rPr/>
            </w:pPr>
            <w:r>
              <w:rPr/>
              <w:t>​</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2,922</w:t>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2,922</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2,922</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990</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990</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990</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 and other</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2,522</w:t>
            </w:r>
          </w:p>
        </w:tc>
        <w:tc>
          <w:tcPr>
            <w:tcW w:w="460" w:type="dxa"/>
            <w:tcBorders/>
            <w:shd w:fill="CCEEFF" w:val="clear"/>
            <w:vAlign w:val="center"/>
          </w:tcPr>
          <w:p>
            <w:pPr>
              <w:pStyle w:val="TableContents"/>
              <w:bidi w:val="0"/>
              <w:spacing w:lineRule="auto" w:line="307" w:before="0" w:after="160"/>
              <w:ind w:left="0" w:right="0" w:hanging="0"/>
              <w:jc w:val="left"/>
              <w:rPr/>
            </w:pPr>
            <w:r>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2,522</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2,522</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199"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791"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43,649</w:t>
            </w:r>
          </w:p>
        </w:tc>
        <w:tc>
          <w:tcPr>
            <w:tcW w:w="460"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1346"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(2,379)</w:t>
            </w:r>
          </w:p>
        </w:tc>
        <w:tc>
          <w:tcPr>
            <w:tcW w:w="281" w:type="dxa"/>
            <w:tcBorders>
              <w:top w:val="single" w:sz="2" w:space="0" w:color="000000"/>
              <w:bottom w:val="double" w:sz="6" w:space="0" w:color="000000"/>
            </w:tcBorders>
            <w:tcMar>
              <w:top w:w="28" w:type="dxa"/>
              <w:bottom w:w="28" w:type="dxa"/>
            </w:tcMar>
            <w:vAlign w:val="center"/>
          </w:tcPr>
          <w:p>
            <w:pPr>
              <w:pStyle w:val="TableContents"/>
              <w:bidi w:val="0"/>
              <w:spacing w:lineRule="auto" w:line="307" w:before="0" w:after="160"/>
              <w:ind w:left="0" w:right="0" w:hanging="0"/>
              <w:jc w:val="right"/>
              <w:rPr/>
            </w:pPr>
            <w:r>
              <w:rPr/>
              <w:t>​</w:t>
            </w:r>
          </w:p>
        </w:tc>
        <w:tc>
          <w:tcPr>
            <w:tcW w:w="1639"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775" w:type="dxa"/>
            <w:gridSpan w:val="2"/>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41,270</w:t>
            </w:r>
          </w:p>
        </w:tc>
        <w:tc>
          <w:tcPr>
            <w:tcW w:w="353"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925"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7,700</w:t>
            </w:r>
          </w:p>
        </w:tc>
        <w:tc>
          <w:tcPr>
            <w:tcW w:w="376" w:type="dxa"/>
            <w:gridSpan w:val="2"/>
            <w:tcBorders>
              <w:top w:val="single" w:sz="2" w:space="0" w:color="000000"/>
              <w:bottom w:val="double" w:sz="6" w:space="0" w:color="000000"/>
            </w:tcBorders>
            <w:tcMar>
              <w:top w:w="28" w:type="dxa"/>
              <w:bottom w:w="28" w:type="dxa"/>
            </w:tcMar>
            <w:vAlign w:val="center"/>
          </w:tcPr>
          <w:p>
            <w:pPr>
              <w:pStyle w:val="TableContents"/>
              <w:bidi w:val="0"/>
              <w:spacing w:lineRule="auto" w:line="307" w:before="0" w:after="160"/>
              <w:ind w:left="0" w:right="0" w:hanging="0"/>
              <w:jc w:val="center"/>
              <w:rPr/>
            </w:pPr>
            <w:r>
              <w:rPr/>
              <w:t>​</w:t>
            </w:r>
          </w:p>
        </w:tc>
        <w:tc>
          <w:tcPr>
            <w:tcW w:w="196"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830" w:type="dxa"/>
            <w:tcBorders>
              <w:top w:val="single" w:sz="2"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48,970</w:t>
            </w:r>
          </w:p>
        </w:tc>
      </w:tr>
      <w:tr>
        <w:trPr/>
        <w:tc>
          <w:tcPr>
            <w:tcW w:w="2034"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9" w:type="dxa"/>
            <w:tcBorders>
              <w:top w:val="double" w:sz="6"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307" w:before="0" w:after="160"/>
              <w:ind w:left="0" w:right="0" w:hanging="0"/>
              <w:jc w:val="right"/>
              <w:rPr/>
            </w:pPr>
            <w:r>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307" w:before="0" w:after="160"/>
              <w:ind w:left="0" w:right="0" w:hanging="0"/>
              <w:jc w:val="right"/>
              <w:rPr/>
            </w:pPr>
            <w:r>
              <w:rPr/>
              <w:t>​</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307" w:before="0" w:after="160"/>
              <w:ind w:left="0" w:right="0" w:hanging="0"/>
              <w:jc w:val="right"/>
              <w:rPr/>
            </w:pPr>
            <w:r>
              <w:rPr/>
              <w:t>​</w:t>
            </w:r>
          </w:p>
        </w:tc>
        <w:tc>
          <w:tcPr>
            <w:tcW w:w="376"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307" w:before="0" w:after="160"/>
              <w:ind w:left="0" w:right="0" w:hanging="0"/>
              <w:jc w:val="right"/>
              <w:rPr/>
            </w:pPr>
            <w:r>
              <w:rPr/>
              <w:t>​</w:t>
            </w:r>
          </w:p>
        </w:tc>
      </w:tr>
      <w:tr>
        <w:trPr/>
        <w:tc>
          <w:tcPr>
            <w:tcW w:w="2034"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Liabilities and Stockholders' Deficit</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before="0" w:after="283"/>
              <w:ind w:left="0" w:right="0" w:hanging="0"/>
              <w:jc w:val="left"/>
              <w:rPr>
                <w:sz w:val="4"/>
                <w:szCs w:val="4"/>
              </w:rPr>
            </w:pPr>
            <w:r>
              <w:rPr>
                <w:sz w:val="4"/>
                <w:szCs w:val="4"/>
              </w:rPr>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307" w:before="0" w:after="160"/>
              <w:ind w:left="0" w:right="0" w:hanging="0"/>
              <w:jc w:val="right"/>
              <w:rPr/>
            </w:pPr>
            <w:r>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307" w:before="0" w:after="160"/>
              <w:ind w:left="0" w:right="0" w:hanging="0"/>
              <w:jc w:val="right"/>
              <w:rPr/>
            </w:pPr>
            <w:r>
              <w:rPr/>
              <w:t>​</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307" w:before="0" w:after="160"/>
              <w:ind w:left="0" w:right="0" w:hanging="0"/>
              <w:jc w:val="right"/>
              <w:rPr/>
            </w:pPr>
            <w:r>
              <w:rPr/>
              <w:t>​</w:t>
            </w:r>
          </w:p>
        </w:tc>
        <w:tc>
          <w:tcPr>
            <w:tcW w:w="37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307" w:before="0" w:after="160"/>
              <w:ind w:left="0" w:right="0" w:hanging="0"/>
              <w:jc w:val="right"/>
              <w:rPr/>
            </w:pPr>
            <w:r>
              <w:rPr/>
              <w:t>​</w:t>
            </w:r>
          </w:p>
        </w:tc>
      </w:tr>
      <w:tr>
        <w:trPr/>
        <w:tc>
          <w:tcPr>
            <w:tcW w:w="2034"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307" w:before="0" w:after="160"/>
              <w:ind w:left="0" w:right="0" w:hanging="0"/>
              <w:jc w:val="right"/>
              <w:rPr/>
            </w:pPr>
            <w:r>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307" w:before="0" w:after="160"/>
              <w:ind w:left="0" w:right="0" w:hanging="0"/>
              <w:jc w:val="right"/>
              <w:rPr/>
            </w:pPr>
            <w:r>
              <w:rPr/>
              <w:t>​</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307" w:before="0" w:after="160"/>
              <w:ind w:left="0" w:right="0" w:hanging="0"/>
              <w:jc w:val="right"/>
              <w:rPr/>
            </w:pPr>
            <w:r>
              <w:rPr/>
              <w:t>​</w:t>
            </w:r>
          </w:p>
        </w:tc>
        <w:tc>
          <w:tcPr>
            <w:tcW w:w="376"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307" w:before="0" w:after="160"/>
              <w:ind w:left="0" w:right="0" w:hanging="0"/>
              <w:jc w:val="right"/>
              <w:rPr/>
            </w:pPr>
            <w:r>
              <w:rPr/>
              <w:t>​</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before="0" w:after="283"/>
              <w:ind w:left="0" w:right="0" w:hanging="0"/>
              <w:jc w:val="left"/>
              <w:rPr>
                <w:sz w:val="4"/>
                <w:szCs w:val="4"/>
              </w:rPr>
            </w:pPr>
            <w:r>
              <w:rPr>
                <w:sz w:val="4"/>
                <w:szCs w:val="4"/>
              </w:rPr>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307" w:before="0" w:after="160"/>
              <w:ind w:left="0" w:right="0" w:hanging="0"/>
              <w:jc w:val="right"/>
              <w:rPr/>
            </w:pPr>
            <w:r>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307" w:before="0" w:after="160"/>
              <w:ind w:left="0" w:right="0" w:hanging="0"/>
              <w:jc w:val="right"/>
              <w:rPr/>
            </w:pPr>
            <w:r>
              <w:rPr/>
              <w:t>​</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307" w:before="0" w:after="160"/>
              <w:ind w:left="0" w:right="0" w:hanging="0"/>
              <w:jc w:val="right"/>
              <w:rPr/>
            </w:pPr>
            <w:r>
              <w:rPr/>
              <w:t>​</w:t>
            </w:r>
          </w:p>
        </w:tc>
        <w:tc>
          <w:tcPr>
            <w:tcW w:w="37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307" w:before="0" w:after="160"/>
              <w:ind w:left="0" w:right="0" w:hanging="0"/>
              <w:jc w:val="right"/>
              <w:rPr/>
            </w:pPr>
            <w:r>
              <w:rPr/>
              <w:t>​</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3,531</w:t>
            </w:r>
          </w:p>
        </w:tc>
        <w:tc>
          <w:tcPr>
            <w:tcW w:w="4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3,531</w:t>
            </w:r>
          </w:p>
        </w:tc>
        <w:tc>
          <w:tcPr>
            <w:tcW w:w="35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3,531</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4,798</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4,798</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7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5,198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 portion of revenue interest obligation</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6,412</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6,412</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6,412</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Contingent liability for legal proceedings</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5,619</w:t>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5,619</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5,619</w:t>
            </w:r>
          </w:p>
        </w:tc>
      </w:tr>
      <w:tr>
        <w:trPr/>
        <w:tc>
          <w:tcPr>
            <w:tcW w:w="2034" w:type="dxa"/>
            <w:tcBorders>
              <w:bottom w:val="single" w:sz="2" w:space="0" w:color="FFFFFF"/>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Current operating lease liabilities </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685</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685</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685</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199"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79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21,045</w:t>
            </w:r>
          </w:p>
        </w:tc>
        <w:tc>
          <w:tcPr>
            <w:tcW w:w="460" w:type="dxa"/>
            <w:tcBorders>
              <w:top w:val="single" w:sz="2" w:space="0" w:color="000000"/>
            </w:tcBorders>
            <w:shd w:fill="CCEEFF" w:val="clear"/>
            <w:tcMar>
              <w:top w:w="28" w:type="dxa"/>
            </w:tcMar>
            <w:vAlign w:val="center"/>
          </w:tcPr>
          <w:p>
            <w:pPr>
              <w:pStyle w:val="TableContents"/>
              <w:bidi w:val="0"/>
              <w:spacing w:lineRule="auto" w:line="307" w:before="0" w:after="160"/>
              <w:ind w:left="0" w:right="0" w:hanging="0"/>
              <w:jc w:val="right"/>
              <w:rPr/>
            </w:pPr>
            <w:r>
              <w:rPr/>
              <w:t>​</w:t>
            </w:r>
          </w:p>
        </w:tc>
        <w:tc>
          <w:tcPr>
            <w:tcW w:w="13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top w:val="single" w:sz="2" w:space="0" w:color="000000"/>
            </w:tcBorders>
            <w:shd w:fill="CCEEFF" w:val="clear"/>
            <w:tcMar>
              <w:top w:w="28" w:type="dxa"/>
            </w:tcMar>
            <w:vAlign w:val="center"/>
          </w:tcPr>
          <w:p>
            <w:pPr>
              <w:pStyle w:val="TableContents"/>
              <w:bidi w:val="0"/>
              <w:spacing w:lineRule="auto" w:line="307" w:before="0" w:after="160"/>
              <w:ind w:left="0" w:right="0" w:hanging="0"/>
              <w:jc w:val="right"/>
              <w:rPr/>
            </w:pPr>
            <w:r>
              <w:rPr/>
              <w:t>​</w:t>
            </w:r>
          </w:p>
        </w:tc>
        <w:tc>
          <w:tcPr>
            <w:tcW w:w="1639" w:type="dxa"/>
            <w:tcBorders>
              <w:top w:val="single" w:sz="2" w:space="0" w:color="000000"/>
            </w:tcBorders>
            <w:shd w:fill="CCEEFF" w:val="clear"/>
            <w:tcMar>
              <w:top w:w="28" w:type="dxa"/>
            </w:tcMar>
            <w:vAlign w:val="center"/>
          </w:tcPr>
          <w:p>
            <w:pPr>
              <w:pStyle w:val="TableContents"/>
              <w:bidi w:val="0"/>
              <w:spacing w:lineRule="auto" w:line="307" w:before="0" w:after="160"/>
              <w:ind w:left="0" w:right="0" w:hanging="0"/>
              <w:jc w:val="right"/>
              <w:rPr/>
            </w:pPr>
            <w:r>
              <w:rPr/>
              <w:t>​</w:t>
            </w:r>
          </w:p>
        </w:tc>
        <w:tc>
          <w:tcPr>
            <w:tcW w:w="775" w:type="dxa"/>
            <w:gridSpan w:val="2"/>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21,045</w:t>
            </w:r>
          </w:p>
        </w:tc>
        <w:tc>
          <w:tcPr>
            <w:tcW w:w="353"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92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 xml:space="preserve">400 </w:t>
            </w:r>
          </w:p>
        </w:tc>
        <w:tc>
          <w:tcPr>
            <w:tcW w:w="376" w:type="dxa"/>
            <w:gridSpan w:val="2"/>
            <w:tcBorders>
              <w:top w:val="single" w:sz="2" w:space="0" w:color="000000"/>
            </w:tcBorders>
            <w:shd w:fill="CCEEFF" w:val="clear"/>
            <w:tcMar>
              <w:top w:w="28" w:type="dxa"/>
            </w:tcMar>
            <w:vAlign w:val="center"/>
          </w:tcPr>
          <w:p>
            <w:pPr>
              <w:pStyle w:val="TableContents"/>
              <w:bidi w:val="0"/>
              <w:spacing w:lineRule="auto" w:line="307" w:before="0" w:after="160"/>
              <w:ind w:left="0" w:right="0" w:hanging="0"/>
              <w:jc w:val="center"/>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83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21,445</w:t>
            </w:r>
          </w:p>
        </w:tc>
      </w:tr>
      <w:tr>
        <w:trPr/>
        <w:tc>
          <w:tcPr>
            <w:tcW w:w="2034" w:type="dxa"/>
            <w:tcBorders/>
            <w:vAlign w:val="center"/>
          </w:tcPr>
          <w:p>
            <w:pPr>
              <w:pStyle w:val="TableContents"/>
              <w:bidi w:val="0"/>
              <w:spacing w:lineRule="auto" w:line="285" w:before="0" w:after="0"/>
              <w:ind w:left="0" w:right="0" w:hanging="0"/>
              <w:jc w:val="left"/>
              <w:rPr/>
            </w:pPr>
            <w:r>
              <w:rPr/>
              <w:t> </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307" w:before="0" w:after="160"/>
              <w:ind w:left="0" w:right="0" w:hanging="0"/>
              <w:jc w:val="right"/>
              <w:rPr/>
            </w:pPr>
            <w:r>
              <w:rPr/>
              <w:t>​</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307" w:before="0" w:after="160"/>
              <w:ind w:left="0" w:right="0" w:hanging="0"/>
              <w:jc w:val="right"/>
              <w:rPr/>
            </w:pPr>
            <w:r>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307" w:before="0" w:after="160"/>
              <w:ind w:left="0" w:right="0" w:hanging="0"/>
              <w:jc w:val="right"/>
              <w:rPr/>
            </w:pPr>
            <w:r>
              <w:rPr/>
              <w:t>​</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307" w:before="0" w:after="160"/>
              <w:ind w:left="0" w:right="0" w:hanging="0"/>
              <w:jc w:val="right"/>
              <w:rPr/>
            </w:pPr>
            <w:r>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307" w:before="0" w:after="160"/>
              <w:ind w:left="0" w:right="0" w:hanging="0"/>
              <w:jc w:val="right"/>
              <w:rPr/>
            </w:pPr>
            <w:r>
              <w:rPr/>
              <w:t>​</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Long-term revenue interest obligation</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3,163</w:t>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3,163</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3,163</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Long-term operating lease liabilities</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3,695</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3,695</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3,695</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19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79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27,903</w:t>
            </w:r>
          </w:p>
        </w:tc>
        <w:tc>
          <w:tcPr>
            <w:tcW w:w="4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07" w:before="0" w:after="160"/>
              <w:ind w:left="0" w:right="0" w:hanging="0"/>
              <w:jc w:val="right"/>
              <w:rPr/>
            </w:pPr>
            <w:r>
              <w:rPr/>
              <w:t>​</w:t>
            </w:r>
          </w:p>
        </w:tc>
        <w:tc>
          <w:tcPr>
            <w:tcW w:w="13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07" w:before="0" w:after="160"/>
              <w:ind w:left="0" w:right="0" w:hanging="0"/>
              <w:jc w:val="right"/>
              <w:rPr/>
            </w:pPr>
            <w:r>
              <w:rPr/>
              <w:t>​</w:t>
            </w:r>
          </w:p>
        </w:tc>
        <w:tc>
          <w:tcPr>
            <w:tcW w:w="16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07" w:before="0" w:after="160"/>
              <w:ind w:left="0" w:right="0" w:hanging="0"/>
              <w:jc w:val="right"/>
              <w:rPr/>
            </w:pPr>
            <w:r>
              <w:rPr/>
              <w:t>​</w:t>
            </w:r>
          </w:p>
        </w:tc>
        <w:tc>
          <w:tcPr>
            <w:tcW w:w="775"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27,903</w:t>
            </w:r>
          </w:p>
        </w:tc>
        <w:tc>
          <w:tcPr>
            <w:tcW w:w="35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92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76"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07" w:before="0" w:after="160"/>
              <w:ind w:left="0" w:right="0" w:hanging="0"/>
              <w:jc w:val="center"/>
              <w:rPr/>
            </w:pPr>
            <w:r>
              <w:rPr/>
              <w:t>​</w:t>
            </w:r>
          </w:p>
        </w:tc>
        <w:tc>
          <w:tcPr>
            <w:tcW w:w="1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83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28,303</w:t>
            </w:r>
          </w:p>
        </w:tc>
      </w:tr>
      <w:tr>
        <w:trPr/>
        <w:tc>
          <w:tcPr>
            <w:tcW w:w="2034" w:type="dxa"/>
            <w:tcBorders/>
            <w:vAlign w:val="center"/>
          </w:tcPr>
          <w:p>
            <w:pPr>
              <w:pStyle w:val="TableContents"/>
              <w:bidi w:val="0"/>
              <w:spacing w:before="0" w:after="283"/>
              <w:ind w:left="0" w:right="0" w:hanging="0"/>
              <w:jc w:val="left"/>
              <w:rPr>
                <w:sz w:val="4"/>
                <w:szCs w:val="4"/>
              </w:rPr>
            </w:pPr>
            <w:r>
              <w:rPr>
                <w:sz w:val="4"/>
                <w:szCs w:val="4"/>
              </w:rPr>
            </w:r>
          </w:p>
        </w:tc>
        <w:tc>
          <w:tcPr>
            <w:tcW w:w="19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791" w:type="dxa"/>
            <w:tcBorders>
              <w:top w:val="single" w:sz="2" w:space="0" w:color="000000"/>
            </w:tcBorders>
            <w:tcMar>
              <w:top w:w="28" w:type="dxa"/>
            </w:tcMar>
            <w:vAlign w:val="center"/>
          </w:tcPr>
          <w:p>
            <w:pPr>
              <w:pStyle w:val="TableContents"/>
              <w:bidi w:val="0"/>
              <w:spacing w:lineRule="auto" w:line="307" w:before="0" w:after="160"/>
              <w:ind w:left="0" w:right="0" w:hanging="0"/>
              <w:jc w:val="right"/>
              <w:rPr/>
            </w:pPr>
            <w:r>
              <w:rPr/>
              <w:t>​</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307" w:before="0" w:after="160"/>
              <w:ind w:left="0" w:right="0" w:hanging="0"/>
              <w:jc w:val="right"/>
              <w:rPr/>
            </w:pPr>
            <w:r>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307" w:before="0" w:after="160"/>
              <w:ind w:left="0" w:right="0" w:hanging="0"/>
              <w:jc w:val="right"/>
              <w:rPr/>
            </w:pPr>
            <w:r>
              <w:rPr/>
              <w:t>​</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307" w:before="0" w:after="160"/>
              <w:ind w:left="0" w:right="0" w:hanging="0"/>
              <w:jc w:val="right"/>
              <w:rPr/>
            </w:pPr>
            <w:r>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307" w:before="0" w:after="160"/>
              <w:ind w:left="0" w:right="0" w:hanging="0"/>
              <w:jc w:val="right"/>
              <w:rPr/>
            </w:pPr>
            <w:r>
              <w:rPr/>
              <w:t>​</w:t>
            </w:r>
          </w:p>
        </w:tc>
      </w:tr>
      <w:tr>
        <w:trPr/>
        <w:tc>
          <w:tcPr>
            <w:tcW w:w="2034" w:type="dxa"/>
            <w:tcBorders/>
            <w:shd w:fill="CCEEFF" w:val="clear"/>
            <w:vAlign w:val="center"/>
          </w:tcPr>
          <w:p>
            <w:pPr>
              <w:pStyle w:val="TableContents"/>
              <w:bidi w:val="0"/>
              <w:spacing w:lineRule="auto" w:line="285" w:before="0" w:after="0"/>
              <w:ind w:left="0" w:right="0" w:hanging="0"/>
              <w:jc w:val="both"/>
              <w:rPr>
                <w:rFonts w:ascii="Times New Roman;Times;serif" w:hAnsi="Times New Roman;Times;serif"/>
                <w:sz w:val="16"/>
              </w:rPr>
            </w:pPr>
            <w:r>
              <w:rPr>
                <w:rFonts w:ascii="Times New Roman;Times;serif" w:hAnsi="Times New Roman;Times;serif"/>
                <w:sz w:val="16"/>
              </w:rPr>
              <w:t>Stockholders’ equity (deficit):</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307" w:before="0" w:after="160"/>
              <w:ind w:left="0" w:right="0" w:hanging="0"/>
              <w:jc w:val="right"/>
              <w:rPr/>
            </w:pPr>
            <w:r>
              <w:rPr/>
              <w:t>​</w:t>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307" w:before="0" w:after="160"/>
              <w:ind w:left="0" w:right="0" w:hanging="0"/>
              <w:jc w:val="right"/>
              <w:rPr/>
            </w:pPr>
            <w:r>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307" w:before="0" w:after="160"/>
              <w:ind w:left="0" w:right="0" w:hanging="0"/>
              <w:jc w:val="right"/>
              <w:rPr/>
            </w:pPr>
            <w:r>
              <w:rPr/>
              <w:t>​</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307" w:before="0" w:after="160"/>
              <w:ind w:left="0" w:right="0" w:hanging="0"/>
              <w:jc w:val="right"/>
              <w:rPr/>
            </w:pPr>
            <w:r>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307" w:before="0" w:after="160"/>
              <w:ind w:left="0" w:right="0" w:hanging="0"/>
              <w:jc w:val="right"/>
              <w:rPr/>
            </w:pPr>
            <w:r>
              <w:rPr/>
              <w:t>​</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Class A Common stock</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44</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Class B Common stock</w:t>
            </w:r>
          </w:p>
        </w:tc>
        <w:tc>
          <w:tcPr>
            <w:tcW w:w="19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60" w:type="dxa"/>
            <w:tcBorders/>
            <w:shd w:fill="CCEEFF" w:val="clear"/>
            <w:vAlign w:val="center"/>
          </w:tcPr>
          <w:p>
            <w:pPr>
              <w:pStyle w:val="TableContents"/>
              <w:bidi w:val="0"/>
              <w:spacing w:lineRule="auto" w:line="307" w:before="0" w:after="160"/>
              <w:ind w:left="0" w:right="0" w:hanging="0"/>
              <w:jc w:val="right"/>
              <w:rPr/>
            </w:pPr>
            <w:r>
              <w:rPr/>
              <w:t>​</w:t>
            </w:r>
          </w:p>
        </w:tc>
        <w:tc>
          <w:tcPr>
            <w:tcW w:w="13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shd w:fill="CCEEFF" w:val="clear"/>
            <w:vAlign w:val="center"/>
          </w:tcPr>
          <w:p>
            <w:pPr>
              <w:pStyle w:val="TableContents"/>
              <w:bidi w:val="0"/>
              <w:spacing w:lineRule="auto" w:line="307" w:before="0" w:after="160"/>
              <w:ind w:left="0" w:right="0" w:hanging="0"/>
              <w:jc w:val="right"/>
              <w:rPr/>
            </w:pPr>
            <w:r>
              <w:rPr/>
              <w:t>​</w:t>
            </w:r>
          </w:p>
        </w:tc>
        <w:tc>
          <w:tcPr>
            <w:tcW w:w="1639" w:type="dxa"/>
            <w:tcBorders/>
            <w:shd w:fill="CCEEFF" w:val="clear"/>
            <w:vAlign w:val="center"/>
          </w:tcPr>
          <w:p>
            <w:pPr>
              <w:pStyle w:val="TableContents"/>
              <w:bidi w:val="0"/>
              <w:spacing w:lineRule="auto" w:line="307" w:before="0" w:after="160"/>
              <w:ind w:left="0" w:right="0" w:hanging="0"/>
              <w:jc w:val="right"/>
              <w:rPr/>
            </w:pPr>
            <w:r>
              <w:rPr/>
              <w:t>​</w:t>
            </w:r>
          </w:p>
        </w:tc>
        <w:tc>
          <w:tcPr>
            <w:tcW w:w="775"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shd w:fill="CCEEFF" w:val="clear"/>
            <w:vAlign w:val="center"/>
          </w:tcPr>
          <w:p>
            <w:pPr>
              <w:pStyle w:val="TableContents"/>
              <w:bidi w:val="0"/>
              <w:spacing w:lineRule="auto" w:line="307" w:before="0" w:after="160"/>
              <w:ind w:left="0" w:right="0" w:hanging="0"/>
              <w:jc w:val="center"/>
              <w:rPr/>
            </w:pPr>
            <w:r>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199" w:type="dxa"/>
            <w:tcBorders/>
            <w:vAlign w:val="center"/>
          </w:tcPr>
          <w:p>
            <w:pPr>
              <w:pStyle w:val="TableContents"/>
              <w:bidi w:val="0"/>
              <w:spacing w:before="0" w:after="283"/>
              <w:ind w:left="0" w:right="0" w:hanging="0"/>
              <w:jc w:val="left"/>
              <w:rPr>
                <w:sz w:val="4"/>
                <w:szCs w:val="4"/>
              </w:rPr>
            </w:pPr>
            <w:r>
              <w:rPr>
                <w:sz w:val="4"/>
                <w:szCs w:val="4"/>
              </w:rPr>
            </w:r>
          </w:p>
        </w:tc>
        <w:tc>
          <w:tcPr>
            <w:tcW w:w="791" w:type="dxa"/>
            <w:tcBorders/>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207,030</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207,030</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207,030</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7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(191,328)</w:t>
            </w:r>
          </w:p>
        </w:tc>
        <w:tc>
          <w:tcPr>
            <w:tcW w:w="460"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right"/>
              <w:rPr/>
            </w:pPr>
            <w:r>
              <w:rPr/>
              <w:t>​</w:t>
            </w:r>
          </w:p>
        </w:tc>
        <w:tc>
          <w:tcPr>
            <w:tcW w:w="1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(2,379)</w:t>
            </w:r>
          </w:p>
        </w:tc>
        <w:tc>
          <w:tcPr>
            <w:tcW w:w="2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(d)</w:t>
            </w:r>
          </w:p>
        </w:tc>
        <w:tc>
          <w:tcPr>
            <w:tcW w:w="1639"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right"/>
              <w:rPr/>
            </w:pPr>
            <w:r>
              <w:rPr/>
              <w:t>​</w:t>
            </w:r>
          </w:p>
        </w:tc>
        <w:tc>
          <w:tcPr>
            <w:tcW w:w="775" w:type="dxa"/>
            <w:gridSpan w:val="2"/>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(193,707)</w:t>
            </w:r>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9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7,300</w:t>
            </w:r>
          </w:p>
        </w:tc>
        <w:tc>
          <w:tcPr>
            <w:tcW w:w="376" w:type="dxa"/>
            <w:gridSpan w:val="2"/>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(d)</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83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(186,407)</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stockholders’ deficit</w:t>
            </w:r>
          </w:p>
        </w:tc>
        <w:tc>
          <w:tcPr>
            <w:tcW w:w="199"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79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15,746</w:t>
            </w:r>
          </w:p>
        </w:tc>
        <w:tc>
          <w:tcPr>
            <w:tcW w:w="460" w:type="dxa"/>
            <w:tcBorders/>
            <w:vAlign w:val="center"/>
          </w:tcPr>
          <w:p>
            <w:pPr>
              <w:pStyle w:val="TableContents"/>
              <w:bidi w:val="0"/>
              <w:spacing w:lineRule="auto" w:line="307" w:before="0" w:after="160"/>
              <w:ind w:left="0" w:right="0" w:hanging="0"/>
              <w:jc w:val="right"/>
              <w:rPr/>
            </w:pPr>
            <w:r>
              <w:rPr/>
              <w:t>​</w:t>
            </w:r>
          </w:p>
        </w:tc>
        <w:tc>
          <w:tcPr>
            <w:tcW w:w="13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(2,379)</w:t>
            </w:r>
          </w:p>
        </w:tc>
        <w:tc>
          <w:tcPr>
            <w:tcW w:w="281" w:type="dxa"/>
            <w:tcBorders/>
            <w:vAlign w:val="center"/>
          </w:tcPr>
          <w:p>
            <w:pPr>
              <w:pStyle w:val="TableContents"/>
              <w:bidi w:val="0"/>
              <w:spacing w:lineRule="auto" w:line="307" w:before="0" w:after="160"/>
              <w:ind w:left="0" w:right="0" w:hanging="0"/>
              <w:jc w:val="right"/>
              <w:rPr/>
            </w:pPr>
            <w:r>
              <w:rPr/>
              <w:t>​</w:t>
            </w:r>
          </w:p>
        </w:tc>
        <w:tc>
          <w:tcPr>
            <w:tcW w:w="1639" w:type="dxa"/>
            <w:tcBorders/>
            <w:vAlign w:val="center"/>
          </w:tcPr>
          <w:p>
            <w:pPr>
              <w:pStyle w:val="TableContents"/>
              <w:bidi w:val="0"/>
              <w:spacing w:lineRule="auto" w:line="307" w:before="0" w:after="160"/>
              <w:ind w:left="0" w:right="0" w:hanging="0"/>
              <w:jc w:val="right"/>
              <w:rPr/>
            </w:pPr>
            <w:r>
              <w:rPr/>
              <w:t>​</w:t>
            </w:r>
          </w:p>
        </w:tc>
        <w:tc>
          <w:tcPr>
            <w:tcW w:w="775"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13,367</w:t>
            </w:r>
          </w:p>
        </w:tc>
        <w:tc>
          <w:tcPr>
            <w:tcW w:w="353"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7,300</w:t>
            </w:r>
          </w:p>
        </w:tc>
        <w:tc>
          <w:tcPr>
            <w:tcW w:w="376" w:type="dxa"/>
            <w:gridSpan w:val="2"/>
            <w:tcBorders/>
            <w:vAlign w:val="center"/>
          </w:tcPr>
          <w:p>
            <w:pPr>
              <w:pStyle w:val="TableContents"/>
              <w:bidi w:val="0"/>
              <w:spacing w:lineRule="auto" w:line="307" w:before="0" w:after="160"/>
              <w:ind w:left="0" w:right="0" w:hanging="0"/>
              <w:jc w:val="center"/>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20,667</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deficit</w:t>
            </w:r>
          </w:p>
        </w:tc>
        <w:tc>
          <w:tcPr>
            <w:tcW w:w="1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7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43,649</w:t>
            </w:r>
          </w:p>
        </w:tc>
        <w:tc>
          <w:tcPr>
            <w:tcW w:w="4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13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(2,379)</w:t>
            </w:r>
          </w:p>
        </w:tc>
        <w:tc>
          <w:tcPr>
            <w:tcW w:w="2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07" w:before="0" w:after="160"/>
              <w:ind w:left="0" w:right="0" w:hanging="0"/>
              <w:jc w:val="right"/>
              <w:rPr/>
            </w:pPr>
            <w:r>
              <w:rPr/>
              <w:t>​</w:t>
            </w:r>
          </w:p>
        </w:tc>
        <w:tc>
          <w:tcPr>
            <w:tcW w:w="16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775" w:type="dxa"/>
            <w:gridSpan w:val="2"/>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41,270</w:t>
            </w:r>
          </w:p>
        </w:tc>
        <w:tc>
          <w:tcPr>
            <w:tcW w:w="35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9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7,700</w:t>
            </w:r>
          </w:p>
        </w:tc>
        <w:tc>
          <w:tcPr>
            <w:tcW w:w="376" w:type="dxa"/>
            <w:gridSpan w:val="2"/>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07" w:before="0" w:after="160"/>
              <w:ind w:left="0" w:right="0" w:hanging="0"/>
              <w:jc w:val="right"/>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83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48,970</w:t>
            </w:r>
          </w:p>
        </w:tc>
      </w:tr>
    </w:tbl>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pro forma condensed consolidated financial information.</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PRO FORMA CONDENSED CONSOLIDATED STATEMENT OF OPERATIONS</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For the Six Months Ended June 30, 2026</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307" w:before="0" w:after="160"/>
        <w:ind w:left="0" w:right="0" w:hanging="360"/>
        <w:jc w:val="center"/>
        <w:rPr/>
      </w:pPr>
      <w:r>
        <w:rPr/>
        <w:t>​</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938"/>
        <w:gridCol w:w="196"/>
        <w:gridCol w:w="916"/>
        <w:gridCol w:w="402"/>
        <w:gridCol w:w="1177"/>
        <w:gridCol w:w="360"/>
        <w:gridCol w:w="1223"/>
        <w:gridCol w:w="681"/>
        <w:gridCol w:w="578"/>
        <w:gridCol w:w="146"/>
        <w:gridCol w:w="622"/>
        <w:gridCol w:w="280"/>
        <w:gridCol w:w="686"/>
      </w:tblGrid>
      <w:tr>
        <w:trPr/>
        <w:tc>
          <w:tcPr>
            <w:tcW w:w="2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65630" cy="29210"/>
                      <wp:effectExtent l="0" t="0" r="0" b="0"/>
                      <wp:wrapNone/>
                      <wp:docPr id="1" name="Frame1"/>
                      <a:graphic xmlns:a="http://schemas.openxmlformats.org/drawingml/2006/main">
                        <a:graphicData uri="http://schemas.microsoft.com/office/word/2010/wordprocessingShape">
                          <wps:wsp>
                            <wps:cNvSpPr txBox="1"/>
                            <wps:spPr>
                              <a:xfrm>
                                <a:off x="0" y="0"/>
                                <a:ext cx="18656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4460" cy="29210"/>
                      <wp:effectExtent l="0" t="0" r="0" b="0"/>
                      <wp:wrapNone/>
                      <wp:docPr id="2" name="Frame2"/>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81660" cy="175260"/>
                      <wp:effectExtent l="0" t="0" r="0" b="0"/>
                      <wp:wrapNone/>
                      <wp:docPr id="3" name="Frame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55270" cy="29210"/>
                      <wp:effectExtent l="0" t="0" r="0" b="0"/>
                      <wp:wrapNone/>
                      <wp:docPr id="4" name="Frame4"/>
                      <a:graphic xmlns:a="http://schemas.openxmlformats.org/drawingml/2006/main">
                        <a:graphicData uri="http://schemas.microsoft.com/office/word/2010/wordprocessingShape">
                          <wps:wsp>
                            <wps:cNvSpPr txBox="1"/>
                            <wps:spPr>
                              <a:xfrm>
                                <a:off x="0" y="0"/>
                                <a:ext cx="2552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47395" cy="175260"/>
                      <wp:effectExtent l="0" t="0" r="0" b="0"/>
                      <wp:wrapNone/>
                      <wp:docPr id="5" name="Frame5"/>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8600" cy="29210"/>
                      <wp:effectExtent l="0" t="0" r="0" b="0"/>
                      <wp:wrapNone/>
                      <wp:docPr id="6" name="Frame6"/>
                      <a:graphic xmlns:a="http://schemas.openxmlformats.org/drawingml/2006/main">
                        <a:graphicData uri="http://schemas.microsoft.com/office/word/2010/wordprocessingShape">
                          <wps:wsp>
                            <wps:cNvSpPr txBox="1"/>
                            <wps:spPr>
                              <a:xfrm>
                                <a:off x="0" y="0"/>
                                <a:ext cx="2286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76605" cy="175260"/>
                      <wp:effectExtent l="0" t="0" r="0" b="0"/>
                      <wp:wrapNone/>
                      <wp:docPr id="7" name="Frame7"/>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32435" cy="29210"/>
                      <wp:effectExtent l="0" t="0" r="0" b="0"/>
                      <wp:wrapNone/>
                      <wp:docPr id="8" name="Frame8"/>
                      <a:graphic xmlns:a="http://schemas.openxmlformats.org/drawingml/2006/main">
                        <a:graphicData uri="http://schemas.microsoft.com/office/word/2010/wordprocessingShape">
                          <wps:wsp>
                            <wps:cNvSpPr txBox="1"/>
                            <wps:spPr>
                              <a:xfrm>
                                <a:off x="0" y="0"/>
                                <a:ext cx="432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67030" cy="175260"/>
                      <wp:effectExtent l="0" t="0" r="0" b="0"/>
                      <wp:wrapNone/>
                      <wp:docPr id="9" name="Frame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175260"/>
                      <wp:effectExtent l="0" t="0" r="0" b="0"/>
                      <wp:wrapNone/>
                      <wp:docPr id="10" name="Frame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94970" cy="29210"/>
                      <wp:effectExtent l="0" t="0" r="0" b="0"/>
                      <wp:wrapNone/>
                      <wp:docPr id="11" name="Frame11"/>
                      <a:graphic xmlns:a="http://schemas.openxmlformats.org/drawingml/2006/main">
                        <a:graphicData uri="http://schemas.microsoft.com/office/word/2010/wordprocessingShape">
                          <wps:wsp>
                            <wps:cNvSpPr txBox="1"/>
                            <wps:spPr>
                              <a:xfrm>
                                <a:off x="0" y="0"/>
                                <a:ext cx="3949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6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13410" cy="175260"/>
                      <wp:effectExtent l="0" t="0" r="0" b="0"/>
                      <wp:wrapNone/>
                      <wp:docPr id="12" name="Frame12"/>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938" w:type="dxa"/>
            <w:tcBorders/>
            <w:vAlign w:val="center"/>
          </w:tcPr>
          <w:p>
            <w:pPr>
              <w:pStyle w:val="TableContents"/>
              <w:bidi w:val="0"/>
              <w:spacing w:before="0" w:after="283"/>
              <w:ind w:left="0" w:right="0" w:hanging="0"/>
              <w:jc w:val="left"/>
              <w:rPr>
                <w:sz w:val="4"/>
                <w:szCs w:val="4"/>
              </w:rPr>
            </w:pPr>
            <w:r>
              <w:rPr>
                <w:sz w:val="4"/>
                <w:szCs w:val="4"/>
              </w:rPr>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Historical</w:t>
            </w:r>
          </w:p>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reported)</w:t>
            </w:r>
          </w:p>
        </w:tc>
        <w:tc>
          <w:tcPr>
            <w:tcW w:w="157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SimpliDerm Discontinued Operations </w:t>
              <w:br/>
              <w:t>(Note a)</w:t>
            </w:r>
          </w:p>
        </w:tc>
        <w:tc>
          <w:tcPr>
            <w:tcW w:w="158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Adjusted for Discontinued Operations</w:t>
            </w:r>
          </w:p>
        </w:tc>
        <w:tc>
          <w:tcPr>
            <w:tcW w:w="125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Transaction Accounting</w:t>
              <w:br/>
              <w:t>Adjustments</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Pro Forma</w:t>
            </w:r>
          </w:p>
        </w:tc>
        <w:tc>
          <w:tcPr>
            <w:tcW w:w="686" w:type="dxa"/>
            <w:tcBorders/>
            <w:vAlign w:val="center"/>
          </w:tcPr>
          <w:p>
            <w:pPr>
              <w:pStyle w:val="TableContents"/>
              <w:bidi w:val="0"/>
              <w:spacing w:before="0" w:after="283"/>
              <w:ind w:left="0" w:right="0" w:hanging="0"/>
              <w:jc w:val="left"/>
              <w:rPr>
                <w:sz w:val="4"/>
                <w:szCs w:val="4"/>
              </w:rPr>
            </w:pPr>
            <w:r>
              <w:rPr>
                <w:sz w:val="4"/>
                <w:szCs w:val="4"/>
              </w:rPr>
            </w:r>
          </w:p>
        </w:tc>
      </w:tr>
      <w:tr>
        <w:trPr/>
        <w:tc>
          <w:tcPr>
            <w:tcW w:w="29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5,541</w:t>
            </w:r>
          </w:p>
        </w:tc>
        <w:tc>
          <w:tcPr>
            <w:tcW w:w="40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11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(3,372)</w:t>
            </w:r>
          </w:p>
        </w:tc>
        <w:tc>
          <w:tcPr>
            <w:tcW w:w="3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12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2,169</w:t>
            </w:r>
          </w:p>
        </w:tc>
        <w:tc>
          <w:tcPr>
            <w:tcW w:w="6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5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146" w:type="dxa"/>
            <w:tcBorders/>
            <w:shd w:fill="CCEEFF" w:val="clear"/>
            <w:vAlign w:val="center"/>
          </w:tcPr>
          <w:p>
            <w:pPr>
              <w:pStyle w:val="TableContents"/>
              <w:bidi w:val="0"/>
              <w:spacing w:lineRule="auto" w:line="307" w:before="0" w:after="160"/>
              <w:ind w:left="0" w:right="0" w:hanging="0"/>
              <w:jc w:val="left"/>
              <w:rPr>
                <w:caps w:val="false"/>
                <w:smallCaps w:val="false"/>
                <w:color w:val="000000"/>
              </w:rPr>
            </w:pPr>
            <w:r>
              <w:rPr>
                <w:caps w:val="false"/>
                <w:smallCaps w:val="false"/>
                <w:color w:val="000000"/>
              </w:rPr>
              <w:t>​</w:t>
            </w:r>
          </w:p>
        </w:tc>
        <w:tc>
          <w:tcPr>
            <w:tcW w:w="6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966"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2,169</w:t>
            </w:r>
          </w:p>
        </w:tc>
      </w:tr>
      <w:tr>
        <w:trPr/>
        <w:tc>
          <w:tcPr>
            <w:tcW w:w="2938"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Cost of goods sold</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2,292</w:t>
            </w:r>
          </w:p>
        </w:tc>
        <w:tc>
          <w:tcPr>
            <w:tcW w:w="40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7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(1,428)</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864</w:t>
            </w:r>
          </w:p>
        </w:tc>
        <w:tc>
          <w:tcPr>
            <w:tcW w:w="6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bottom w:val="single" w:sz="2" w:space="0" w:color="000000"/>
            </w:tcBorders>
            <w:tcMar>
              <w:bottom w:w="28" w:type="dxa"/>
            </w:tcMar>
            <w:vAlign w:val="center"/>
          </w:tcPr>
          <w:p>
            <w:pPr>
              <w:pStyle w:val="TableContents"/>
              <w:bidi w:val="0"/>
              <w:spacing w:lineRule="auto" w:line="307" w:before="0" w:after="160"/>
              <w:ind w:left="0" w:right="0" w:hanging="0"/>
              <w:jc w:val="right"/>
              <w:rPr/>
            </w:pPr>
            <w:r>
              <w:rPr/>
              <w:t>​</w:t>
            </w:r>
          </w:p>
        </w:tc>
        <w:tc>
          <w:tcPr>
            <w:tcW w:w="6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864</w:t>
            </w:r>
          </w:p>
        </w:tc>
      </w:tr>
      <w:tr>
        <w:trPr/>
        <w:tc>
          <w:tcPr>
            <w:tcW w:w="29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3,249</w:t>
            </w:r>
          </w:p>
        </w:tc>
        <w:tc>
          <w:tcPr>
            <w:tcW w:w="40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117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(1,944)</w:t>
            </w:r>
          </w:p>
        </w:tc>
        <w:tc>
          <w:tcPr>
            <w:tcW w:w="3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122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1,305</w:t>
            </w:r>
          </w:p>
        </w:tc>
        <w:tc>
          <w:tcPr>
            <w:tcW w:w="6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5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07" w:before="0" w:after="160"/>
              <w:ind w:left="0" w:right="0" w:hanging="0"/>
              <w:jc w:val="left"/>
              <w:rPr/>
            </w:pPr>
            <w:r>
              <w:rPr/>
              <w:t>​</w:t>
            </w:r>
          </w:p>
        </w:tc>
        <w:tc>
          <w:tcPr>
            <w:tcW w:w="62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966"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1,305</w:t>
            </w:r>
          </w:p>
        </w:tc>
      </w:tr>
      <w:tr>
        <w:trPr/>
        <w:tc>
          <w:tcPr>
            <w:tcW w:w="2938"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2,846</w:t>
            </w:r>
          </w:p>
        </w:tc>
        <w:tc>
          <w:tcPr>
            <w:tcW w:w="402" w:type="dxa"/>
            <w:tcBorders/>
            <w:vAlign w:val="center"/>
          </w:tcPr>
          <w:p>
            <w:pPr>
              <w:pStyle w:val="TableContents"/>
              <w:bidi w:val="0"/>
              <w:spacing w:lineRule="auto" w:line="285" w:before="0" w:after="0"/>
              <w:ind w:left="0" w:right="0" w:hanging="0"/>
              <w:jc w:val="left"/>
              <w:rPr/>
            </w:pPr>
            <w:r>
              <w:rPr/>
              <w:t> </w:t>
            </w:r>
          </w:p>
        </w:tc>
        <w:tc>
          <w:tcPr>
            <w:tcW w:w="117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(1,177)</w:t>
            </w:r>
          </w:p>
        </w:tc>
        <w:tc>
          <w:tcPr>
            <w:tcW w:w="360" w:type="dxa"/>
            <w:tcBorders/>
            <w:vAlign w:val="center"/>
          </w:tcPr>
          <w:p>
            <w:pPr>
              <w:pStyle w:val="TableContents"/>
              <w:bidi w:val="0"/>
              <w:spacing w:lineRule="auto" w:line="285" w:before="0" w:after="0"/>
              <w:ind w:left="0" w:right="0" w:hanging="0"/>
              <w:jc w:val="left"/>
              <w:rPr/>
            </w:pPr>
            <w:r>
              <w:rPr/>
              <w:t> </w:t>
            </w:r>
          </w:p>
        </w:tc>
        <w:tc>
          <w:tcPr>
            <w:tcW w:w="122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1,669</w:t>
            </w:r>
          </w:p>
        </w:tc>
        <w:tc>
          <w:tcPr>
            <w:tcW w:w="681" w:type="dxa"/>
            <w:tcBorders/>
            <w:vAlign w:val="center"/>
          </w:tcPr>
          <w:p>
            <w:pPr>
              <w:pStyle w:val="TableContents"/>
              <w:bidi w:val="0"/>
              <w:spacing w:lineRule="auto" w:line="285" w:before="0" w:after="0"/>
              <w:ind w:left="0" w:right="0" w:hanging="0"/>
              <w:jc w:val="left"/>
              <w:rPr/>
            </w:pPr>
            <w:r>
              <w:rPr/>
              <w:t> </w:t>
            </w:r>
          </w:p>
        </w:tc>
        <w:tc>
          <w:tcPr>
            <w:tcW w:w="57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top w:val="single" w:sz="2" w:space="0" w:color="000000"/>
            </w:tcBorders>
            <w:tcMar>
              <w:top w:w="28" w:type="dxa"/>
            </w:tcMar>
            <w:vAlign w:val="center"/>
          </w:tcPr>
          <w:p>
            <w:pPr>
              <w:pStyle w:val="TableContents"/>
              <w:bidi w:val="0"/>
              <w:spacing w:lineRule="auto" w:line="307" w:before="0" w:after="160"/>
              <w:ind w:left="0" w:right="0" w:hanging="0"/>
              <w:jc w:val="center"/>
              <w:rPr/>
            </w:pPr>
            <w:r>
              <w:rPr/>
              <w:t>​</w:t>
            </w:r>
          </w:p>
        </w:tc>
        <w:tc>
          <w:tcPr>
            <w:tcW w:w="622" w:type="dxa"/>
            <w:tcBorders/>
            <w:vAlign w:val="center"/>
          </w:tcPr>
          <w:p>
            <w:pPr>
              <w:pStyle w:val="TableContents"/>
              <w:bidi w:val="0"/>
              <w:spacing w:lineRule="auto" w:line="285" w:before="0" w:after="0"/>
              <w:ind w:left="0" w:right="0" w:hanging="0"/>
              <w:jc w:val="left"/>
              <w:rPr/>
            </w:pPr>
            <w:r>
              <w:rPr/>
              <w:t> </w:t>
            </w:r>
          </w:p>
        </w:tc>
        <w:tc>
          <w:tcPr>
            <w:tcW w:w="966"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1,669</w:t>
            </w:r>
          </w:p>
        </w:tc>
      </w:tr>
      <w:tr>
        <w:trPr/>
        <w:tc>
          <w:tcPr>
            <w:tcW w:w="29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7,545</w:t>
            </w:r>
          </w:p>
        </w:tc>
        <w:tc>
          <w:tcPr>
            <w:tcW w:w="402" w:type="dxa"/>
            <w:tcBorders/>
            <w:shd w:fill="CCEEFF" w:val="clear"/>
            <w:vAlign w:val="center"/>
          </w:tcPr>
          <w:p>
            <w:pPr>
              <w:pStyle w:val="TableContents"/>
              <w:bidi w:val="0"/>
              <w:spacing w:lineRule="auto" w:line="285" w:before="0" w:after="0"/>
              <w:ind w:left="0" w:right="0" w:hanging="0"/>
              <w:jc w:val="left"/>
              <w:rPr/>
            </w:pPr>
            <w:r>
              <w:rPr/>
              <w:t> </w:t>
            </w:r>
          </w:p>
        </w:tc>
        <w:tc>
          <w:tcPr>
            <w:tcW w:w="11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360" w:type="dxa"/>
            <w:tcBorders/>
            <w:shd w:fill="CCEEFF" w:val="clear"/>
            <w:vAlign w:val="center"/>
          </w:tcPr>
          <w:p>
            <w:pPr>
              <w:pStyle w:val="TableContents"/>
              <w:bidi w:val="0"/>
              <w:spacing w:lineRule="auto" w:line="285" w:before="0" w:after="0"/>
              <w:ind w:left="0" w:right="0" w:hanging="0"/>
              <w:jc w:val="left"/>
              <w:rPr/>
            </w:pPr>
            <w:r>
              <w:rPr/>
              <w:t> </w:t>
            </w:r>
          </w:p>
        </w:tc>
        <w:tc>
          <w:tcPr>
            <w:tcW w:w="12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7,424</w:t>
            </w:r>
          </w:p>
        </w:tc>
        <w:tc>
          <w:tcPr>
            <w:tcW w:w="681" w:type="dxa"/>
            <w:tcBorders/>
            <w:shd w:fill="CCEEFF" w:val="clear"/>
            <w:vAlign w:val="center"/>
          </w:tcPr>
          <w:p>
            <w:pPr>
              <w:pStyle w:val="TableContents"/>
              <w:bidi w:val="0"/>
              <w:spacing w:lineRule="auto" w:line="285" w:before="0" w:after="0"/>
              <w:ind w:left="0" w:right="0" w:hanging="0"/>
              <w:jc w:val="left"/>
              <w:rPr/>
            </w:pPr>
            <w:r>
              <w:rPr/>
              <w:t> </w:t>
            </w:r>
          </w:p>
        </w:tc>
        <w:tc>
          <w:tcPr>
            <w:tcW w:w="5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shd w:fill="CCEEFF" w:val="clear"/>
            <w:vAlign w:val="center"/>
          </w:tcPr>
          <w:p>
            <w:pPr>
              <w:pStyle w:val="TableContents"/>
              <w:bidi w:val="0"/>
              <w:spacing w:lineRule="auto" w:line="307" w:before="0" w:after="160"/>
              <w:ind w:left="0" w:right="0" w:hanging="0"/>
              <w:jc w:val="center"/>
              <w:rPr/>
            </w:pPr>
            <w:r>
              <w:rPr/>
              <w:t>​</w:t>
            </w:r>
          </w:p>
        </w:tc>
        <w:tc>
          <w:tcPr>
            <w:tcW w:w="622" w:type="dxa"/>
            <w:tcBorders/>
            <w:shd w:fill="CCEEFF" w:val="clear"/>
            <w:vAlign w:val="center"/>
          </w:tcPr>
          <w:p>
            <w:pPr>
              <w:pStyle w:val="TableContents"/>
              <w:bidi w:val="0"/>
              <w:spacing w:lineRule="auto" w:line="285" w:before="0" w:after="0"/>
              <w:ind w:left="0" w:right="0" w:hanging="0"/>
              <w:jc w:val="left"/>
              <w:rPr/>
            </w:pPr>
            <w:r>
              <w:rPr/>
              <w:t> </w:t>
            </w:r>
          </w:p>
        </w:tc>
        <w:tc>
          <w:tcPr>
            <w:tcW w:w="966"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7,424</w:t>
            </w:r>
          </w:p>
        </w:tc>
      </w:tr>
      <w:tr>
        <w:trPr/>
        <w:tc>
          <w:tcPr>
            <w:tcW w:w="2938"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4,500</w:t>
            </w:r>
          </w:p>
        </w:tc>
        <w:tc>
          <w:tcPr>
            <w:tcW w:w="402" w:type="dxa"/>
            <w:tcBorders/>
            <w:vAlign w:val="center"/>
          </w:tcPr>
          <w:p>
            <w:pPr>
              <w:pStyle w:val="TableContents"/>
              <w:bidi w:val="0"/>
              <w:spacing w:lineRule="auto" w:line="285" w:before="0" w:after="0"/>
              <w:ind w:left="0" w:right="0" w:hanging="0"/>
              <w:jc w:val="left"/>
              <w:rPr/>
            </w:pPr>
            <w:r>
              <w:rPr/>
              <w:t> </w:t>
            </w:r>
          </w:p>
        </w:tc>
        <w:tc>
          <w:tcPr>
            <w:tcW w:w="117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0" w:type="dxa"/>
            <w:tcBorders/>
            <w:vAlign w:val="center"/>
          </w:tcPr>
          <w:p>
            <w:pPr>
              <w:pStyle w:val="TableContents"/>
              <w:bidi w:val="0"/>
              <w:spacing w:lineRule="auto" w:line="285" w:before="0" w:after="0"/>
              <w:ind w:left="0" w:right="0" w:hanging="0"/>
              <w:jc w:val="left"/>
              <w:rPr/>
            </w:pPr>
            <w:r>
              <w:rPr/>
              <w:t> </w:t>
            </w:r>
          </w:p>
        </w:tc>
        <w:tc>
          <w:tcPr>
            <w:tcW w:w="122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4,500</w:t>
            </w:r>
          </w:p>
        </w:tc>
        <w:tc>
          <w:tcPr>
            <w:tcW w:w="681" w:type="dxa"/>
            <w:tcBorders/>
            <w:vAlign w:val="center"/>
          </w:tcPr>
          <w:p>
            <w:pPr>
              <w:pStyle w:val="TableContents"/>
              <w:bidi w:val="0"/>
              <w:spacing w:lineRule="auto" w:line="285" w:before="0" w:after="0"/>
              <w:ind w:left="0" w:right="0" w:hanging="0"/>
              <w:jc w:val="left"/>
              <w:rPr/>
            </w:pPr>
            <w:r>
              <w:rPr/>
              <w:t> </w:t>
            </w:r>
          </w:p>
        </w:tc>
        <w:tc>
          <w:tcPr>
            <w:tcW w:w="57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vAlign w:val="center"/>
          </w:tcPr>
          <w:p>
            <w:pPr>
              <w:pStyle w:val="TableContents"/>
              <w:bidi w:val="0"/>
              <w:spacing w:lineRule="auto" w:line="307" w:before="0" w:after="160"/>
              <w:ind w:left="0" w:right="0" w:hanging="0"/>
              <w:jc w:val="right"/>
              <w:rPr>
                <w:caps w:val="false"/>
                <w:smallCaps w:val="false"/>
                <w:color w:val="000000"/>
              </w:rPr>
            </w:pPr>
            <w:r>
              <w:rPr>
                <w:caps w:val="false"/>
                <w:smallCaps w:val="false"/>
                <w:color w:val="000000"/>
              </w:rPr>
              <w:t>​</w:t>
            </w:r>
          </w:p>
        </w:tc>
        <w:tc>
          <w:tcPr>
            <w:tcW w:w="622" w:type="dxa"/>
            <w:tcBorders/>
            <w:vAlign w:val="center"/>
          </w:tcPr>
          <w:p>
            <w:pPr>
              <w:pStyle w:val="TableContents"/>
              <w:bidi w:val="0"/>
              <w:spacing w:lineRule="auto" w:line="285" w:before="0" w:after="0"/>
              <w:ind w:left="0" w:right="0" w:hanging="0"/>
              <w:jc w:val="left"/>
              <w:rPr/>
            </w:pPr>
            <w:r>
              <w:rPr/>
              <w:t> </w:t>
            </w:r>
          </w:p>
        </w:tc>
        <w:tc>
          <w:tcPr>
            <w:tcW w:w="966"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4,500</w:t>
            </w:r>
          </w:p>
        </w:tc>
      </w:tr>
      <w:tr>
        <w:trPr/>
        <w:tc>
          <w:tcPr>
            <w:tcW w:w="29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Litigation costs, net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2,663</w:t>
            </w:r>
          </w:p>
        </w:tc>
        <w:tc>
          <w:tcPr>
            <w:tcW w:w="402" w:type="dxa"/>
            <w:tcBorders/>
            <w:shd w:fill="CCEEFF" w:val="clear"/>
            <w:vAlign w:val="center"/>
          </w:tcPr>
          <w:p>
            <w:pPr>
              <w:pStyle w:val="TableContents"/>
              <w:bidi w:val="0"/>
              <w:spacing w:lineRule="auto" w:line="285" w:before="0" w:after="0"/>
              <w:ind w:left="0" w:right="0" w:hanging="0"/>
              <w:jc w:val="left"/>
              <w:rPr/>
            </w:pPr>
            <w:r>
              <w:rPr/>
              <w:t> </w:t>
            </w:r>
          </w:p>
        </w:tc>
        <w:tc>
          <w:tcPr>
            <w:tcW w:w="11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0" w:type="dxa"/>
            <w:tcBorders/>
            <w:shd w:fill="CCEEFF" w:val="clear"/>
            <w:vAlign w:val="center"/>
          </w:tcPr>
          <w:p>
            <w:pPr>
              <w:pStyle w:val="TableContents"/>
              <w:bidi w:val="0"/>
              <w:spacing w:lineRule="auto" w:line="285" w:before="0" w:after="0"/>
              <w:ind w:left="0" w:right="0" w:hanging="0"/>
              <w:jc w:val="left"/>
              <w:rPr/>
            </w:pPr>
            <w:r>
              <w:rPr/>
              <w:t> </w:t>
            </w:r>
          </w:p>
        </w:tc>
        <w:tc>
          <w:tcPr>
            <w:tcW w:w="12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2,663</w:t>
            </w:r>
          </w:p>
        </w:tc>
        <w:tc>
          <w:tcPr>
            <w:tcW w:w="681" w:type="dxa"/>
            <w:tcBorders/>
            <w:shd w:fill="CCEEFF" w:val="clear"/>
            <w:vAlign w:val="center"/>
          </w:tcPr>
          <w:p>
            <w:pPr>
              <w:pStyle w:val="TableContents"/>
              <w:bidi w:val="0"/>
              <w:spacing w:lineRule="auto" w:line="285" w:before="0" w:after="0"/>
              <w:ind w:left="0" w:right="0" w:hanging="0"/>
              <w:jc w:val="left"/>
              <w:rPr/>
            </w:pPr>
            <w:r>
              <w:rPr/>
              <w:t> </w:t>
            </w:r>
          </w:p>
        </w:tc>
        <w:tc>
          <w:tcPr>
            <w:tcW w:w="5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center"/>
              <w:rPr/>
            </w:pPr>
            <w:r>
              <w:rPr/>
              <w:t>​</w:t>
            </w:r>
          </w:p>
        </w:tc>
        <w:tc>
          <w:tcPr>
            <w:tcW w:w="622" w:type="dxa"/>
            <w:tcBorders/>
            <w:shd w:fill="CCEEFF" w:val="clear"/>
            <w:vAlign w:val="center"/>
          </w:tcPr>
          <w:p>
            <w:pPr>
              <w:pStyle w:val="TableContents"/>
              <w:bidi w:val="0"/>
              <w:spacing w:lineRule="auto" w:line="285" w:before="0" w:after="0"/>
              <w:ind w:left="0" w:right="0" w:hanging="0"/>
              <w:jc w:val="left"/>
              <w:rPr/>
            </w:pPr>
            <w:r>
              <w:rPr/>
              <w:t> </w:t>
            </w:r>
          </w:p>
        </w:tc>
        <w:tc>
          <w:tcPr>
            <w:tcW w:w="966"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2,663</w:t>
            </w:r>
          </w:p>
        </w:tc>
      </w:tr>
      <w:tr>
        <w:trPr/>
        <w:tc>
          <w:tcPr>
            <w:tcW w:w="2938"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17,554</w:t>
            </w:r>
          </w:p>
        </w:tc>
        <w:tc>
          <w:tcPr>
            <w:tcW w:w="402"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1177"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(1,298)</w:t>
            </w:r>
          </w:p>
        </w:tc>
        <w:tc>
          <w:tcPr>
            <w:tcW w:w="360"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1223"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16,256</w:t>
            </w:r>
          </w:p>
        </w:tc>
        <w:tc>
          <w:tcPr>
            <w:tcW w:w="68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578"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622"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966"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16,256</w:t>
            </w:r>
          </w:p>
        </w:tc>
      </w:tr>
      <w:tr>
        <w:trPr/>
        <w:tc>
          <w:tcPr>
            <w:tcW w:w="29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(Loss)/income from continuing operations</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(14,305)</w:t>
            </w:r>
          </w:p>
        </w:tc>
        <w:tc>
          <w:tcPr>
            <w:tcW w:w="402" w:type="dxa"/>
            <w:tcBorders/>
            <w:shd w:fill="CCEEFF" w:val="clear"/>
            <w:vAlign w:val="center"/>
          </w:tcPr>
          <w:p>
            <w:pPr>
              <w:pStyle w:val="TableContents"/>
              <w:bidi w:val="0"/>
              <w:spacing w:lineRule="auto" w:line="285" w:before="0" w:after="0"/>
              <w:ind w:left="0" w:right="0" w:hanging="0"/>
              <w:jc w:val="left"/>
              <w:rPr/>
            </w:pPr>
            <w:r>
              <w:rPr/>
              <w:t> </w:t>
            </w:r>
          </w:p>
        </w:tc>
        <w:tc>
          <w:tcPr>
            <w:tcW w:w="11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(646)</w:t>
            </w:r>
          </w:p>
        </w:tc>
        <w:tc>
          <w:tcPr>
            <w:tcW w:w="360" w:type="dxa"/>
            <w:tcBorders/>
            <w:shd w:fill="CCEEFF" w:val="clear"/>
            <w:vAlign w:val="center"/>
          </w:tcPr>
          <w:p>
            <w:pPr>
              <w:pStyle w:val="TableContents"/>
              <w:bidi w:val="0"/>
              <w:spacing w:lineRule="auto" w:line="285" w:before="0" w:after="0"/>
              <w:ind w:left="0" w:right="0" w:hanging="0"/>
              <w:jc w:val="left"/>
              <w:rPr/>
            </w:pPr>
            <w:r>
              <w:rPr/>
              <w:t> </w:t>
            </w:r>
          </w:p>
        </w:tc>
        <w:tc>
          <w:tcPr>
            <w:tcW w:w="12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(14,951)</w:t>
            </w:r>
          </w:p>
        </w:tc>
        <w:tc>
          <w:tcPr>
            <w:tcW w:w="681" w:type="dxa"/>
            <w:tcBorders/>
            <w:shd w:fill="CCEEFF" w:val="clear"/>
            <w:vAlign w:val="center"/>
          </w:tcPr>
          <w:p>
            <w:pPr>
              <w:pStyle w:val="TableContents"/>
              <w:bidi w:val="0"/>
              <w:spacing w:lineRule="auto" w:line="285" w:before="0" w:after="0"/>
              <w:ind w:left="0" w:right="0" w:hanging="0"/>
              <w:jc w:val="left"/>
              <w:rPr/>
            </w:pPr>
            <w:r>
              <w:rPr/>
              <w:t> </w:t>
            </w:r>
          </w:p>
        </w:tc>
        <w:tc>
          <w:tcPr>
            <w:tcW w:w="5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pPr>
            <w:r>
              <w:rPr/>
              <w:t> </w:t>
            </w:r>
          </w:p>
        </w:tc>
        <w:tc>
          <w:tcPr>
            <w:tcW w:w="622" w:type="dxa"/>
            <w:tcBorders/>
            <w:shd w:fill="CCEEFF" w:val="clear"/>
            <w:vAlign w:val="center"/>
          </w:tcPr>
          <w:p>
            <w:pPr>
              <w:pStyle w:val="TableContents"/>
              <w:bidi w:val="0"/>
              <w:spacing w:lineRule="auto" w:line="285" w:before="0" w:after="0"/>
              <w:ind w:left="0" w:right="0" w:hanging="0"/>
              <w:jc w:val="left"/>
              <w:rPr/>
            </w:pPr>
            <w:r>
              <w:rPr/>
              <w:t> </w:t>
            </w:r>
          </w:p>
        </w:tc>
        <w:tc>
          <w:tcPr>
            <w:tcW w:w="966"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(14,951)</w:t>
            </w:r>
          </w:p>
        </w:tc>
      </w:tr>
      <w:tr>
        <w:trPr/>
        <w:tc>
          <w:tcPr>
            <w:tcW w:w="2938"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402" w:type="dxa"/>
            <w:tcBorders/>
            <w:vAlign w:val="center"/>
          </w:tcPr>
          <w:p>
            <w:pPr>
              <w:pStyle w:val="TableContents"/>
              <w:bidi w:val="0"/>
              <w:spacing w:lineRule="auto" w:line="285" w:before="0" w:after="0"/>
              <w:ind w:left="0" w:right="0" w:hanging="0"/>
              <w:jc w:val="left"/>
              <w:rPr/>
            </w:pPr>
            <w:r>
              <w:rPr/>
              <w:t> </w:t>
            </w:r>
          </w:p>
        </w:tc>
        <w:tc>
          <w:tcPr>
            <w:tcW w:w="117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0" w:type="dxa"/>
            <w:tcBorders/>
            <w:vAlign w:val="center"/>
          </w:tcPr>
          <w:p>
            <w:pPr>
              <w:pStyle w:val="TableContents"/>
              <w:bidi w:val="0"/>
              <w:spacing w:lineRule="auto" w:line="285" w:before="0" w:after="0"/>
              <w:ind w:left="0" w:right="0" w:hanging="0"/>
              <w:jc w:val="left"/>
              <w:rPr/>
            </w:pPr>
            <w:r>
              <w:rPr/>
              <w:t> </w:t>
            </w:r>
          </w:p>
        </w:tc>
        <w:tc>
          <w:tcPr>
            <w:tcW w:w="122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681" w:type="dxa"/>
            <w:tcBorders/>
            <w:vAlign w:val="center"/>
          </w:tcPr>
          <w:p>
            <w:pPr>
              <w:pStyle w:val="TableContents"/>
              <w:bidi w:val="0"/>
              <w:spacing w:lineRule="auto" w:line="285" w:before="0" w:after="0"/>
              <w:ind w:left="0" w:right="0" w:hanging="0"/>
              <w:jc w:val="left"/>
              <w:rPr/>
            </w:pPr>
            <w:r>
              <w:rPr/>
              <w:t> </w:t>
            </w:r>
          </w:p>
        </w:tc>
        <w:tc>
          <w:tcPr>
            <w:tcW w:w="57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22" w:type="dxa"/>
            <w:tcBorders/>
            <w:vAlign w:val="center"/>
          </w:tcPr>
          <w:p>
            <w:pPr>
              <w:pStyle w:val="TableContents"/>
              <w:bidi w:val="0"/>
              <w:spacing w:lineRule="auto" w:line="285" w:before="0" w:after="0"/>
              <w:ind w:left="0" w:right="0" w:hanging="0"/>
              <w:jc w:val="left"/>
              <w:rPr/>
            </w:pPr>
            <w:r>
              <w:rPr/>
              <w:t> </w:t>
            </w:r>
          </w:p>
        </w:tc>
        <w:tc>
          <w:tcPr>
            <w:tcW w:w="966"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(143)</w:t>
            </w:r>
          </w:p>
        </w:tc>
      </w:tr>
      <w:tr>
        <w:trPr/>
        <w:tc>
          <w:tcPr>
            <w:tcW w:w="29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Loss revaluation of warrant liability</w:t>
            </w:r>
          </w:p>
        </w:tc>
        <w:tc>
          <w:tcPr>
            <w:tcW w:w="19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1,429</w:t>
            </w:r>
          </w:p>
        </w:tc>
        <w:tc>
          <w:tcPr>
            <w:tcW w:w="402" w:type="dxa"/>
            <w:tcBorders/>
            <w:shd w:fill="CCEEFF" w:val="clear"/>
            <w:vAlign w:val="center"/>
          </w:tcPr>
          <w:p>
            <w:pPr>
              <w:pStyle w:val="TableContents"/>
              <w:bidi w:val="0"/>
              <w:spacing w:lineRule="auto" w:line="307" w:before="0" w:after="160"/>
              <w:ind w:left="0" w:right="0" w:hanging="0"/>
              <w:jc w:val="left"/>
              <w:rPr/>
            </w:pPr>
            <w:r>
              <w:rPr/>
              <w:t>​</w:t>
            </w:r>
          </w:p>
        </w:tc>
        <w:tc>
          <w:tcPr>
            <w:tcW w:w="11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0" w:type="dxa"/>
            <w:tcBorders/>
            <w:shd w:fill="CCEEFF" w:val="clear"/>
            <w:vAlign w:val="center"/>
          </w:tcPr>
          <w:p>
            <w:pPr>
              <w:pStyle w:val="TableContents"/>
              <w:bidi w:val="0"/>
              <w:spacing w:lineRule="auto" w:line="307" w:before="0" w:after="160"/>
              <w:ind w:left="0" w:right="0" w:hanging="0"/>
              <w:jc w:val="left"/>
              <w:rPr/>
            </w:pPr>
            <w:r>
              <w:rPr/>
              <w:t>​</w:t>
            </w:r>
          </w:p>
        </w:tc>
        <w:tc>
          <w:tcPr>
            <w:tcW w:w="12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1,429</w:t>
            </w:r>
          </w:p>
        </w:tc>
        <w:tc>
          <w:tcPr>
            <w:tcW w:w="681" w:type="dxa"/>
            <w:tcBorders/>
            <w:shd w:fill="CCEEFF" w:val="clear"/>
            <w:vAlign w:val="center"/>
          </w:tcPr>
          <w:p>
            <w:pPr>
              <w:pStyle w:val="TableContents"/>
              <w:bidi w:val="0"/>
              <w:spacing w:lineRule="auto" w:line="307" w:before="0" w:after="160"/>
              <w:ind w:left="0" w:right="0" w:hanging="0"/>
              <w:jc w:val="left"/>
              <w:rPr/>
            </w:pPr>
            <w:r>
              <w:rPr/>
              <w:t>​</w:t>
            </w:r>
          </w:p>
        </w:tc>
        <w:tc>
          <w:tcPr>
            <w:tcW w:w="5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shd w:fill="CCEEFF" w:val="clear"/>
            <w:vAlign w:val="center"/>
          </w:tcPr>
          <w:p>
            <w:pPr>
              <w:pStyle w:val="TableContents"/>
              <w:bidi w:val="0"/>
              <w:spacing w:lineRule="auto" w:line="307" w:before="0" w:after="160"/>
              <w:ind w:left="0" w:right="0" w:hanging="0"/>
              <w:jc w:val="center"/>
              <w:rPr/>
            </w:pPr>
            <w:r>
              <w:rPr/>
              <w:t>​</w:t>
            </w:r>
          </w:p>
        </w:tc>
        <w:tc>
          <w:tcPr>
            <w:tcW w:w="622" w:type="dxa"/>
            <w:tcBorders/>
            <w:shd w:fill="CCEEFF" w:val="clear"/>
            <w:vAlign w:val="center"/>
          </w:tcPr>
          <w:p>
            <w:pPr>
              <w:pStyle w:val="TableContents"/>
              <w:bidi w:val="0"/>
              <w:spacing w:lineRule="auto" w:line="307" w:before="0" w:after="160"/>
              <w:ind w:left="0" w:right="0" w:hanging="0"/>
              <w:jc w:val="left"/>
              <w:rPr/>
            </w:pPr>
            <w:r>
              <w:rPr/>
              <w:t>​</w:t>
            </w:r>
          </w:p>
        </w:tc>
        <w:tc>
          <w:tcPr>
            <w:tcW w:w="966"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1,429</w:t>
            </w:r>
          </w:p>
        </w:tc>
      </w:tr>
      <w:tr>
        <w:trPr/>
        <w:tc>
          <w:tcPr>
            <w:tcW w:w="2938"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expense, net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(129)</w:t>
            </w:r>
          </w:p>
        </w:tc>
        <w:tc>
          <w:tcPr>
            <w:tcW w:w="40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7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(129)</w:t>
            </w:r>
          </w:p>
        </w:tc>
        <w:tc>
          <w:tcPr>
            <w:tcW w:w="6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6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29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(Loss)/income before provision for income taxes</w:t>
            </w:r>
          </w:p>
        </w:tc>
        <w:tc>
          <w:tcPr>
            <w:tcW w:w="19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(15,462)</w:t>
            </w:r>
          </w:p>
        </w:tc>
        <w:tc>
          <w:tcPr>
            <w:tcW w:w="402"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1177"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(646)</w:t>
            </w:r>
          </w:p>
        </w:tc>
        <w:tc>
          <w:tcPr>
            <w:tcW w:w="36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1223"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(16,108)</w:t>
            </w:r>
          </w:p>
        </w:tc>
        <w:tc>
          <w:tcPr>
            <w:tcW w:w="68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578"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22"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966" w:type="dxa"/>
            <w:gridSpan w:val="2"/>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(16,108)</w:t>
            </w:r>
          </w:p>
        </w:tc>
      </w:tr>
      <w:tr>
        <w:trPr/>
        <w:tc>
          <w:tcPr>
            <w:tcW w:w="2938"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40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7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6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6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78</w:t>
            </w:r>
          </w:p>
        </w:tc>
      </w:tr>
      <w:tr>
        <w:trPr/>
        <w:tc>
          <w:tcPr>
            <w:tcW w:w="29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Net (loss)/income from continuing operations </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(15,540)</w:t>
            </w:r>
          </w:p>
        </w:tc>
        <w:tc>
          <w:tcPr>
            <w:tcW w:w="4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7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(646)</w:t>
            </w:r>
          </w:p>
        </w:tc>
        <w:tc>
          <w:tcPr>
            <w:tcW w:w="3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2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(16,186)</w:t>
            </w:r>
          </w:p>
        </w:tc>
        <w:tc>
          <w:tcPr>
            <w:tcW w:w="6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7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62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66" w:type="dxa"/>
            <w:gridSpan w:val="2"/>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(16,186)</w:t>
            </w:r>
          </w:p>
        </w:tc>
      </w:tr>
      <w:tr>
        <w:trPr/>
        <w:tc>
          <w:tcPr>
            <w:tcW w:w="2938"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 per share from continuing operations attributable to common stockholders - basic and diluted</w:t>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top w:val="double" w:sz="6"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(0.36)</w:t>
            </w:r>
          </w:p>
        </w:tc>
        <w:tc>
          <w:tcPr>
            <w:tcW w:w="402" w:type="dxa"/>
            <w:tcBorders>
              <w:top w:val="double" w:sz="6" w:space="0" w:color="000000"/>
            </w:tcBorders>
            <w:tcMar>
              <w:top w:w="28" w:type="dxa"/>
            </w:tcMar>
            <w:vAlign w:val="center"/>
          </w:tcPr>
          <w:p>
            <w:pPr>
              <w:pStyle w:val="TableContents"/>
              <w:bidi w:val="0"/>
              <w:spacing w:lineRule="auto" w:line="285" w:before="0" w:after="0"/>
              <w:ind w:left="0" w:right="0" w:hanging="0"/>
              <w:jc w:val="left"/>
              <w:rPr/>
            </w:pPr>
            <w:r>
              <w:rPr/>
              <w:t> </w:t>
            </w:r>
          </w:p>
        </w:tc>
        <w:tc>
          <w:tcPr>
            <w:tcW w:w="1177" w:type="dxa"/>
            <w:tcBorders>
              <w:top w:val="double" w:sz="6" w:space="0" w:color="000000"/>
            </w:tcBorders>
            <w:tcMar>
              <w:top w:w="28" w:type="dxa"/>
            </w:tcMar>
            <w:vAlign w:val="center"/>
          </w:tcPr>
          <w:p>
            <w:pPr>
              <w:pStyle w:val="TableContents"/>
              <w:bidi w:val="0"/>
              <w:spacing w:lineRule="auto" w:line="307" w:before="0" w:after="160"/>
              <w:ind w:left="0" w:right="0" w:hanging="0"/>
              <w:jc w:val="left"/>
              <w:rPr/>
            </w:pPr>
            <w:r>
              <w:rPr/>
              <w:t>​</w:t>
            </w:r>
          </w:p>
        </w:tc>
        <w:tc>
          <w:tcPr>
            <w:tcW w:w="360" w:type="dxa"/>
            <w:tcBorders>
              <w:top w:val="double" w:sz="6" w:space="0" w:color="000000"/>
            </w:tcBorders>
            <w:tcMar>
              <w:top w:w="28" w:type="dxa"/>
            </w:tcMar>
            <w:vAlign w:val="center"/>
          </w:tcPr>
          <w:p>
            <w:pPr>
              <w:pStyle w:val="TableContents"/>
              <w:bidi w:val="0"/>
              <w:spacing w:lineRule="auto" w:line="285" w:before="0" w:after="0"/>
              <w:ind w:left="0" w:right="0" w:hanging="0"/>
              <w:jc w:val="left"/>
              <w:rPr/>
            </w:pPr>
            <w:r>
              <w:rPr/>
              <w:t> </w:t>
            </w:r>
          </w:p>
        </w:tc>
        <w:tc>
          <w:tcPr>
            <w:tcW w:w="1223" w:type="dxa"/>
            <w:tcBorders>
              <w:top w:val="double" w:sz="6" w:space="0" w:color="000000"/>
            </w:tcBorders>
            <w:tcMar>
              <w:top w:w="28" w:type="dxa"/>
            </w:tcMar>
            <w:vAlign w:val="center"/>
          </w:tcPr>
          <w:p>
            <w:pPr>
              <w:pStyle w:val="TableContents"/>
              <w:bidi w:val="0"/>
              <w:spacing w:lineRule="auto" w:line="307" w:before="0" w:after="160"/>
              <w:ind w:left="0" w:right="0" w:hanging="0"/>
              <w:jc w:val="left"/>
              <w:rPr/>
            </w:pPr>
            <w:r>
              <w:rPr/>
              <w:t>​</w:t>
            </w:r>
          </w:p>
        </w:tc>
        <w:tc>
          <w:tcPr>
            <w:tcW w:w="681" w:type="dxa"/>
            <w:tcBorders>
              <w:top w:val="double" w:sz="6" w:space="0" w:color="000000"/>
            </w:tcBorders>
            <w:tcMar>
              <w:top w:w="28" w:type="dxa"/>
            </w:tcMar>
            <w:vAlign w:val="center"/>
          </w:tcPr>
          <w:p>
            <w:pPr>
              <w:pStyle w:val="TableContents"/>
              <w:bidi w:val="0"/>
              <w:spacing w:lineRule="auto" w:line="285" w:before="0" w:after="0"/>
              <w:ind w:left="0" w:right="0" w:hanging="0"/>
              <w:jc w:val="left"/>
              <w:rPr/>
            </w:pPr>
            <w:r>
              <w:rPr/>
              <w:t> </w:t>
            </w:r>
          </w:p>
        </w:tc>
        <w:tc>
          <w:tcPr>
            <w:tcW w:w="578" w:type="dxa"/>
            <w:tcBorders>
              <w:top w:val="double" w:sz="6" w:space="0" w:color="000000"/>
            </w:tcBorders>
            <w:tcMar>
              <w:top w:w="28" w:type="dxa"/>
            </w:tcMar>
            <w:vAlign w:val="center"/>
          </w:tcPr>
          <w:p>
            <w:pPr>
              <w:pStyle w:val="TableContents"/>
              <w:bidi w:val="0"/>
              <w:spacing w:lineRule="auto" w:line="307" w:before="0" w:after="160"/>
              <w:ind w:left="0" w:right="0" w:hanging="0"/>
              <w:jc w:val="left"/>
              <w:rPr/>
            </w:pPr>
            <w:r>
              <w:rPr/>
              <w:t>​</w:t>
            </w:r>
          </w:p>
        </w:tc>
        <w:tc>
          <w:tcPr>
            <w:tcW w:w="146" w:type="dxa"/>
            <w:tcBorders>
              <w:top w:val="double" w:sz="6" w:space="0" w:color="000000"/>
            </w:tcBorders>
            <w:tcMar>
              <w:top w:w="28" w:type="dxa"/>
            </w:tcMar>
            <w:vAlign w:val="center"/>
          </w:tcPr>
          <w:p>
            <w:pPr>
              <w:pStyle w:val="TableContents"/>
              <w:bidi w:val="0"/>
              <w:spacing w:lineRule="auto" w:line="285" w:before="0" w:after="0"/>
              <w:ind w:left="0" w:right="0" w:hanging="0"/>
              <w:jc w:val="left"/>
              <w:rPr/>
            </w:pPr>
            <w:r>
              <w:rPr/>
              <w:t> </w:t>
            </w:r>
          </w:p>
        </w:tc>
        <w:tc>
          <w:tcPr>
            <w:tcW w:w="622" w:type="dxa"/>
            <w:tcBorders>
              <w:top w:val="double" w:sz="6"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66" w:type="dxa"/>
            <w:gridSpan w:val="2"/>
            <w:tcBorders>
              <w:top w:val="double" w:sz="6"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(0.37)</w:t>
            </w:r>
          </w:p>
        </w:tc>
      </w:tr>
      <w:tr>
        <w:trPr/>
        <w:tc>
          <w:tcPr>
            <w:tcW w:w="2938"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60"/>
              <w:ind w:left="0" w:right="0" w:hanging="0"/>
              <w:jc w:val="left"/>
              <w:rPr>
                <w:caps w:val="false"/>
                <w:smallCaps w:val="false"/>
                <w:color w:val="000000"/>
              </w:rPr>
            </w:pPr>
            <w:r>
              <w:rPr>
                <w:caps w:val="false"/>
                <w:smallCaps w:val="false"/>
                <w:color w:val="000000"/>
              </w:rPr>
              <w:t>​</w:t>
            </w:r>
          </w:p>
        </w:tc>
        <w:tc>
          <w:tcPr>
            <w:tcW w:w="916" w:type="dxa"/>
            <w:tcBorders/>
            <w:shd w:fill="CCEEFF" w:val="clear"/>
            <w:vAlign w:val="center"/>
          </w:tcPr>
          <w:p>
            <w:pPr>
              <w:pStyle w:val="TableContents"/>
              <w:bidi w:val="0"/>
              <w:spacing w:lineRule="auto" w:line="307" w:before="0" w:after="160"/>
              <w:ind w:left="0" w:right="0" w:hanging="0"/>
              <w:jc w:val="right"/>
              <w:rPr>
                <w:caps w:val="false"/>
                <w:smallCaps w:val="false"/>
                <w:color w:val="000000"/>
              </w:rPr>
            </w:pPr>
            <w:r>
              <w:rPr>
                <w:caps w:val="false"/>
                <w:smallCaps w:val="false"/>
                <w:color w:val="000000"/>
              </w:rPr>
              <w:t>​</w:t>
            </w:r>
          </w:p>
        </w:tc>
        <w:tc>
          <w:tcPr>
            <w:tcW w:w="402" w:type="dxa"/>
            <w:tcBorders/>
            <w:shd w:fill="CCEEFF" w:val="clear"/>
            <w:vAlign w:val="center"/>
          </w:tcPr>
          <w:p>
            <w:pPr>
              <w:pStyle w:val="TableContents"/>
              <w:bidi w:val="0"/>
              <w:spacing w:lineRule="auto" w:line="307" w:before="0" w:after="160"/>
              <w:ind w:left="0" w:right="0" w:hanging="0"/>
              <w:jc w:val="right"/>
              <w:rPr/>
            </w:pPr>
            <w:r>
              <w:rPr/>
              <w:t>​</w:t>
            </w:r>
          </w:p>
        </w:tc>
        <w:tc>
          <w:tcPr>
            <w:tcW w:w="1177" w:type="dxa"/>
            <w:tcBorders/>
            <w:shd w:fill="CCEEFF" w:val="clear"/>
            <w:vAlign w:val="center"/>
          </w:tcPr>
          <w:p>
            <w:pPr>
              <w:pStyle w:val="TableContents"/>
              <w:bidi w:val="0"/>
              <w:spacing w:lineRule="auto" w:line="307" w:before="0" w:after="160"/>
              <w:ind w:left="0" w:right="0" w:hanging="0"/>
              <w:jc w:val="right"/>
              <w:rPr/>
            </w:pPr>
            <w:r>
              <w:rPr/>
              <w:t>​</w:t>
            </w:r>
          </w:p>
        </w:tc>
        <w:tc>
          <w:tcPr>
            <w:tcW w:w="360" w:type="dxa"/>
            <w:tcBorders/>
            <w:shd w:fill="CCEEFF" w:val="clear"/>
            <w:vAlign w:val="center"/>
          </w:tcPr>
          <w:p>
            <w:pPr>
              <w:pStyle w:val="TableContents"/>
              <w:bidi w:val="0"/>
              <w:spacing w:lineRule="auto" w:line="307" w:before="0" w:after="160"/>
              <w:ind w:left="0" w:right="0" w:hanging="0"/>
              <w:jc w:val="right"/>
              <w:rPr/>
            </w:pPr>
            <w:r>
              <w:rPr/>
              <w:t>​</w:t>
            </w:r>
          </w:p>
        </w:tc>
        <w:tc>
          <w:tcPr>
            <w:tcW w:w="1223" w:type="dxa"/>
            <w:tcBorders/>
            <w:shd w:fill="CCEEFF" w:val="clear"/>
            <w:vAlign w:val="center"/>
          </w:tcPr>
          <w:p>
            <w:pPr>
              <w:pStyle w:val="TableContents"/>
              <w:bidi w:val="0"/>
              <w:spacing w:lineRule="auto" w:line="307" w:before="0" w:after="160"/>
              <w:ind w:left="0" w:right="0" w:hanging="0"/>
              <w:jc w:val="right"/>
              <w:rPr/>
            </w:pPr>
            <w:r>
              <w:rPr/>
              <w:t>​</w:t>
            </w:r>
          </w:p>
        </w:tc>
        <w:tc>
          <w:tcPr>
            <w:tcW w:w="681" w:type="dxa"/>
            <w:tcBorders/>
            <w:shd w:fill="CCEEFF" w:val="clear"/>
            <w:vAlign w:val="center"/>
          </w:tcPr>
          <w:p>
            <w:pPr>
              <w:pStyle w:val="TableContents"/>
              <w:bidi w:val="0"/>
              <w:spacing w:lineRule="auto" w:line="307" w:before="0" w:after="160"/>
              <w:ind w:left="0" w:right="0" w:hanging="0"/>
              <w:jc w:val="right"/>
              <w:rPr/>
            </w:pPr>
            <w:r>
              <w:rPr/>
              <w:t>​</w:t>
            </w:r>
          </w:p>
        </w:tc>
        <w:tc>
          <w:tcPr>
            <w:tcW w:w="578"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right"/>
              <w:rPr/>
            </w:pPr>
            <w:r>
              <w:rPr/>
              <w:t>​</w:t>
            </w:r>
          </w:p>
        </w:tc>
        <w:tc>
          <w:tcPr>
            <w:tcW w:w="622" w:type="dxa"/>
            <w:tcBorders/>
            <w:shd w:fill="CCEEFF" w:val="clear"/>
            <w:vAlign w:val="center"/>
          </w:tcPr>
          <w:p>
            <w:pPr>
              <w:pStyle w:val="TableContents"/>
              <w:bidi w:val="0"/>
              <w:spacing w:lineRule="auto" w:line="307" w:before="0" w:after="160"/>
              <w:ind w:left="0" w:right="0" w:hanging="0"/>
              <w:jc w:val="right"/>
              <w:rPr>
                <w:caps w:val="false"/>
                <w:smallCaps w:val="false"/>
                <w:color w:val="000000"/>
              </w:rPr>
            </w:pPr>
            <w:r>
              <w:rPr>
                <w:caps w:val="false"/>
                <w:smallCaps w:val="false"/>
                <w:color w:val="000000"/>
              </w:rPr>
              <w:t>​</w:t>
            </w:r>
          </w:p>
        </w:tc>
        <w:tc>
          <w:tcPr>
            <w:tcW w:w="966" w:type="dxa"/>
            <w:gridSpan w:val="2"/>
            <w:tcBorders/>
            <w:shd w:fill="CCEEFF" w:val="clear"/>
            <w:vAlign w:val="center"/>
          </w:tcPr>
          <w:p>
            <w:pPr>
              <w:pStyle w:val="TableContents"/>
              <w:bidi w:val="0"/>
              <w:spacing w:lineRule="auto" w:line="307" w:before="0" w:after="160"/>
              <w:ind w:left="0" w:right="0" w:hanging="0"/>
              <w:jc w:val="right"/>
              <w:rPr>
                <w:caps w:val="false"/>
                <w:smallCaps w:val="false"/>
                <w:color w:val="000000"/>
              </w:rPr>
            </w:pPr>
            <w:r>
              <w:rPr>
                <w:caps w:val="false"/>
                <w:smallCaps w:val="false"/>
                <w:color w:val="000000"/>
              </w:rPr>
              <w:t>​</w:t>
            </w:r>
          </w:p>
        </w:tc>
      </w:tr>
      <w:tr>
        <w:trPr/>
        <w:tc>
          <w:tcPr>
            <w:tcW w:w="2938"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Weighted average common shares outstanding - basic and diluted</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43,622,360</w:t>
            </w:r>
          </w:p>
        </w:tc>
        <w:tc>
          <w:tcPr>
            <w:tcW w:w="402" w:type="dxa"/>
            <w:tcBorders/>
            <w:vAlign w:val="center"/>
          </w:tcPr>
          <w:p>
            <w:pPr>
              <w:pStyle w:val="TableContents"/>
              <w:bidi w:val="0"/>
              <w:spacing w:lineRule="auto" w:line="285" w:before="0" w:after="0"/>
              <w:ind w:left="0" w:right="0" w:hanging="0"/>
              <w:jc w:val="right"/>
              <w:rPr/>
            </w:pPr>
            <w:r>
              <w:rPr/>
              <w:t> </w:t>
            </w:r>
          </w:p>
        </w:tc>
        <w:tc>
          <w:tcPr>
            <w:tcW w:w="1177" w:type="dxa"/>
            <w:tcBorders/>
            <w:vAlign w:val="center"/>
          </w:tcPr>
          <w:p>
            <w:pPr>
              <w:pStyle w:val="TableContents"/>
              <w:bidi w:val="0"/>
              <w:spacing w:lineRule="auto" w:line="285" w:before="0" w:after="0"/>
              <w:ind w:left="0" w:right="0" w:hanging="0"/>
              <w:jc w:val="right"/>
              <w:rPr/>
            </w:pPr>
            <w:r>
              <w:rPr/>
              <w:t> </w:t>
            </w:r>
          </w:p>
        </w:tc>
        <w:tc>
          <w:tcPr>
            <w:tcW w:w="360" w:type="dxa"/>
            <w:tcBorders/>
            <w:vAlign w:val="center"/>
          </w:tcPr>
          <w:p>
            <w:pPr>
              <w:pStyle w:val="TableContents"/>
              <w:bidi w:val="0"/>
              <w:spacing w:lineRule="auto" w:line="285" w:before="0" w:after="0"/>
              <w:ind w:left="0" w:right="0" w:hanging="0"/>
              <w:jc w:val="right"/>
              <w:rPr/>
            </w:pPr>
            <w:r>
              <w:rPr/>
              <w:t> </w:t>
            </w:r>
          </w:p>
        </w:tc>
        <w:tc>
          <w:tcPr>
            <w:tcW w:w="1223" w:type="dxa"/>
            <w:tcBorders/>
            <w:vAlign w:val="center"/>
          </w:tcPr>
          <w:p>
            <w:pPr>
              <w:pStyle w:val="TableContents"/>
              <w:bidi w:val="0"/>
              <w:spacing w:lineRule="auto" w:line="285" w:before="0" w:after="0"/>
              <w:ind w:left="0" w:right="0" w:hanging="0"/>
              <w:jc w:val="right"/>
              <w:rPr/>
            </w:pPr>
            <w:r>
              <w:rPr/>
              <w:t> </w:t>
            </w:r>
          </w:p>
        </w:tc>
        <w:tc>
          <w:tcPr>
            <w:tcW w:w="681" w:type="dxa"/>
            <w:tcBorders/>
            <w:vAlign w:val="center"/>
          </w:tcPr>
          <w:p>
            <w:pPr>
              <w:pStyle w:val="TableContents"/>
              <w:bidi w:val="0"/>
              <w:spacing w:lineRule="auto" w:line="285" w:before="0" w:after="0"/>
              <w:ind w:left="0" w:right="0" w:hanging="0"/>
              <w:jc w:val="right"/>
              <w:rPr/>
            </w:pPr>
            <w:r>
              <w:rPr/>
              <w:t> </w:t>
            </w:r>
          </w:p>
        </w:tc>
        <w:tc>
          <w:tcPr>
            <w:tcW w:w="578"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 </w:t>
            </w:r>
          </w:p>
        </w:tc>
        <w:tc>
          <w:tcPr>
            <w:tcW w:w="62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6" w:type="dxa"/>
            <w:gridSpan w:val="2"/>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43,622,360</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pro forma condensed consolidated financial information.</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PRO FORMA CONDENSED CONSOLIDATED STATEMENT OF OPERATIONS</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For the Twelve Months Ended December 31, 2025</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307" w:before="0" w:after="160"/>
        <w:ind w:left="0" w:right="0" w:hanging="360"/>
        <w:jc w:val="center"/>
        <w:rPr/>
      </w:pPr>
      <w:r>
        <w:rPr/>
        <w:t>​</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307" w:before="0" w:after="16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686"/>
        <w:gridCol w:w="196"/>
        <w:gridCol w:w="916"/>
        <w:gridCol w:w="54"/>
        <w:gridCol w:w="179"/>
        <w:gridCol w:w="1535"/>
        <w:gridCol w:w="148"/>
        <w:gridCol w:w="925"/>
        <w:gridCol w:w="920"/>
        <w:gridCol w:w="180"/>
        <w:gridCol w:w="646"/>
        <w:gridCol w:w="550"/>
        <w:gridCol w:w="196"/>
        <w:gridCol w:w="916"/>
        <w:gridCol w:w="158"/>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705610" cy="29210"/>
                      <wp:effectExtent l="0" t="0" r="0" b="0"/>
                      <wp:wrapNone/>
                      <wp:docPr id="13" name="Frame13"/>
                      <a:graphic xmlns:a="http://schemas.openxmlformats.org/drawingml/2006/main">
                        <a:graphicData uri="http://schemas.microsoft.com/office/word/2010/wordprocessingShape">
                          <wps:wsp>
                            <wps:cNvSpPr txBox="1"/>
                            <wps:spPr>
                              <a:xfrm>
                                <a:off x="0" y="0"/>
                                <a:ext cx="170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29210"/>
                      <wp:effectExtent l="0" t="0" r="0" b="0"/>
                      <wp:wrapNone/>
                      <wp:docPr id="14" name="Frame14"/>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3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7955" cy="29210"/>
                      <wp:effectExtent l="0" t="0" r="0" b="0"/>
                      <wp:wrapNone/>
                      <wp:docPr id="16" name="Frame16"/>
                      <a:graphic xmlns:a="http://schemas.openxmlformats.org/drawingml/2006/main">
                        <a:graphicData uri="http://schemas.microsoft.com/office/word/2010/wordprocessingShape">
                          <wps:wsp>
                            <wps:cNvSpPr txBox="1"/>
                            <wps:spPr>
                              <a:xfrm>
                                <a:off x="0" y="0"/>
                                <a:ext cx="1479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74725" cy="175260"/>
                      <wp:effectExtent l="0" t="0" r="0" b="0"/>
                      <wp:wrapNone/>
                      <wp:docPr id="17" name="Frame17"/>
                      <a:graphic xmlns:a="http://schemas.openxmlformats.org/drawingml/2006/main">
                        <a:graphicData uri="http://schemas.microsoft.com/office/word/2010/wordprocessingShape">
                          <wps:wsp>
                            <wps:cNvSpPr txBox="1"/>
                            <wps:spPr>
                              <a:xfrm>
                                <a:off x="0" y="0"/>
                                <a:ext cx="97472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7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81355" cy="29210"/>
                      <wp:effectExtent l="0" t="0" r="0" b="0"/>
                      <wp:wrapNone/>
                      <wp:docPr id="18" name="Frame18"/>
                      <a:graphic xmlns:a="http://schemas.openxmlformats.org/drawingml/2006/main">
                        <a:graphicData uri="http://schemas.microsoft.com/office/word/2010/wordprocessingShape">
                          <wps:wsp>
                            <wps:cNvSpPr txBox="1"/>
                            <wps:spPr>
                              <a:xfrm>
                                <a:off x="0" y="0"/>
                                <a:ext cx="6813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0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8500" cy="175260"/>
                      <wp:effectExtent l="0" t="0" r="0" b="0"/>
                      <wp:wrapNone/>
                      <wp:docPr id="19" name="Frame19"/>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10210" cy="29210"/>
                      <wp:effectExtent l="0" t="0" r="0" b="0"/>
                      <wp:wrapNone/>
                      <wp:docPr id="20" name="Frame20"/>
                      <a:graphic xmlns:a="http://schemas.openxmlformats.org/drawingml/2006/main">
                        <a:graphicData uri="http://schemas.microsoft.com/office/word/2010/wordprocessingShape">
                          <wps:wsp>
                            <wps:cNvSpPr txBox="1"/>
                            <wps:spPr>
                              <a:xfrm>
                                <a:off x="0" y="0"/>
                                <a:ext cx="41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49250" cy="175260"/>
                      <wp:effectExtent l="0" t="0" r="0" b="0"/>
                      <wp:wrapNone/>
                      <wp:docPr id="21" name="Frame21"/>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29210"/>
                      <wp:effectExtent l="0" t="0" r="0" b="0"/>
                      <wp:wrapNone/>
                      <wp:docPr id="22" name="Frame22"/>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81660" cy="175260"/>
                      <wp:effectExtent l="0" t="0" r="0" b="0"/>
                      <wp:wrapNone/>
                      <wp:docPr id="23" name="Frame2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283"/>
              <w:ind w:left="0" w:right="0" w:hanging="0"/>
              <w:jc w:val="left"/>
              <w:rPr>
                <w:sz w:val="4"/>
                <w:szCs w:val="4"/>
              </w:rPr>
            </w:pPr>
            <w:r>
              <w:rPr>
                <w:sz w:val="4"/>
                <w:szCs w:val="4"/>
              </w:rPr>
            </w:r>
          </w:p>
        </w:tc>
        <w:tc>
          <w:tcPr>
            <w:tcW w:w="1166"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Historical</w:t>
            </w:r>
          </w:p>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reported)</w:t>
            </w:r>
          </w:p>
        </w:tc>
        <w:tc>
          <w:tcPr>
            <w:tcW w:w="1862"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SimpliDerm Discontinued Operations </w:t>
              <w:br/>
              <w:t>(Note a)</w:t>
            </w:r>
          </w:p>
        </w:tc>
        <w:tc>
          <w:tcPr>
            <w:tcW w:w="18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Adjusted for Discontinued Operations</w:t>
            </w:r>
          </w:p>
        </w:tc>
        <w:tc>
          <w:tcPr>
            <w:tcW w:w="1376"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sz w:val="16"/>
              </w:rPr>
            </w:pPr>
            <w:r>
              <w:rPr>
                <w:rFonts w:ascii="Times New Roman;Times;serif" w:hAnsi="Times New Roman;Times;serif"/>
                <w:b/>
                <w:sz w:val="16"/>
              </w:rPr>
              <w:t>Transaction Accounting</w:t>
            </w:r>
            <w:r>
              <w:rPr>
                <w:rFonts w:ascii="Helvetica;sans-serif" w:hAnsi="Helvetica;sans-serif"/>
                <w:sz w:val="22"/>
              </w:rPr>
              <w:br/>
            </w:r>
            <w:r>
              <w:rPr>
                <w:rFonts w:ascii="Times New Roman;Times;serif" w:hAnsi="Times New Roman;Times;serif"/>
                <w:b/>
                <w:sz w:val="16"/>
              </w:rPr>
              <w:t>Adjustments</w:t>
            </w:r>
          </w:p>
        </w:tc>
        <w:tc>
          <w:tcPr>
            <w:tcW w:w="1270"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Pro Forma</w:t>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12,293</w:t>
            </w:r>
          </w:p>
        </w:tc>
        <w:tc>
          <w:tcPr>
            <w:tcW w:w="233" w:type="dxa"/>
            <w:gridSpan w:val="2"/>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15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(9,138)</w:t>
            </w:r>
          </w:p>
        </w:tc>
        <w:tc>
          <w:tcPr>
            <w:tcW w:w="1073" w:type="dxa"/>
            <w:gridSpan w:val="2"/>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1100"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3,155</w:t>
            </w:r>
          </w:p>
        </w:tc>
        <w:tc>
          <w:tcPr>
            <w:tcW w:w="6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5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3,155</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Cost of goods sold</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5,697</w:t>
            </w:r>
          </w:p>
        </w:tc>
        <w:tc>
          <w:tcPr>
            <w:tcW w:w="2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5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(3,986)</w:t>
            </w:r>
          </w:p>
        </w:tc>
        <w:tc>
          <w:tcPr>
            <w:tcW w:w="107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1,711</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5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1,711</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6,596</w:t>
            </w:r>
          </w:p>
        </w:tc>
        <w:tc>
          <w:tcPr>
            <w:tcW w:w="233"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153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(5,152)</w:t>
            </w:r>
          </w:p>
        </w:tc>
        <w:tc>
          <w:tcPr>
            <w:tcW w:w="1073"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1100"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1,444</w:t>
            </w:r>
          </w:p>
        </w:tc>
        <w:tc>
          <w:tcPr>
            <w:tcW w:w="6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55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1,444</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5,765</w:t>
            </w:r>
          </w:p>
        </w:tc>
        <w:tc>
          <w:tcPr>
            <w:tcW w:w="233" w:type="dxa"/>
            <w:gridSpan w:val="2"/>
            <w:tcBorders/>
            <w:vAlign w:val="center"/>
          </w:tcPr>
          <w:p>
            <w:pPr>
              <w:pStyle w:val="TableContents"/>
              <w:bidi w:val="0"/>
              <w:spacing w:lineRule="auto" w:line="285" w:before="0" w:after="0"/>
              <w:ind w:left="0" w:right="0" w:hanging="0"/>
              <w:jc w:val="left"/>
              <w:rPr/>
            </w:pPr>
            <w:r>
              <w:rPr/>
              <w:t> </w:t>
            </w:r>
          </w:p>
        </w:tc>
        <w:tc>
          <w:tcPr>
            <w:tcW w:w="153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(2,627)</w:t>
            </w:r>
          </w:p>
        </w:tc>
        <w:tc>
          <w:tcPr>
            <w:tcW w:w="1073" w:type="dxa"/>
            <w:gridSpan w:val="2"/>
            <w:tcBorders/>
            <w:vAlign w:val="center"/>
          </w:tcPr>
          <w:p>
            <w:pPr>
              <w:pStyle w:val="TableContents"/>
              <w:bidi w:val="0"/>
              <w:spacing w:lineRule="auto" w:line="285" w:before="0" w:after="0"/>
              <w:ind w:left="0" w:right="0" w:hanging="0"/>
              <w:jc w:val="left"/>
              <w:rPr/>
            </w:pPr>
            <w:r>
              <w:rPr/>
              <w:t> </w:t>
            </w:r>
          </w:p>
        </w:tc>
        <w:tc>
          <w:tcPr>
            <w:tcW w:w="1100"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3,138</w:t>
            </w:r>
          </w:p>
        </w:tc>
        <w:tc>
          <w:tcPr>
            <w:tcW w:w="646" w:type="dxa"/>
            <w:tcBorders/>
            <w:vAlign w:val="center"/>
          </w:tcPr>
          <w:p>
            <w:pPr>
              <w:pStyle w:val="TableContents"/>
              <w:bidi w:val="0"/>
              <w:spacing w:lineRule="auto" w:line="285" w:before="0" w:after="0"/>
              <w:ind w:left="0" w:right="0" w:hanging="0"/>
              <w:jc w:val="left"/>
              <w:rPr/>
            </w:pPr>
            <w:r>
              <w:rPr/>
              <w:t> </w:t>
            </w:r>
          </w:p>
        </w:tc>
        <w:tc>
          <w:tcPr>
            <w:tcW w:w="55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3,138</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15,080</w:t>
            </w:r>
          </w:p>
        </w:tc>
        <w:tc>
          <w:tcPr>
            <w:tcW w:w="233" w:type="dxa"/>
            <w:gridSpan w:val="2"/>
            <w:tcBorders/>
            <w:shd w:fill="CCEEFF" w:val="clear"/>
            <w:vAlign w:val="center"/>
          </w:tcPr>
          <w:p>
            <w:pPr>
              <w:pStyle w:val="TableContents"/>
              <w:bidi w:val="0"/>
              <w:spacing w:lineRule="auto" w:line="285" w:before="0" w:after="0"/>
              <w:ind w:left="0" w:right="0" w:hanging="0"/>
              <w:jc w:val="left"/>
              <w:rPr/>
            </w:pPr>
            <w:r>
              <w:rPr/>
              <w:t> </w:t>
            </w:r>
          </w:p>
        </w:tc>
        <w:tc>
          <w:tcPr>
            <w:tcW w:w="15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(508)</w:t>
            </w:r>
          </w:p>
        </w:tc>
        <w:tc>
          <w:tcPr>
            <w:tcW w:w="1073" w:type="dxa"/>
            <w:gridSpan w:val="2"/>
            <w:tcBorders/>
            <w:shd w:fill="CCEEFF" w:val="clear"/>
            <w:vAlign w:val="center"/>
          </w:tcPr>
          <w:p>
            <w:pPr>
              <w:pStyle w:val="TableContents"/>
              <w:bidi w:val="0"/>
              <w:spacing w:lineRule="auto" w:line="285" w:before="0" w:after="0"/>
              <w:ind w:left="0" w:right="0" w:hanging="0"/>
              <w:jc w:val="left"/>
              <w:rPr/>
            </w:pPr>
            <w:r>
              <w:rPr/>
              <w:t> </w:t>
            </w:r>
          </w:p>
        </w:tc>
        <w:tc>
          <w:tcPr>
            <w:tcW w:w="1100"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14,572</w:t>
            </w:r>
          </w:p>
        </w:tc>
        <w:tc>
          <w:tcPr>
            <w:tcW w:w="646" w:type="dxa"/>
            <w:tcBorders/>
            <w:shd w:fill="CCEEFF" w:val="clear"/>
            <w:vAlign w:val="center"/>
          </w:tcPr>
          <w:p>
            <w:pPr>
              <w:pStyle w:val="TableContents"/>
              <w:bidi w:val="0"/>
              <w:spacing w:lineRule="auto" w:line="285" w:before="0" w:after="0"/>
              <w:ind w:left="0" w:right="0" w:hanging="0"/>
              <w:jc w:val="left"/>
              <w:rPr/>
            </w:pPr>
            <w:r>
              <w:rPr/>
              <w:t> </w:t>
            </w:r>
          </w:p>
        </w:tc>
        <w:tc>
          <w:tcPr>
            <w:tcW w:w="5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14,572</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4,163</w:t>
            </w:r>
          </w:p>
        </w:tc>
        <w:tc>
          <w:tcPr>
            <w:tcW w:w="233" w:type="dxa"/>
            <w:gridSpan w:val="2"/>
            <w:tcBorders/>
            <w:vAlign w:val="center"/>
          </w:tcPr>
          <w:p>
            <w:pPr>
              <w:pStyle w:val="TableContents"/>
              <w:bidi w:val="0"/>
              <w:spacing w:lineRule="auto" w:line="285" w:before="0" w:after="0"/>
              <w:ind w:left="0" w:right="0" w:hanging="0"/>
              <w:jc w:val="left"/>
              <w:rPr/>
            </w:pPr>
            <w:r>
              <w:rPr/>
              <w:t> </w:t>
            </w:r>
          </w:p>
        </w:tc>
        <w:tc>
          <w:tcPr>
            <w:tcW w:w="153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73" w:type="dxa"/>
            <w:gridSpan w:val="2"/>
            <w:tcBorders/>
            <w:vAlign w:val="center"/>
          </w:tcPr>
          <w:p>
            <w:pPr>
              <w:pStyle w:val="TableContents"/>
              <w:bidi w:val="0"/>
              <w:spacing w:lineRule="auto" w:line="285" w:before="0" w:after="0"/>
              <w:ind w:left="0" w:right="0" w:hanging="0"/>
              <w:jc w:val="left"/>
              <w:rPr/>
            </w:pPr>
            <w:r>
              <w:rPr/>
              <w:t> </w:t>
            </w:r>
          </w:p>
        </w:tc>
        <w:tc>
          <w:tcPr>
            <w:tcW w:w="1100"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4,163</w:t>
            </w:r>
          </w:p>
        </w:tc>
        <w:tc>
          <w:tcPr>
            <w:tcW w:w="646" w:type="dxa"/>
            <w:tcBorders/>
            <w:vAlign w:val="center"/>
          </w:tcPr>
          <w:p>
            <w:pPr>
              <w:pStyle w:val="TableContents"/>
              <w:bidi w:val="0"/>
              <w:spacing w:lineRule="auto" w:line="285" w:before="0" w:after="0"/>
              <w:ind w:left="0" w:right="0" w:hanging="0"/>
              <w:jc w:val="left"/>
              <w:rPr/>
            </w:pPr>
            <w:r>
              <w:rPr/>
              <w:t> </w:t>
            </w:r>
          </w:p>
        </w:tc>
        <w:tc>
          <w:tcPr>
            <w:tcW w:w="55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4,163</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Litigation costs, net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8,499</w:t>
            </w:r>
          </w:p>
        </w:tc>
        <w:tc>
          <w:tcPr>
            <w:tcW w:w="233" w:type="dxa"/>
            <w:gridSpan w:val="2"/>
            <w:tcBorders/>
            <w:shd w:fill="CCEEFF" w:val="clear"/>
            <w:vAlign w:val="center"/>
          </w:tcPr>
          <w:p>
            <w:pPr>
              <w:pStyle w:val="TableContents"/>
              <w:bidi w:val="0"/>
              <w:spacing w:lineRule="auto" w:line="285" w:before="0" w:after="0"/>
              <w:ind w:left="0" w:right="0" w:hanging="0"/>
              <w:jc w:val="left"/>
              <w:rPr/>
            </w:pPr>
            <w:r>
              <w:rPr/>
              <w:t> </w:t>
            </w:r>
          </w:p>
        </w:tc>
        <w:tc>
          <w:tcPr>
            <w:tcW w:w="15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73" w:type="dxa"/>
            <w:gridSpan w:val="2"/>
            <w:tcBorders/>
            <w:shd w:fill="CCEEFF" w:val="clear"/>
            <w:vAlign w:val="center"/>
          </w:tcPr>
          <w:p>
            <w:pPr>
              <w:pStyle w:val="TableContents"/>
              <w:bidi w:val="0"/>
              <w:spacing w:lineRule="auto" w:line="285" w:before="0" w:after="0"/>
              <w:ind w:left="0" w:right="0" w:hanging="0"/>
              <w:jc w:val="left"/>
              <w:rPr/>
            </w:pPr>
            <w:r>
              <w:rPr/>
              <w:t> </w:t>
            </w:r>
          </w:p>
        </w:tc>
        <w:tc>
          <w:tcPr>
            <w:tcW w:w="1100"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8,499</w:t>
            </w:r>
          </w:p>
        </w:tc>
        <w:tc>
          <w:tcPr>
            <w:tcW w:w="646" w:type="dxa"/>
            <w:tcBorders/>
            <w:shd w:fill="CCEEFF" w:val="clear"/>
            <w:vAlign w:val="center"/>
          </w:tcPr>
          <w:p>
            <w:pPr>
              <w:pStyle w:val="TableContents"/>
              <w:bidi w:val="0"/>
              <w:spacing w:lineRule="auto" w:line="285" w:before="0" w:after="0"/>
              <w:ind w:left="0" w:right="0" w:hanging="0"/>
              <w:jc w:val="left"/>
              <w:rPr/>
            </w:pPr>
            <w:r>
              <w:rPr/>
              <w:t> </w:t>
            </w:r>
          </w:p>
        </w:tc>
        <w:tc>
          <w:tcPr>
            <w:tcW w:w="5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8,499</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33,507</w:t>
            </w:r>
          </w:p>
        </w:tc>
        <w:tc>
          <w:tcPr>
            <w:tcW w:w="233"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153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(3,135)</w:t>
            </w:r>
          </w:p>
        </w:tc>
        <w:tc>
          <w:tcPr>
            <w:tcW w:w="1073"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1100"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30,372</w:t>
            </w:r>
          </w:p>
        </w:tc>
        <w:tc>
          <w:tcPr>
            <w:tcW w:w="64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550"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30,372</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(Loss)/income from operations</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(26,911)</w:t>
            </w:r>
          </w:p>
        </w:tc>
        <w:tc>
          <w:tcPr>
            <w:tcW w:w="233" w:type="dxa"/>
            <w:gridSpan w:val="2"/>
            <w:tcBorders/>
            <w:shd w:fill="CCEEFF" w:val="clear"/>
            <w:vAlign w:val="center"/>
          </w:tcPr>
          <w:p>
            <w:pPr>
              <w:pStyle w:val="TableContents"/>
              <w:bidi w:val="0"/>
              <w:spacing w:lineRule="auto" w:line="285" w:before="0" w:after="0"/>
              <w:ind w:left="0" w:right="0" w:hanging="0"/>
              <w:jc w:val="left"/>
              <w:rPr/>
            </w:pPr>
            <w:r>
              <w:rPr/>
              <w:t> </w:t>
            </w:r>
          </w:p>
        </w:tc>
        <w:tc>
          <w:tcPr>
            <w:tcW w:w="15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(2,017)</w:t>
            </w:r>
          </w:p>
        </w:tc>
        <w:tc>
          <w:tcPr>
            <w:tcW w:w="1073" w:type="dxa"/>
            <w:gridSpan w:val="2"/>
            <w:tcBorders/>
            <w:shd w:fill="CCEEFF" w:val="clear"/>
            <w:vAlign w:val="center"/>
          </w:tcPr>
          <w:p>
            <w:pPr>
              <w:pStyle w:val="TableContents"/>
              <w:bidi w:val="0"/>
              <w:spacing w:lineRule="auto" w:line="285" w:before="0" w:after="0"/>
              <w:ind w:left="0" w:right="0" w:hanging="0"/>
              <w:jc w:val="left"/>
              <w:rPr/>
            </w:pPr>
            <w:r>
              <w:rPr/>
              <w:t> </w:t>
            </w:r>
          </w:p>
        </w:tc>
        <w:tc>
          <w:tcPr>
            <w:tcW w:w="1100"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(28,928)</w:t>
            </w:r>
          </w:p>
        </w:tc>
        <w:tc>
          <w:tcPr>
            <w:tcW w:w="646" w:type="dxa"/>
            <w:tcBorders/>
            <w:shd w:fill="CCEEFF" w:val="clear"/>
            <w:vAlign w:val="center"/>
          </w:tcPr>
          <w:p>
            <w:pPr>
              <w:pStyle w:val="TableContents"/>
              <w:bidi w:val="0"/>
              <w:spacing w:lineRule="auto" w:line="285" w:before="0" w:after="0"/>
              <w:ind w:left="0" w:right="0" w:hanging="0"/>
              <w:jc w:val="left"/>
              <w:rPr/>
            </w:pPr>
            <w:r>
              <w:rPr/>
              <w:t> </w:t>
            </w:r>
          </w:p>
        </w:tc>
        <w:tc>
          <w:tcPr>
            <w:tcW w:w="5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(28,928)</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(387)</w:t>
            </w:r>
          </w:p>
        </w:tc>
        <w:tc>
          <w:tcPr>
            <w:tcW w:w="233" w:type="dxa"/>
            <w:gridSpan w:val="2"/>
            <w:tcBorders/>
            <w:vAlign w:val="center"/>
          </w:tcPr>
          <w:p>
            <w:pPr>
              <w:pStyle w:val="TableContents"/>
              <w:bidi w:val="0"/>
              <w:spacing w:lineRule="auto" w:line="285" w:before="0" w:after="0"/>
              <w:ind w:left="0" w:right="0" w:hanging="0"/>
              <w:jc w:val="left"/>
              <w:rPr/>
            </w:pPr>
            <w:r>
              <w:rPr/>
              <w:t> </w:t>
            </w:r>
          </w:p>
        </w:tc>
        <w:tc>
          <w:tcPr>
            <w:tcW w:w="1535"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73" w:type="dxa"/>
            <w:gridSpan w:val="2"/>
            <w:tcBorders/>
            <w:vAlign w:val="center"/>
          </w:tcPr>
          <w:p>
            <w:pPr>
              <w:pStyle w:val="TableContents"/>
              <w:bidi w:val="0"/>
              <w:spacing w:lineRule="auto" w:line="285" w:before="0" w:after="0"/>
              <w:ind w:left="0" w:right="0" w:hanging="0"/>
              <w:jc w:val="left"/>
              <w:rPr/>
            </w:pPr>
            <w:r>
              <w:rPr/>
              <w:t> </w:t>
            </w:r>
          </w:p>
        </w:tc>
        <w:tc>
          <w:tcPr>
            <w:tcW w:w="1100" w:type="dxa"/>
            <w:gridSpan w:val="2"/>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(387)</w:t>
            </w:r>
          </w:p>
        </w:tc>
        <w:tc>
          <w:tcPr>
            <w:tcW w:w="646" w:type="dxa"/>
            <w:tcBorders/>
            <w:vAlign w:val="center"/>
          </w:tcPr>
          <w:p>
            <w:pPr>
              <w:pStyle w:val="TableContents"/>
              <w:bidi w:val="0"/>
              <w:spacing w:lineRule="auto" w:line="285" w:before="0" w:after="0"/>
              <w:ind w:left="0" w:right="0" w:hanging="0"/>
              <w:jc w:val="left"/>
              <w:rPr/>
            </w:pPr>
            <w:r>
              <w:rPr/>
              <w:t> </w:t>
            </w:r>
          </w:p>
        </w:tc>
        <w:tc>
          <w:tcPr>
            <w:tcW w:w="55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(387)</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(Gain) revaluation of warrant liability</w:t>
            </w:r>
          </w:p>
        </w:tc>
        <w:tc>
          <w:tcPr>
            <w:tcW w:w="19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(13,424)</w:t>
            </w:r>
          </w:p>
        </w:tc>
        <w:tc>
          <w:tcPr>
            <w:tcW w:w="233" w:type="dxa"/>
            <w:gridSpan w:val="2"/>
            <w:tcBorders/>
            <w:shd w:fill="CCEEFF" w:val="clear"/>
            <w:vAlign w:val="center"/>
          </w:tcPr>
          <w:p>
            <w:pPr>
              <w:pStyle w:val="TableContents"/>
              <w:bidi w:val="0"/>
              <w:spacing w:lineRule="auto" w:line="307" w:before="0" w:after="160"/>
              <w:ind w:left="0" w:right="0" w:hanging="0"/>
              <w:jc w:val="left"/>
              <w:rPr/>
            </w:pPr>
            <w:r>
              <w:rPr/>
              <w:t>​</w:t>
            </w:r>
          </w:p>
        </w:tc>
        <w:tc>
          <w:tcPr>
            <w:tcW w:w="15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73" w:type="dxa"/>
            <w:gridSpan w:val="2"/>
            <w:tcBorders/>
            <w:shd w:fill="CCEEFF" w:val="clear"/>
            <w:vAlign w:val="center"/>
          </w:tcPr>
          <w:p>
            <w:pPr>
              <w:pStyle w:val="TableContents"/>
              <w:bidi w:val="0"/>
              <w:spacing w:lineRule="auto" w:line="307" w:before="0" w:after="160"/>
              <w:ind w:left="0" w:right="0" w:hanging="0"/>
              <w:jc w:val="left"/>
              <w:rPr/>
            </w:pPr>
            <w:r>
              <w:rPr/>
              <w:t>​</w:t>
            </w:r>
          </w:p>
        </w:tc>
        <w:tc>
          <w:tcPr>
            <w:tcW w:w="1100"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(13,424)</w:t>
            </w:r>
          </w:p>
        </w:tc>
        <w:tc>
          <w:tcPr>
            <w:tcW w:w="646" w:type="dxa"/>
            <w:tcBorders/>
            <w:shd w:fill="CCEEFF" w:val="clear"/>
            <w:vAlign w:val="center"/>
          </w:tcPr>
          <w:p>
            <w:pPr>
              <w:pStyle w:val="TableContents"/>
              <w:bidi w:val="0"/>
              <w:spacing w:lineRule="auto" w:line="307" w:before="0" w:after="160"/>
              <w:ind w:left="0" w:right="0" w:hanging="0"/>
              <w:jc w:val="left"/>
              <w:rPr/>
            </w:pPr>
            <w:r>
              <w:rPr/>
              <w:t>​</w:t>
            </w:r>
          </w:p>
        </w:tc>
        <w:tc>
          <w:tcPr>
            <w:tcW w:w="5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(13,424)</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expense, net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2,758</w:t>
            </w:r>
          </w:p>
        </w:tc>
        <w:tc>
          <w:tcPr>
            <w:tcW w:w="2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5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7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2,758</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5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2,758</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(Loss)/income before provision for income taxes</w:t>
            </w:r>
          </w:p>
        </w:tc>
        <w:tc>
          <w:tcPr>
            <w:tcW w:w="19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(15,858)</w:t>
            </w:r>
          </w:p>
        </w:tc>
        <w:tc>
          <w:tcPr>
            <w:tcW w:w="233" w:type="dxa"/>
            <w:gridSpan w:val="2"/>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153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(2,017)</w:t>
            </w:r>
          </w:p>
        </w:tc>
        <w:tc>
          <w:tcPr>
            <w:tcW w:w="1073" w:type="dxa"/>
            <w:gridSpan w:val="2"/>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1100" w:type="dxa"/>
            <w:gridSpan w:val="2"/>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(17,875)</w:t>
            </w:r>
          </w:p>
        </w:tc>
        <w:tc>
          <w:tcPr>
            <w:tcW w:w="6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55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91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(17,875)</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23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5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7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5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Net (loss)/income from continuing operations </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(15,871)</w:t>
            </w:r>
          </w:p>
        </w:tc>
        <w:tc>
          <w:tcPr>
            <w:tcW w:w="233"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5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(2,017)</w:t>
            </w:r>
          </w:p>
        </w:tc>
        <w:tc>
          <w:tcPr>
            <w:tcW w:w="1073" w:type="dxa"/>
            <w:gridSpan w:val="2"/>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00" w:type="dxa"/>
            <w:gridSpan w:val="2"/>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(17,888)</w:t>
            </w:r>
          </w:p>
        </w:tc>
        <w:tc>
          <w:tcPr>
            <w:tcW w:w="6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w:t>
            </w:r>
          </w:p>
        </w:tc>
        <w:tc>
          <w:tcPr>
            <w:tcW w:w="1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(17,888)</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Less: dilutive gain on revaluation of warrant liability</w:t>
            </w:r>
          </w:p>
        </w:tc>
        <w:tc>
          <w:tcPr>
            <w:tcW w:w="196" w:type="dxa"/>
            <w:tcBorders>
              <w:bottom w:val="single" w:sz="2" w:space="0" w:color="000000"/>
            </w:tcBorders>
            <w:shd w:fill="FFFFFF" w:val="clear"/>
            <w:tcMar>
              <w:bottom w:w="28" w:type="dxa"/>
            </w:tcMar>
            <w:vAlign w:val="center"/>
          </w:tcPr>
          <w:p>
            <w:pPr>
              <w:pStyle w:val="TableContents"/>
              <w:bidi w:val="0"/>
              <w:spacing w:lineRule="auto" w:line="307" w:before="0" w:after="160"/>
              <w:ind w:left="0" w:right="0" w:hanging="0"/>
              <w:jc w:val="left"/>
              <w:rPr/>
            </w:pPr>
            <w:r>
              <w:rPr/>
              <w:t>​</w:t>
            </w:r>
          </w:p>
        </w:tc>
        <w:tc>
          <w:tcPr>
            <w:tcW w:w="91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(13,424)</w:t>
            </w:r>
          </w:p>
        </w:tc>
        <w:tc>
          <w:tcPr>
            <w:tcW w:w="233" w:type="dxa"/>
            <w:gridSpan w:val="2"/>
            <w:tcBorders>
              <w:bottom w:val="single" w:sz="2" w:space="0" w:color="000000"/>
            </w:tcBorders>
            <w:shd w:fill="FFFFFF" w:val="clear"/>
            <w:tcMar>
              <w:bottom w:w="28" w:type="dxa"/>
            </w:tcMar>
            <w:vAlign w:val="center"/>
          </w:tcPr>
          <w:p>
            <w:pPr>
              <w:pStyle w:val="TableContents"/>
              <w:bidi w:val="0"/>
              <w:spacing w:lineRule="auto" w:line="307" w:before="0" w:after="160"/>
              <w:ind w:left="0" w:right="0" w:hanging="0"/>
              <w:jc w:val="left"/>
              <w:rPr/>
            </w:pPr>
            <w:r>
              <w:rPr/>
              <w:t>​</w:t>
            </w:r>
          </w:p>
        </w:tc>
        <w:tc>
          <w:tcPr>
            <w:tcW w:w="1535"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73" w:type="dxa"/>
            <w:gridSpan w:val="2"/>
            <w:tcBorders>
              <w:bottom w:val="single" w:sz="2" w:space="0" w:color="000000"/>
            </w:tcBorders>
            <w:shd w:fill="FFFFFF" w:val="clear"/>
            <w:tcMar>
              <w:bottom w:w="28" w:type="dxa"/>
            </w:tcMar>
            <w:vAlign w:val="center"/>
          </w:tcPr>
          <w:p>
            <w:pPr>
              <w:pStyle w:val="TableContents"/>
              <w:bidi w:val="0"/>
              <w:spacing w:lineRule="auto" w:line="307" w:before="0" w:after="160"/>
              <w:ind w:left="0" w:right="0" w:hanging="0"/>
              <w:jc w:val="left"/>
              <w:rPr/>
            </w:pPr>
            <w:r>
              <w:rPr/>
              <w:t>​</w:t>
            </w:r>
          </w:p>
        </w:tc>
        <w:tc>
          <w:tcPr>
            <w:tcW w:w="1100" w:type="dxa"/>
            <w:gridSpan w:val="2"/>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(13,424)</w:t>
            </w:r>
          </w:p>
        </w:tc>
        <w:tc>
          <w:tcPr>
            <w:tcW w:w="646" w:type="dxa"/>
            <w:tcBorders>
              <w:bottom w:val="single" w:sz="2" w:space="0" w:color="000000"/>
            </w:tcBorders>
            <w:shd w:fill="FFFFFF" w:val="clear"/>
            <w:tcMar>
              <w:bottom w:w="28" w:type="dxa"/>
            </w:tcMar>
            <w:vAlign w:val="center"/>
          </w:tcPr>
          <w:p>
            <w:pPr>
              <w:pStyle w:val="TableContents"/>
              <w:bidi w:val="0"/>
              <w:spacing w:lineRule="auto" w:line="307" w:before="0" w:after="160"/>
              <w:ind w:left="0" w:right="0" w:hanging="0"/>
              <w:jc w:val="left"/>
              <w:rPr/>
            </w:pPr>
            <w:r>
              <w:rPr/>
              <w:t>​</w:t>
            </w:r>
          </w:p>
        </w:tc>
        <w:tc>
          <w:tcPr>
            <w:tcW w:w="550"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shd w:fill="FFFFFF" w:val="clear"/>
            <w:tcMar>
              <w:bottom w:w="28" w:type="dxa"/>
            </w:tcMar>
            <w:vAlign w:val="center"/>
          </w:tcPr>
          <w:p>
            <w:pPr>
              <w:pStyle w:val="TableContents"/>
              <w:bidi w:val="0"/>
              <w:spacing w:lineRule="auto" w:line="307" w:before="0" w:after="160"/>
              <w:ind w:left="0" w:right="0" w:hanging="0"/>
              <w:jc w:val="left"/>
              <w:rPr/>
            </w:pPr>
            <w:r>
              <w:rPr/>
              <w:t>​</w:t>
            </w:r>
          </w:p>
        </w:tc>
        <w:tc>
          <w:tcPr>
            <w:tcW w:w="91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(13,424)</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 from continuing operations for diluted earnings per share</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(29,295)</w:t>
            </w:r>
          </w:p>
        </w:tc>
        <w:tc>
          <w:tcPr>
            <w:tcW w:w="233" w:type="dxa"/>
            <w:gridSpan w:val="2"/>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53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(2,017)</w:t>
            </w:r>
          </w:p>
        </w:tc>
        <w:tc>
          <w:tcPr>
            <w:tcW w:w="1073" w:type="dxa"/>
            <w:gridSpan w:val="2"/>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00" w:type="dxa"/>
            <w:gridSpan w:val="2"/>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(31,312)</w:t>
            </w:r>
          </w:p>
        </w:tc>
        <w:tc>
          <w:tcPr>
            <w:tcW w:w="6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(31,312)</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FFFFFF" w:val="clear"/>
            <w:vAlign w:val="center"/>
          </w:tcPr>
          <w:p>
            <w:pPr>
              <w:pStyle w:val="TableContents"/>
              <w:bidi w:val="0"/>
              <w:spacing w:lineRule="auto" w:line="307" w:before="0" w:after="160"/>
              <w:ind w:left="0" w:right="0" w:hanging="0"/>
              <w:jc w:val="left"/>
              <w:rPr/>
            </w:pPr>
            <w:r>
              <w:rPr/>
              <w:t>​</w:t>
            </w:r>
          </w:p>
        </w:tc>
        <w:tc>
          <w:tcPr>
            <w:tcW w:w="196" w:type="dxa"/>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left"/>
              <w:rPr/>
            </w:pPr>
            <w:r>
              <w:rPr/>
              <w:t>​</w:t>
            </w:r>
          </w:p>
        </w:tc>
        <w:tc>
          <w:tcPr>
            <w:tcW w:w="916" w:type="dxa"/>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right"/>
              <w:rPr/>
            </w:pPr>
            <w:r>
              <w:rPr/>
              <w:t>​</w:t>
            </w:r>
          </w:p>
        </w:tc>
        <w:tc>
          <w:tcPr>
            <w:tcW w:w="233" w:type="dxa"/>
            <w:gridSpan w:val="2"/>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left"/>
              <w:rPr/>
            </w:pPr>
            <w:r>
              <w:rPr/>
              <w:t>​</w:t>
            </w:r>
          </w:p>
        </w:tc>
        <w:tc>
          <w:tcPr>
            <w:tcW w:w="1535" w:type="dxa"/>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right"/>
              <w:rPr/>
            </w:pPr>
            <w:r>
              <w:rPr/>
              <w:t>​</w:t>
            </w:r>
          </w:p>
        </w:tc>
        <w:tc>
          <w:tcPr>
            <w:tcW w:w="1073" w:type="dxa"/>
            <w:gridSpan w:val="2"/>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left"/>
              <w:rPr/>
            </w:pPr>
            <w:r>
              <w:rPr/>
              <w:t>​</w:t>
            </w:r>
          </w:p>
        </w:tc>
        <w:tc>
          <w:tcPr>
            <w:tcW w:w="1100" w:type="dxa"/>
            <w:gridSpan w:val="2"/>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left"/>
              <w:rPr/>
            </w:pPr>
            <w:r>
              <w:rPr/>
              <w:t>​</w:t>
            </w:r>
          </w:p>
        </w:tc>
        <w:tc>
          <w:tcPr>
            <w:tcW w:w="646" w:type="dxa"/>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left"/>
              <w:rPr/>
            </w:pPr>
            <w:r>
              <w:rPr/>
              <w:t>​</w:t>
            </w:r>
          </w:p>
        </w:tc>
        <w:tc>
          <w:tcPr>
            <w:tcW w:w="550" w:type="dxa"/>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right"/>
              <w:rPr/>
            </w:pPr>
            <w:r>
              <w:rPr/>
              <w:t>​</w:t>
            </w:r>
          </w:p>
        </w:tc>
        <w:tc>
          <w:tcPr>
            <w:tcW w:w="196" w:type="dxa"/>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left"/>
              <w:rPr/>
            </w:pPr>
            <w:r>
              <w:rPr/>
              <w:t>​</w:t>
            </w:r>
          </w:p>
        </w:tc>
        <w:tc>
          <w:tcPr>
            <w:tcW w:w="916" w:type="dxa"/>
            <w:tcBorders>
              <w:top w:val="double" w:sz="6" w:space="0" w:color="000000"/>
            </w:tcBorders>
            <w:shd w:fill="FFFFFF" w:val="clear"/>
            <w:tcMar>
              <w:top w:w="28" w:type="dxa"/>
            </w:tcMar>
            <w:vAlign w:val="center"/>
          </w:tcPr>
          <w:p>
            <w:pPr>
              <w:pStyle w:val="TableContents"/>
              <w:bidi w:val="0"/>
              <w:spacing w:lineRule="auto" w:line="307" w:before="0" w:after="160"/>
              <w:ind w:left="0" w:right="0" w:hanging="0"/>
              <w:jc w:val="right"/>
              <w:rPr/>
            </w:pPr>
            <w:r>
              <w:rPr/>
              <w:t>​</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Net loss from continuing operations per share - basic </w:t>
            </w:r>
          </w:p>
        </w:tc>
        <w:tc>
          <w:tcPr>
            <w:tcW w:w="19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(0.38)</w:t>
            </w:r>
          </w:p>
        </w:tc>
        <w:tc>
          <w:tcPr>
            <w:tcW w:w="233" w:type="dxa"/>
            <w:gridSpan w:val="2"/>
            <w:tcBorders/>
            <w:shd w:fill="FFFFFF" w:val="clear"/>
            <w:vAlign w:val="center"/>
          </w:tcPr>
          <w:p>
            <w:pPr>
              <w:pStyle w:val="TableContents"/>
              <w:bidi w:val="0"/>
              <w:spacing w:lineRule="auto" w:line="285" w:before="0" w:after="0"/>
              <w:ind w:left="0" w:right="0" w:hanging="0"/>
              <w:jc w:val="left"/>
              <w:rPr/>
            </w:pPr>
            <w:r>
              <w:rPr/>
              <w:t> </w:t>
            </w:r>
          </w:p>
        </w:tc>
        <w:tc>
          <w:tcPr>
            <w:tcW w:w="1535" w:type="dxa"/>
            <w:tcBorders/>
            <w:shd w:fill="FFFFFF" w:val="clear"/>
            <w:vAlign w:val="center"/>
          </w:tcPr>
          <w:p>
            <w:pPr>
              <w:pStyle w:val="TableContents"/>
              <w:bidi w:val="0"/>
              <w:spacing w:lineRule="auto" w:line="307" w:before="0" w:after="160"/>
              <w:ind w:left="0" w:right="0" w:hanging="0"/>
              <w:jc w:val="right"/>
              <w:rPr/>
            </w:pPr>
            <w:r>
              <w:rPr/>
              <w:t>​</w:t>
            </w:r>
          </w:p>
        </w:tc>
        <w:tc>
          <w:tcPr>
            <w:tcW w:w="1073" w:type="dxa"/>
            <w:gridSpan w:val="2"/>
            <w:tcBorders/>
            <w:shd w:fill="FFFFFF" w:val="clear"/>
            <w:vAlign w:val="center"/>
          </w:tcPr>
          <w:p>
            <w:pPr>
              <w:pStyle w:val="TableContents"/>
              <w:bidi w:val="0"/>
              <w:spacing w:lineRule="auto" w:line="285" w:before="0" w:after="0"/>
              <w:ind w:left="0" w:right="0" w:hanging="0"/>
              <w:jc w:val="left"/>
              <w:rPr/>
            </w:pPr>
            <w:r>
              <w:rPr/>
              <w:t> </w:t>
            </w:r>
          </w:p>
        </w:tc>
        <w:tc>
          <w:tcPr>
            <w:tcW w:w="1100" w:type="dxa"/>
            <w:gridSpan w:val="2"/>
            <w:tcBorders/>
            <w:shd w:fill="FFFFFF" w:val="clear"/>
            <w:vAlign w:val="center"/>
          </w:tcPr>
          <w:p>
            <w:pPr>
              <w:pStyle w:val="TableContents"/>
              <w:bidi w:val="0"/>
              <w:spacing w:lineRule="auto" w:line="307" w:before="0" w:after="160"/>
              <w:ind w:left="0" w:right="0" w:hanging="0"/>
              <w:jc w:val="left"/>
              <w:rPr/>
            </w:pPr>
            <w:r>
              <w:rPr/>
              <w:t>​</w:t>
            </w:r>
          </w:p>
        </w:tc>
        <w:tc>
          <w:tcPr>
            <w:tcW w:w="646" w:type="dxa"/>
            <w:tcBorders/>
            <w:shd w:fill="FFFFFF" w:val="clear"/>
            <w:vAlign w:val="center"/>
          </w:tcPr>
          <w:p>
            <w:pPr>
              <w:pStyle w:val="TableContents"/>
              <w:bidi w:val="0"/>
              <w:spacing w:lineRule="auto" w:line="285" w:before="0" w:after="0"/>
              <w:ind w:left="0" w:right="0" w:hanging="0"/>
              <w:jc w:val="left"/>
              <w:rPr/>
            </w:pPr>
            <w:r>
              <w:rPr/>
              <w:t> </w:t>
            </w:r>
          </w:p>
        </w:tc>
        <w:tc>
          <w:tcPr>
            <w:tcW w:w="550" w:type="dxa"/>
            <w:tcBorders/>
            <w:shd w:fill="FFFFFF" w:val="clear"/>
            <w:vAlign w:val="center"/>
          </w:tcPr>
          <w:p>
            <w:pPr>
              <w:pStyle w:val="TableContents"/>
              <w:bidi w:val="0"/>
              <w:spacing w:lineRule="auto" w:line="307" w:before="0" w:after="160"/>
              <w:ind w:left="0" w:right="0" w:hanging="0"/>
              <w:jc w:val="left"/>
              <w:rPr/>
            </w:pPr>
            <w:r>
              <w:rPr/>
              <w:t>​</w:t>
            </w:r>
          </w:p>
        </w:tc>
        <w:tc>
          <w:tcPr>
            <w:tcW w:w="19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(0.43)</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 from continuing operations per share - diluted</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(0.64)</w:t>
            </w:r>
          </w:p>
        </w:tc>
        <w:tc>
          <w:tcPr>
            <w:tcW w:w="233" w:type="dxa"/>
            <w:gridSpan w:val="2"/>
            <w:tcBorders/>
            <w:shd w:fill="CCEEFF" w:val="clear"/>
            <w:vAlign w:val="center"/>
          </w:tcPr>
          <w:p>
            <w:pPr>
              <w:pStyle w:val="TableContents"/>
              <w:bidi w:val="0"/>
              <w:spacing w:lineRule="auto" w:line="307" w:before="0" w:after="160"/>
              <w:ind w:left="0" w:right="0" w:hanging="0"/>
              <w:jc w:val="left"/>
              <w:rPr/>
            </w:pPr>
            <w:r>
              <w:rPr/>
              <w:t>​</w:t>
            </w:r>
          </w:p>
        </w:tc>
        <w:tc>
          <w:tcPr>
            <w:tcW w:w="1535" w:type="dxa"/>
            <w:tcBorders/>
            <w:shd w:fill="CCEEFF" w:val="clear"/>
            <w:vAlign w:val="center"/>
          </w:tcPr>
          <w:p>
            <w:pPr>
              <w:pStyle w:val="TableContents"/>
              <w:bidi w:val="0"/>
              <w:spacing w:lineRule="auto" w:line="307" w:before="0" w:after="160"/>
              <w:ind w:left="0" w:right="0" w:hanging="0"/>
              <w:jc w:val="right"/>
              <w:rPr/>
            </w:pPr>
            <w:r>
              <w:rPr/>
              <w:t>​</w:t>
            </w:r>
          </w:p>
        </w:tc>
        <w:tc>
          <w:tcPr>
            <w:tcW w:w="1073" w:type="dxa"/>
            <w:gridSpan w:val="2"/>
            <w:tcBorders/>
            <w:shd w:fill="CCEEFF" w:val="clear"/>
            <w:vAlign w:val="center"/>
          </w:tcPr>
          <w:p>
            <w:pPr>
              <w:pStyle w:val="TableContents"/>
              <w:bidi w:val="0"/>
              <w:spacing w:lineRule="auto" w:line="307" w:before="0" w:after="160"/>
              <w:ind w:left="0" w:right="0" w:hanging="0"/>
              <w:jc w:val="left"/>
              <w:rPr/>
            </w:pPr>
            <w:r>
              <w:rPr/>
              <w:t>​</w:t>
            </w:r>
          </w:p>
        </w:tc>
        <w:tc>
          <w:tcPr>
            <w:tcW w:w="1100" w:type="dxa"/>
            <w:gridSpan w:val="2"/>
            <w:tcBorders/>
            <w:shd w:fill="CCEEFF" w:val="clear"/>
            <w:vAlign w:val="center"/>
          </w:tcPr>
          <w:p>
            <w:pPr>
              <w:pStyle w:val="TableContents"/>
              <w:bidi w:val="0"/>
              <w:spacing w:lineRule="auto" w:line="307" w:before="0" w:after="160"/>
              <w:ind w:left="0" w:right="0" w:hanging="0"/>
              <w:jc w:val="left"/>
              <w:rPr/>
            </w:pPr>
            <w:r>
              <w:rPr/>
              <w:t>​</w:t>
            </w:r>
          </w:p>
        </w:tc>
        <w:tc>
          <w:tcPr>
            <w:tcW w:w="646" w:type="dxa"/>
            <w:tcBorders/>
            <w:shd w:fill="CCEEFF" w:val="clear"/>
            <w:vAlign w:val="center"/>
          </w:tcPr>
          <w:p>
            <w:pPr>
              <w:pStyle w:val="TableContents"/>
              <w:bidi w:val="0"/>
              <w:spacing w:lineRule="auto" w:line="307" w:before="0" w:after="160"/>
              <w:ind w:left="0" w:right="0" w:hanging="0"/>
              <w:jc w:val="left"/>
              <w:rPr/>
            </w:pPr>
            <w:r>
              <w:rPr/>
              <w:t>​</w:t>
            </w:r>
          </w:p>
        </w:tc>
        <w:tc>
          <w:tcPr>
            <w:tcW w:w="550"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(0.68)</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9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16" w:type="dxa"/>
            <w:tcBorders/>
            <w:shd w:fill="FFFFFF" w:val="clear"/>
            <w:vAlign w:val="center"/>
          </w:tcPr>
          <w:p>
            <w:pPr>
              <w:pStyle w:val="TableContents"/>
              <w:bidi w:val="0"/>
              <w:spacing w:lineRule="auto" w:line="307" w:before="0" w:after="160"/>
              <w:ind w:left="0" w:right="0" w:hanging="0"/>
              <w:jc w:val="left"/>
              <w:rPr>
                <w:caps w:val="false"/>
                <w:smallCaps w:val="false"/>
                <w:color w:val="000000"/>
              </w:rPr>
            </w:pPr>
            <w:r>
              <w:rPr>
                <w:caps w:val="false"/>
                <w:smallCaps w:val="false"/>
                <w:color w:val="000000"/>
              </w:rPr>
              <w:t>​</w:t>
            </w:r>
          </w:p>
        </w:tc>
        <w:tc>
          <w:tcPr>
            <w:tcW w:w="233" w:type="dxa"/>
            <w:gridSpan w:val="2"/>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535" w:type="dxa"/>
            <w:tcBorders/>
            <w:shd w:fill="FFFFFF" w:val="clear"/>
            <w:vAlign w:val="center"/>
          </w:tcPr>
          <w:p>
            <w:pPr>
              <w:pStyle w:val="TableContents"/>
              <w:bidi w:val="0"/>
              <w:spacing w:lineRule="auto" w:line="307" w:before="0" w:after="160"/>
              <w:ind w:left="0" w:right="0" w:hanging="0"/>
              <w:jc w:val="right"/>
              <w:rPr/>
            </w:pPr>
            <w:r>
              <w:rPr/>
              <w:t>​</w:t>
            </w:r>
          </w:p>
        </w:tc>
        <w:tc>
          <w:tcPr>
            <w:tcW w:w="1073" w:type="dxa"/>
            <w:gridSpan w:val="2"/>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100" w:type="dxa"/>
            <w:gridSpan w:val="2"/>
            <w:tcBorders/>
            <w:shd w:fill="FFFFFF" w:val="clear"/>
            <w:vAlign w:val="center"/>
          </w:tcPr>
          <w:p>
            <w:pPr>
              <w:pStyle w:val="TableContents"/>
              <w:bidi w:val="0"/>
              <w:spacing w:lineRule="auto" w:line="307" w:before="0" w:after="160"/>
              <w:ind w:left="0" w:right="0" w:hanging="0"/>
              <w:jc w:val="left"/>
              <w:rPr/>
            </w:pPr>
            <w:r>
              <w:rPr/>
              <w:t>​</w:t>
            </w:r>
          </w:p>
        </w:tc>
        <w:tc>
          <w:tcPr>
            <w:tcW w:w="6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50" w:type="dxa"/>
            <w:tcBorders/>
            <w:shd w:fill="FFFFFF" w:val="clear"/>
            <w:vAlign w:val="center"/>
          </w:tcPr>
          <w:p>
            <w:pPr>
              <w:pStyle w:val="TableContents"/>
              <w:bidi w:val="0"/>
              <w:spacing w:lineRule="auto" w:line="307" w:before="0" w:after="160"/>
              <w:ind w:left="0" w:right="0" w:hanging="0"/>
              <w:jc w:val="left"/>
              <w:rPr/>
            </w:pPr>
            <w:r>
              <w:rPr/>
              <w:t>​</w:t>
            </w:r>
          </w:p>
        </w:tc>
        <w:tc>
          <w:tcPr>
            <w:tcW w:w="19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16" w:type="dxa"/>
            <w:tcBorders/>
            <w:shd w:fill="FFFFFF" w:val="clear"/>
            <w:vAlign w:val="center"/>
          </w:tcPr>
          <w:p>
            <w:pPr>
              <w:pStyle w:val="TableContents"/>
              <w:bidi w:val="0"/>
              <w:spacing w:lineRule="auto" w:line="307" w:before="0" w:after="160"/>
              <w:ind w:left="0" w:right="0" w:hanging="0"/>
              <w:jc w:val="left"/>
              <w:rPr>
                <w:caps w:val="false"/>
                <w:smallCaps w:val="false"/>
                <w:color w:val="000000"/>
              </w:rPr>
            </w:pPr>
            <w:r>
              <w:rPr>
                <w:caps w:val="false"/>
                <w:smallCaps w:val="false"/>
                <w:color w:val="000000"/>
              </w:rPr>
              <w:t>​</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Weighted average common shares outstanding - basic </w:t>
            </w:r>
          </w:p>
        </w:tc>
        <w:tc>
          <w:tcPr>
            <w:tcW w:w="19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41,416,850</w:t>
            </w:r>
          </w:p>
        </w:tc>
        <w:tc>
          <w:tcPr>
            <w:tcW w:w="233" w:type="dxa"/>
            <w:gridSpan w:val="2"/>
            <w:tcBorders/>
            <w:shd w:fill="FFFFFF" w:val="clear"/>
            <w:vAlign w:val="center"/>
          </w:tcPr>
          <w:p>
            <w:pPr>
              <w:pStyle w:val="TableContents"/>
              <w:bidi w:val="0"/>
              <w:spacing w:lineRule="auto" w:line="285" w:before="0" w:after="0"/>
              <w:ind w:left="0" w:right="0" w:hanging="0"/>
              <w:jc w:val="left"/>
              <w:rPr/>
            </w:pPr>
            <w:r>
              <w:rPr/>
              <w:t> </w:t>
            </w:r>
          </w:p>
        </w:tc>
        <w:tc>
          <w:tcPr>
            <w:tcW w:w="1535" w:type="dxa"/>
            <w:tcBorders/>
            <w:shd w:fill="FFFFFF" w:val="clear"/>
            <w:vAlign w:val="center"/>
          </w:tcPr>
          <w:p>
            <w:pPr>
              <w:pStyle w:val="TableContents"/>
              <w:bidi w:val="0"/>
              <w:spacing w:lineRule="auto" w:line="285" w:before="0" w:after="0"/>
              <w:ind w:left="0" w:right="0" w:hanging="0"/>
              <w:jc w:val="right"/>
              <w:rPr/>
            </w:pPr>
            <w:r>
              <w:rPr/>
              <w:t> </w:t>
            </w:r>
          </w:p>
        </w:tc>
        <w:tc>
          <w:tcPr>
            <w:tcW w:w="1073" w:type="dxa"/>
            <w:gridSpan w:val="2"/>
            <w:tcBorders/>
            <w:shd w:fill="FFFFFF" w:val="clear"/>
            <w:vAlign w:val="center"/>
          </w:tcPr>
          <w:p>
            <w:pPr>
              <w:pStyle w:val="TableContents"/>
              <w:bidi w:val="0"/>
              <w:spacing w:lineRule="auto" w:line="285" w:before="0" w:after="0"/>
              <w:ind w:left="0" w:right="0" w:hanging="0"/>
              <w:jc w:val="left"/>
              <w:rPr/>
            </w:pPr>
            <w:r>
              <w:rPr/>
              <w:t> </w:t>
            </w:r>
          </w:p>
        </w:tc>
        <w:tc>
          <w:tcPr>
            <w:tcW w:w="1100" w:type="dxa"/>
            <w:gridSpan w:val="2"/>
            <w:tcBorders/>
            <w:shd w:fill="FFFFFF" w:val="clear"/>
            <w:vAlign w:val="center"/>
          </w:tcPr>
          <w:p>
            <w:pPr>
              <w:pStyle w:val="TableContents"/>
              <w:bidi w:val="0"/>
              <w:spacing w:lineRule="auto" w:line="285" w:before="0" w:after="0"/>
              <w:ind w:left="0" w:right="0" w:hanging="0"/>
              <w:jc w:val="right"/>
              <w:rPr/>
            </w:pPr>
            <w:r>
              <w:rPr/>
              <w:t> </w:t>
            </w:r>
          </w:p>
        </w:tc>
        <w:tc>
          <w:tcPr>
            <w:tcW w:w="646" w:type="dxa"/>
            <w:tcBorders/>
            <w:shd w:fill="FFFFFF" w:val="clear"/>
            <w:vAlign w:val="center"/>
          </w:tcPr>
          <w:p>
            <w:pPr>
              <w:pStyle w:val="TableContents"/>
              <w:bidi w:val="0"/>
              <w:spacing w:lineRule="auto" w:line="285" w:before="0" w:after="0"/>
              <w:ind w:left="0" w:right="0" w:hanging="0"/>
              <w:jc w:val="left"/>
              <w:rPr/>
            </w:pPr>
            <w:r>
              <w:rPr/>
              <w:t> </w:t>
            </w:r>
          </w:p>
        </w:tc>
        <w:tc>
          <w:tcPr>
            <w:tcW w:w="550" w:type="dxa"/>
            <w:tcBorders/>
            <w:shd w:fill="FFFFFF" w:val="clear"/>
            <w:vAlign w:val="center"/>
          </w:tcPr>
          <w:p>
            <w:pPr>
              <w:pStyle w:val="TableContents"/>
              <w:bidi w:val="0"/>
              <w:spacing w:lineRule="auto" w:line="307" w:before="0" w:after="160"/>
              <w:ind w:left="0" w:right="0" w:hanging="0"/>
              <w:jc w:val="right"/>
              <w:rPr/>
            </w:pPr>
            <w:r>
              <w:rPr/>
              <w:t>​</w:t>
            </w:r>
          </w:p>
        </w:tc>
        <w:tc>
          <w:tcPr>
            <w:tcW w:w="19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41,416,850</w:t>
            </w:r>
          </w:p>
        </w:tc>
        <w:tc>
          <w:tcPr>
            <w:tcW w:w="158"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Weighted average common shares outstanding - diluted </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07" w:before="0" w:after="160"/>
              <w:ind w:left="0" w:right="0" w:hanging="0"/>
              <w:jc w:val="left"/>
              <w:rPr/>
            </w:pPr>
            <w:r>
              <w:rPr/>
              <w:t>​</w:t>
            </w:r>
          </w:p>
        </w:tc>
        <w:tc>
          <w:tcPr>
            <w:tcW w:w="91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45,942,787</w:t>
            </w:r>
          </w:p>
        </w:tc>
        <w:tc>
          <w:tcPr>
            <w:tcW w:w="233" w:type="dxa"/>
            <w:gridSpan w:val="2"/>
            <w:tcBorders/>
            <w:shd w:fill="CCEEFF" w:val="clear"/>
            <w:vAlign w:val="center"/>
          </w:tcPr>
          <w:p>
            <w:pPr>
              <w:pStyle w:val="TableContents"/>
              <w:bidi w:val="0"/>
              <w:spacing w:lineRule="auto" w:line="307" w:before="0" w:after="160"/>
              <w:ind w:left="0" w:right="0" w:hanging="0"/>
              <w:jc w:val="left"/>
              <w:rPr/>
            </w:pPr>
            <w:r>
              <w:rPr/>
              <w:t>​</w:t>
            </w:r>
          </w:p>
        </w:tc>
        <w:tc>
          <w:tcPr>
            <w:tcW w:w="1535" w:type="dxa"/>
            <w:tcBorders/>
            <w:shd w:fill="CCEEFF" w:val="clear"/>
            <w:vAlign w:val="center"/>
          </w:tcPr>
          <w:p>
            <w:pPr>
              <w:pStyle w:val="TableContents"/>
              <w:bidi w:val="0"/>
              <w:spacing w:lineRule="auto" w:line="307" w:before="0" w:after="160"/>
              <w:ind w:left="0" w:right="0" w:hanging="0"/>
              <w:jc w:val="right"/>
              <w:rPr/>
            </w:pPr>
            <w:r>
              <w:rPr/>
              <w:t>​</w:t>
            </w:r>
          </w:p>
        </w:tc>
        <w:tc>
          <w:tcPr>
            <w:tcW w:w="1073" w:type="dxa"/>
            <w:gridSpan w:val="2"/>
            <w:tcBorders/>
            <w:shd w:fill="CCEEFF" w:val="clear"/>
            <w:vAlign w:val="center"/>
          </w:tcPr>
          <w:p>
            <w:pPr>
              <w:pStyle w:val="TableContents"/>
              <w:bidi w:val="0"/>
              <w:spacing w:lineRule="auto" w:line="307" w:before="0" w:after="160"/>
              <w:ind w:left="0" w:right="0" w:hanging="0"/>
              <w:jc w:val="left"/>
              <w:rPr/>
            </w:pPr>
            <w:r>
              <w:rPr/>
              <w:t>​</w:t>
            </w:r>
          </w:p>
        </w:tc>
        <w:tc>
          <w:tcPr>
            <w:tcW w:w="1100" w:type="dxa"/>
            <w:gridSpan w:val="2"/>
            <w:tcBorders/>
            <w:shd w:fill="CCEEFF" w:val="clear"/>
            <w:vAlign w:val="center"/>
          </w:tcPr>
          <w:p>
            <w:pPr>
              <w:pStyle w:val="TableContents"/>
              <w:bidi w:val="0"/>
              <w:spacing w:lineRule="auto" w:line="307" w:before="0" w:after="160"/>
              <w:ind w:left="0" w:right="0" w:hanging="0"/>
              <w:jc w:val="right"/>
              <w:rPr/>
            </w:pPr>
            <w:r>
              <w:rPr/>
              <w:t>​</w:t>
            </w:r>
          </w:p>
        </w:tc>
        <w:tc>
          <w:tcPr>
            <w:tcW w:w="646" w:type="dxa"/>
            <w:tcBorders/>
            <w:shd w:fill="CCEEFF" w:val="clear"/>
            <w:vAlign w:val="center"/>
          </w:tcPr>
          <w:p>
            <w:pPr>
              <w:pStyle w:val="TableContents"/>
              <w:bidi w:val="0"/>
              <w:spacing w:lineRule="auto" w:line="307" w:before="0" w:after="160"/>
              <w:ind w:left="0" w:right="0" w:hanging="0"/>
              <w:jc w:val="left"/>
              <w:rPr/>
            </w:pPr>
            <w:r>
              <w:rPr/>
              <w:t>​</w:t>
            </w:r>
          </w:p>
        </w:tc>
        <w:tc>
          <w:tcPr>
            <w:tcW w:w="550" w:type="dxa"/>
            <w:tcBorders/>
            <w:shd w:fill="CCEEFF" w:val="clear"/>
            <w:vAlign w:val="center"/>
          </w:tcPr>
          <w:p>
            <w:pPr>
              <w:pStyle w:val="TableContents"/>
              <w:bidi w:val="0"/>
              <w:spacing w:lineRule="auto" w:line="307" w:before="0" w:after="160"/>
              <w:ind w:left="0" w:right="0" w:hanging="0"/>
              <w:jc w:val="right"/>
              <w:rPr/>
            </w:pPr>
            <w:r>
              <w:rPr/>
              <w:t>​</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07" w:before="0" w:after="160"/>
              <w:ind w:left="0" w:right="0" w:hanging="0"/>
              <w:jc w:val="left"/>
              <w:rPr/>
            </w:pPr>
            <w:r>
              <w:rPr/>
              <w:t>​</w:t>
            </w:r>
          </w:p>
        </w:tc>
        <w:tc>
          <w:tcPr>
            <w:tcW w:w="91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45,942,787</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pro forma condensed consolidated financial information.</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PRO FORMA CONDENSED CONSOLIDATED STATEMENT OF OPERATIONS</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For the Twelve Months Ended December 31, 2024</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307" w:before="0" w:after="160"/>
        <w:ind w:left="0" w:right="0" w:hanging="360"/>
        <w:jc w:val="center"/>
        <w:rPr/>
      </w:pPr>
      <w:r>
        <w:rPr/>
        <w:t>​</w:t>
      </w:r>
    </w:p>
    <w:p>
      <w:pPr>
        <w:pStyle w:val="TextBody"/>
        <w:bidi w:val="0"/>
        <w:spacing w:lineRule="auto" w:line="285" w:before="0" w:after="0"/>
        <w:ind w:left="0" w:right="0" w:hanging="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307" w:before="0" w:after="160"/>
        <w:ind w:left="0" w:right="0" w:hanging="360"/>
        <w:jc w:val="center"/>
        <w:rPr/>
      </w:pPr>
      <w:r>
        <w:rPr/>
        <w:t>​</w:t>
      </w:r>
    </w:p>
    <w:tbl>
      <w:tblPr>
        <w:tblW w:w="10205" w:type="dxa"/>
        <w:jc w:val="left"/>
        <w:tblInd w:w="0" w:type="dxa"/>
        <w:tblLayout w:type="fixed"/>
        <w:tblCellMar>
          <w:top w:w="0" w:type="dxa"/>
          <w:left w:w="0" w:type="dxa"/>
          <w:bottom w:w="0" w:type="dxa"/>
          <w:right w:w="0" w:type="dxa"/>
        </w:tblCellMar>
      </w:tblPr>
      <w:tblGrid>
        <w:gridCol w:w="5576"/>
        <w:gridCol w:w="196"/>
        <w:gridCol w:w="916"/>
        <w:gridCol w:w="537"/>
        <w:gridCol w:w="1821"/>
        <w:gridCol w:w="196"/>
        <w:gridCol w:w="963"/>
      </w:tblGrid>
      <w:tr>
        <w:trPr/>
        <w:tc>
          <w:tcPr>
            <w:tcW w:w="5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540760" cy="29210"/>
                      <wp:effectExtent l="0" t="0" r="0" b="0"/>
                      <wp:wrapNone/>
                      <wp:docPr id="24" name="Frame24"/>
                      <a:graphic xmlns:a="http://schemas.openxmlformats.org/drawingml/2006/main">
                        <a:graphicData uri="http://schemas.microsoft.com/office/word/2010/wordprocessingShape">
                          <wps:wsp>
                            <wps:cNvSpPr txBox="1"/>
                            <wps:spPr>
                              <a:xfrm>
                                <a:off x="0" y="0"/>
                                <a:ext cx="3540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29210"/>
                      <wp:effectExtent l="0" t="0" r="0" b="0"/>
                      <wp:wrapNone/>
                      <wp:docPr id="25" name="Frame25"/>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81660" cy="175260"/>
                      <wp:effectExtent l="0" t="0" r="0" b="0"/>
                      <wp:wrapNone/>
                      <wp:docPr id="26" name="Frame2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40995" cy="29210"/>
                      <wp:effectExtent l="0" t="0" r="0" b="0"/>
                      <wp:wrapNone/>
                      <wp:docPr id="27" name="Frame27"/>
                      <a:graphic xmlns:a="http://schemas.openxmlformats.org/drawingml/2006/main">
                        <a:graphicData uri="http://schemas.microsoft.com/office/word/2010/wordprocessingShape">
                          <wps:wsp>
                            <wps:cNvSpPr txBox="1"/>
                            <wps:spPr>
                              <a:xfrm>
                                <a:off x="0" y="0"/>
                                <a:ext cx="3409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156335" cy="175260"/>
                      <wp:effectExtent l="0" t="0" r="0" b="0"/>
                      <wp:wrapNone/>
                      <wp:docPr id="28" name="Frame28"/>
                      <a:graphic xmlns:a="http://schemas.openxmlformats.org/drawingml/2006/main">
                        <a:graphicData uri="http://schemas.microsoft.com/office/word/2010/wordprocessingShape">
                          <wps:wsp>
                            <wps:cNvSpPr txBox="1"/>
                            <wps:spPr>
                              <a:xfrm>
                                <a:off x="0" y="0"/>
                                <a:ext cx="11563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29210"/>
                      <wp:effectExtent l="0" t="0" r="0" b="0"/>
                      <wp:wrapNone/>
                      <wp:docPr id="29" name="Frame29"/>
                      <a:graphic xmlns:a="http://schemas.openxmlformats.org/drawingml/2006/main">
                        <a:graphicData uri="http://schemas.microsoft.com/office/word/2010/wordprocessingShape">
                          <wps:wsp>
                            <wps:cNvSpPr txBox="1"/>
                            <wps:spPr>
                              <a:xfrm>
                                <a:off x="0" y="0"/>
                                <a:ext cx="124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11505" cy="175260"/>
                      <wp:effectExtent l="0" t="0" r="0" b="0"/>
                      <wp:wrapNone/>
                      <wp:docPr id="30" name="Frame30"/>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576" w:type="dxa"/>
            <w:tcBorders/>
            <w:vAlign w:val="center"/>
          </w:tcPr>
          <w:p>
            <w:pPr>
              <w:pStyle w:val="TableContents"/>
              <w:bidi w:val="0"/>
              <w:spacing w:before="0" w:after="283"/>
              <w:ind w:left="0" w:right="0" w:hanging="0"/>
              <w:jc w:val="left"/>
              <w:rPr>
                <w:sz w:val="4"/>
                <w:szCs w:val="4"/>
              </w:rPr>
            </w:pPr>
            <w:r>
              <w:rPr>
                <w:sz w:val="4"/>
                <w:szCs w:val="4"/>
              </w:rPr>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Historical</w:t>
            </w:r>
          </w:p>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reported)</w:t>
            </w:r>
          </w:p>
        </w:tc>
        <w:tc>
          <w:tcPr>
            <w:tcW w:w="235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SimpliDerm Discontinued Operations </w:t>
              <w:br/>
              <w:t>(Note a)</w:t>
            </w:r>
          </w:p>
        </w:tc>
        <w:tc>
          <w:tcPr>
            <w:tcW w:w="115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Pro Forma</w:t>
            </w:r>
          </w:p>
        </w:tc>
      </w:tr>
      <w:tr>
        <w:trPr/>
        <w:tc>
          <w:tcPr>
            <w:tcW w:w="5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14,467</w:t>
            </w:r>
          </w:p>
        </w:tc>
        <w:tc>
          <w:tcPr>
            <w:tcW w:w="5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18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(11,553)</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2,914</w:t>
            </w:r>
          </w:p>
        </w:tc>
      </w:tr>
      <w:tr>
        <w:trPr/>
        <w:tc>
          <w:tcPr>
            <w:tcW w:w="557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Cost of goods sold</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7,752</w:t>
            </w:r>
          </w:p>
        </w:tc>
        <w:tc>
          <w:tcPr>
            <w:tcW w:w="5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8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(5,568)</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2,184</w:t>
            </w:r>
          </w:p>
        </w:tc>
      </w:tr>
      <w:tr>
        <w:trPr/>
        <w:tc>
          <w:tcPr>
            <w:tcW w:w="5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6,715</w:t>
            </w:r>
          </w:p>
        </w:tc>
        <w:tc>
          <w:tcPr>
            <w:tcW w:w="53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182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(5,985)</w:t>
            </w:r>
          </w:p>
        </w:tc>
        <w:tc>
          <w:tcPr>
            <w:tcW w:w="1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 </w:t>
            </w:r>
          </w:p>
        </w:tc>
        <w:tc>
          <w:tcPr>
            <w:tcW w:w="96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730</w:t>
            </w:r>
          </w:p>
        </w:tc>
      </w:tr>
      <w:tr>
        <w:trPr/>
        <w:tc>
          <w:tcPr>
            <w:tcW w:w="557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4,988</w:t>
            </w:r>
          </w:p>
        </w:tc>
        <w:tc>
          <w:tcPr>
            <w:tcW w:w="537" w:type="dxa"/>
            <w:tcBorders/>
            <w:vAlign w:val="center"/>
          </w:tcPr>
          <w:p>
            <w:pPr>
              <w:pStyle w:val="TableContents"/>
              <w:bidi w:val="0"/>
              <w:spacing w:lineRule="auto" w:line="285" w:before="0" w:after="0"/>
              <w:ind w:left="0" w:right="0" w:hanging="0"/>
              <w:jc w:val="left"/>
              <w:rPr/>
            </w:pPr>
            <w:r>
              <w:rPr/>
              <w:t> </w:t>
            </w:r>
          </w:p>
        </w:tc>
        <w:tc>
          <w:tcPr>
            <w:tcW w:w="18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(2,948)</w:t>
            </w:r>
          </w:p>
        </w:tc>
        <w:tc>
          <w:tcPr>
            <w:tcW w:w="196" w:type="dxa"/>
            <w:tcBorders/>
            <w:vAlign w:val="center"/>
          </w:tcPr>
          <w:p>
            <w:pPr>
              <w:pStyle w:val="TableContents"/>
              <w:bidi w:val="0"/>
              <w:spacing w:lineRule="auto" w:line="285" w:before="0" w:after="0"/>
              <w:ind w:left="0" w:right="0" w:hanging="0"/>
              <w:jc w:val="left"/>
              <w:rPr/>
            </w:pPr>
            <w:r>
              <w:rPr/>
              <w:t> </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2,040</w:t>
            </w:r>
          </w:p>
        </w:tc>
      </w:tr>
      <w:tr>
        <w:trPr/>
        <w:tc>
          <w:tcPr>
            <w:tcW w:w="5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18,073</w:t>
            </w:r>
          </w:p>
        </w:tc>
        <w:tc>
          <w:tcPr>
            <w:tcW w:w="537" w:type="dxa"/>
            <w:tcBorders/>
            <w:shd w:fill="CCEEFF" w:val="clear"/>
            <w:vAlign w:val="center"/>
          </w:tcPr>
          <w:p>
            <w:pPr>
              <w:pStyle w:val="TableContents"/>
              <w:bidi w:val="0"/>
              <w:spacing w:lineRule="auto" w:line="285" w:before="0" w:after="0"/>
              <w:ind w:left="0" w:right="0" w:hanging="0"/>
              <w:jc w:val="left"/>
              <w:rPr/>
            </w:pPr>
            <w:r>
              <w:rPr/>
              <w:t> </w:t>
            </w:r>
          </w:p>
        </w:tc>
        <w:tc>
          <w:tcPr>
            <w:tcW w:w="18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18,073</w:t>
            </w:r>
          </w:p>
        </w:tc>
      </w:tr>
      <w:tr>
        <w:trPr/>
        <w:tc>
          <w:tcPr>
            <w:tcW w:w="557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2,998</w:t>
            </w:r>
          </w:p>
        </w:tc>
        <w:tc>
          <w:tcPr>
            <w:tcW w:w="537" w:type="dxa"/>
            <w:tcBorders/>
            <w:vAlign w:val="center"/>
          </w:tcPr>
          <w:p>
            <w:pPr>
              <w:pStyle w:val="TableContents"/>
              <w:bidi w:val="0"/>
              <w:spacing w:lineRule="auto" w:line="285" w:before="0" w:after="0"/>
              <w:ind w:left="0" w:right="0" w:hanging="0"/>
              <w:jc w:val="left"/>
              <w:rPr/>
            </w:pPr>
            <w:r>
              <w:rPr/>
              <w:t> </w:t>
            </w:r>
          </w:p>
        </w:tc>
        <w:tc>
          <w:tcPr>
            <w:tcW w:w="18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vAlign w:val="center"/>
          </w:tcPr>
          <w:p>
            <w:pPr>
              <w:pStyle w:val="TableContents"/>
              <w:bidi w:val="0"/>
              <w:spacing w:lineRule="auto" w:line="285" w:before="0" w:after="0"/>
              <w:ind w:left="0" w:right="0" w:hanging="0"/>
              <w:jc w:val="left"/>
              <w:rPr/>
            </w:pPr>
            <w:r>
              <w:rPr/>
              <w:t> </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2,998</w:t>
            </w:r>
          </w:p>
        </w:tc>
      </w:tr>
      <w:tr>
        <w:trPr/>
        <w:tc>
          <w:tcPr>
            <w:tcW w:w="5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Litigation costs, net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11,368</w:t>
            </w:r>
          </w:p>
        </w:tc>
        <w:tc>
          <w:tcPr>
            <w:tcW w:w="537" w:type="dxa"/>
            <w:tcBorders/>
            <w:shd w:fill="CCEEFF" w:val="clear"/>
            <w:vAlign w:val="center"/>
          </w:tcPr>
          <w:p>
            <w:pPr>
              <w:pStyle w:val="TableContents"/>
              <w:bidi w:val="0"/>
              <w:spacing w:lineRule="auto" w:line="285" w:before="0" w:after="0"/>
              <w:ind w:left="0" w:right="0" w:hanging="0"/>
              <w:jc w:val="left"/>
              <w:rPr/>
            </w:pPr>
            <w:r>
              <w:rPr/>
              <w:t> </w:t>
            </w:r>
          </w:p>
        </w:tc>
        <w:tc>
          <w:tcPr>
            <w:tcW w:w="18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11,368</w:t>
            </w:r>
          </w:p>
        </w:tc>
      </w:tr>
      <w:tr>
        <w:trPr/>
        <w:tc>
          <w:tcPr>
            <w:tcW w:w="557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37,427</w:t>
            </w:r>
          </w:p>
        </w:tc>
        <w:tc>
          <w:tcPr>
            <w:tcW w:w="537"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182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(2,948)</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w:t>
            </w:r>
          </w:p>
        </w:tc>
        <w:tc>
          <w:tcPr>
            <w:tcW w:w="963"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34,479</w:t>
            </w:r>
          </w:p>
        </w:tc>
      </w:tr>
      <w:tr>
        <w:trPr/>
        <w:tc>
          <w:tcPr>
            <w:tcW w:w="5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(Loss)/income from continuing operations</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(30,712)</w:t>
            </w:r>
          </w:p>
        </w:tc>
        <w:tc>
          <w:tcPr>
            <w:tcW w:w="537" w:type="dxa"/>
            <w:tcBorders/>
            <w:shd w:fill="CCEEFF" w:val="clear"/>
            <w:vAlign w:val="center"/>
          </w:tcPr>
          <w:p>
            <w:pPr>
              <w:pStyle w:val="TableContents"/>
              <w:bidi w:val="0"/>
              <w:spacing w:lineRule="auto" w:line="285" w:before="0" w:after="0"/>
              <w:ind w:left="0" w:right="0" w:hanging="0"/>
              <w:jc w:val="left"/>
              <w:rPr/>
            </w:pPr>
            <w:r>
              <w:rPr/>
              <w:t> </w:t>
            </w:r>
          </w:p>
        </w:tc>
        <w:tc>
          <w:tcPr>
            <w:tcW w:w="18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(3,037)</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(33,749)</w:t>
            </w:r>
          </w:p>
        </w:tc>
      </w:tr>
      <w:tr>
        <w:trPr/>
        <w:tc>
          <w:tcPr>
            <w:tcW w:w="557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19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934</w:t>
            </w:r>
          </w:p>
        </w:tc>
        <w:tc>
          <w:tcPr>
            <w:tcW w:w="537" w:type="dxa"/>
            <w:tcBorders/>
            <w:vAlign w:val="center"/>
          </w:tcPr>
          <w:p>
            <w:pPr>
              <w:pStyle w:val="TableContents"/>
              <w:bidi w:val="0"/>
              <w:spacing w:lineRule="auto" w:line="285" w:before="0" w:after="0"/>
              <w:ind w:left="0" w:right="0" w:hanging="0"/>
              <w:jc w:val="left"/>
              <w:rPr/>
            </w:pPr>
            <w:r>
              <w:rPr/>
              <w:t> </w:t>
            </w:r>
          </w:p>
        </w:tc>
        <w:tc>
          <w:tcPr>
            <w:tcW w:w="18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vAlign w:val="center"/>
          </w:tcPr>
          <w:p>
            <w:pPr>
              <w:pStyle w:val="TableContents"/>
              <w:bidi w:val="0"/>
              <w:spacing w:lineRule="auto" w:line="285" w:before="0" w:after="0"/>
              <w:ind w:left="0" w:right="0" w:hanging="0"/>
              <w:jc w:val="left"/>
              <w:rPr/>
            </w:pPr>
            <w:r>
              <w:rPr/>
              <w:t> </w:t>
            </w:r>
          </w:p>
        </w:tc>
        <w:tc>
          <w:tcPr>
            <w:tcW w:w="96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934</w:t>
            </w:r>
          </w:p>
        </w:tc>
      </w:tr>
      <w:tr>
        <w:trPr/>
        <w:tc>
          <w:tcPr>
            <w:tcW w:w="5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Loss revaluation of warrant liability</w:t>
            </w:r>
          </w:p>
        </w:tc>
        <w:tc>
          <w:tcPr>
            <w:tcW w:w="19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14,878</w:t>
            </w:r>
          </w:p>
        </w:tc>
        <w:tc>
          <w:tcPr>
            <w:tcW w:w="537" w:type="dxa"/>
            <w:tcBorders/>
            <w:shd w:fill="CCEEFF" w:val="clear"/>
            <w:vAlign w:val="center"/>
          </w:tcPr>
          <w:p>
            <w:pPr>
              <w:pStyle w:val="TableContents"/>
              <w:bidi w:val="0"/>
              <w:spacing w:lineRule="auto" w:line="307" w:before="0" w:after="160"/>
              <w:ind w:left="0" w:right="0" w:hanging="0"/>
              <w:jc w:val="left"/>
              <w:rPr/>
            </w:pPr>
            <w:r>
              <w:rPr/>
              <w:t>​</w:t>
            </w:r>
          </w:p>
        </w:tc>
        <w:tc>
          <w:tcPr>
            <w:tcW w:w="18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lineRule="auto" w:line="307" w:before="0" w:after="160"/>
              <w:ind w:left="0" w:right="0" w:hanging="0"/>
              <w:jc w:val="left"/>
              <w:rPr/>
            </w:pPr>
            <w:r>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14,878</w:t>
            </w:r>
          </w:p>
        </w:tc>
      </w:tr>
      <w:tr>
        <w:trPr/>
        <w:tc>
          <w:tcPr>
            <w:tcW w:w="557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expense, net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(1,186)</w:t>
            </w:r>
          </w:p>
        </w:tc>
        <w:tc>
          <w:tcPr>
            <w:tcW w:w="5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8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(1,186)</w:t>
            </w:r>
          </w:p>
        </w:tc>
      </w:tr>
      <w:tr>
        <w:trPr/>
        <w:tc>
          <w:tcPr>
            <w:tcW w:w="5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(Loss)/income before provision for income taxes</w:t>
            </w:r>
          </w:p>
        </w:tc>
        <w:tc>
          <w:tcPr>
            <w:tcW w:w="19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pPr>
            <w:r>
              <w:rPr/>
              <w:t> </w:t>
            </w:r>
          </w:p>
        </w:tc>
        <w:tc>
          <w:tcPr>
            <w:tcW w:w="91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(45,338)</w:t>
            </w:r>
          </w:p>
        </w:tc>
        <w:tc>
          <w:tcPr>
            <w:tcW w:w="537"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182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(3,037)</w:t>
            </w:r>
          </w:p>
        </w:tc>
        <w:tc>
          <w:tcPr>
            <w:tcW w:w="19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963"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(48,375)</w:t>
            </w:r>
          </w:p>
        </w:tc>
      </w:tr>
      <w:tr>
        <w:trPr/>
        <w:tc>
          <w:tcPr>
            <w:tcW w:w="557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5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8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5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Net (loss) from continuing operations </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(45,345)</w:t>
            </w:r>
          </w:p>
        </w:tc>
        <w:tc>
          <w:tcPr>
            <w:tcW w:w="53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8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(3,037)</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6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(48,382)</w:t>
            </w:r>
          </w:p>
        </w:tc>
      </w:tr>
      <w:tr>
        <w:trPr/>
        <w:tc>
          <w:tcPr>
            <w:tcW w:w="557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 per share from continuing operations attributable to common stockholders - basic and diluted</w:t>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top w:val="double" w:sz="6"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(1.56)</w:t>
            </w:r>
          </w:p>
        </w:tc>
        <w:tc>
          <w:tcPr>
            <w:tcW w:w="537" w:type="dxa"/>
            <w:tcBorders>
              <w:top w:val="double" w:sz="6" w:space="0" w:color="000000"/>
            </w:tcBorders>
            <w:tcMar>
              <w:top w:w="28" w:type="dxa"/>
            </w:tcMar>
            <w:vAlign w:val="center"/>
          </w:tcPr>
          <w:p>
            <w:pPr>
              <w:pStyle w:val="TableContents"/>
              <w:bidi w:val="0"/>
              <w:spacing w:lineRule="auto" w:line="285" w:before="0" w:after="0"/>
              <w:ind w:left="0" w:right="0" w:hanging="0"/>
              <w:jc w:val="left"/>
              <w:rPr/>
            </w:pPr>
            <w:r>
              <w:rPr/>
              <w:t> </w:t>
            </w:r>
          </w:p>
        </w:tc>
        <w:tc>
          <w:tcPr>
            <w:tcW w:w="1821" w:type="dxa"/>
            <w:tcBorders>
              <w:top w:val="double" w:sz="6" w:space="0" w:color="000000"/>
            </w:tcBorders>
            <w:tcMar>
              <w:top w:w="28" w:type="dxa"/>
            </w:tcMar>
            <w:vAlign w:val="center"/>
          </w:tcPr>
          <w:p>
            <w:pPr>
              <w:pStyle w:val="TableContents"/>
              <w:bidi w:val="0"/>
              <w:spacing w:lineRule="auto" w:line="307" w:before="0" w:after="160"/>
              <w:ind w:left="0" w:right="0" w:hanging="0"/>
              <w:jc w:val="left"/>
              <w:rPr/>
            </w:pPr>
            <w:r>
              <w:rPr/>
              <w:t>​</w:t>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63" w:type="dxa"/>
            <w:tcBorders>
              <w:top w:val="double" w:sz="6" w:space="0" w:color="000000"/>
              <w:bottom w:val="double" w:sz="6"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6"/>
              </w:rPr>
            </w:pPr>
            <w:r>
              <w:rPr>
                <w:rFonts w:ascii="Times New Roman;Times;serif" w:hAnsi="Times New Roman;Times;serif"/>
                <w:b/>
                <w:sz w:val="16"/>
              </w:rPr>
              <w:t>(1.66)</w:t>
            </w:r>
          </w:p>
        </w:tc>
      </w:tr>
      <w:tr>
        <w:trPr/>
        <w:tc>
          <w:tcPr>
            <w:tcW w:w="5576"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60"/>
              <w:ind w:left="0" w:right="0" w:hanging="0"/>
              <w:jc w:val="left"/>
              <w:rPr>
                <w:caps w:val="false"/>
                <w:smallCaps w:val="false"/>
                <w:color w:val="000000"/>
              </w:rPr>
            </w:pPr>
            <w:r>
              <w:rPr>
                <w:caps w:val="false"/>
                <w:smallCaps w:val="false"/>
                <w:color w:val="000000"/>
              </w:rPr>
              <w:t>​</w:t>
            </w:r>
          </w:p>
        </w:tc>
        <w:tc>
          <w:tcPr>
            <w:tcW w:w="916" w:type="dxa"/>
            <w:tcBorders/>
            <w:shd w:fill="CCEEFF" w:val="clear"/>
            <w:vAlign w:val="center"/>
          </w:tcPr>
          <w:p>
            <w:pPr>
              <w:pStyle w:val="TableContents"/>
              <w:bidi w:val="0"/>
              <w:spacing w:lineRule="auto" w:line="307" w:before="0" w:after="160"/>
              <w:ind w:left="0" w:right="0" w:hanging="0"/>
              <w:jc w:val="right"/>
              <w:rPr>
                <w:caps w:val="false"/>
                <w:smallCaps w:val="false"/>
                <w:color w:val="000000"/>
              </w:rPr>
            </w:pPr>
            <w:r>
              <w:rPr>
                <w:caps w:val="false"/>
                <w:smallCaps w:val="false"/>
                <w:color w:val="000000"/>
              </w:rPr>
              <w:t>​</w:t>
            </w:r>
          </w:p>
        </w:tc>
        <w:tc>
          <w:tcPr>
            <w:tcW w:w="537" w:type="dxa"/>
            <w:tcBorders/>
            <w:shd w:fill="CCEEFF" w:val="clear"/>
            <w:vAlign w:val="center"/>
          </w:tcPr>
          <w:p>
            <w:pPr>
              <w:pStyle w:val="TableContents"/>
              <w:bidi w:val="0"/>
              <w:spacing w:lineRule="auto" w:line="307" w:before="0" w:after="160"/>
              <w:ind w:left="0" w:right="0" w:hanging="0"/>
              <w:jc w:val="right"/>
              <w:rPr/>
            </w:pPr>
            <w:r>
              <w:rPr/>
              <w:t>​</w:t>
            </w:r>
          </w:p>
        </w:tc>
        <w:tc>
          <w:tcPr>
            <w:tcW w:w="1821" w:type="dxa"/>
            <w:tcBorders/>
            <w:shd w:fill="CCEEFF" w:val="clear"/>
            <w:vAlign w:val="center"/>
          </w:tcPr>
          <w:p>
            <w:pPr>
              <w:pStyle w:val="TableContents"/>
              <w:bidi w:val="0"/>
              <w:spacing w:lineRule="auto" w:line="307" w:before="0" w:after="160"/>
              <w:ind w:left="0" w:right="0" w:hanging="0"/>
              <w:jc w:val="right"/>
              <w:rPr/>
            </w:pPr>
            <w:r>
              <w:rPr/>
              <w:t>​</w:t>
            </w:r>
          </w:p>
        </w:tc>
        <w:tc>
          <w:tcPr>
            <w:tcW w:w="196" w:type="dxa"/>
            <w:tcBorders/>
            <w:shd w:fill="CCEEFF" w:val="clear"/>
            <w:vAlign w:val="center"/>
          </w:tcPr>
          <w:p>
            <w:pPr>
              <w:pStyle w:val="TableContents"/>
              <w:bidi w:val="0"/>
              <w:spacing w:lineRule="auto" w:line="307" w:before="0" w:after="160"/>
              <w:ind w:left="0" w:right="0" w:hanging="0"/>
              <w:jc w:val="right"/>
              <w:rPr>
                <w:caps w:val="false"/>
                <w:smallCaps w:val="false"/>
                <w:color w:val="000000"/>
              </w:rPr>
            </w:pPr>
            <w:r>
              <w:rPr>
                <w:caps w:val="false"/>
                <w:smallCaps w:val="false"/>
                <w:color w:val="000000"/>
              </w:rPr>
              <w:t>​</w:t>
            </w:r>
          </w:p>
        </w:tc>
        <w:tc>
          <w:tcPr>
            <w:tcW w:w="963" w:type="dxa"/>
            <w:tcBorders/>
            <w:shd w:fill="CCEEFF" w:val="clear"/>
            <w:vAlign w:val="center"/>
          </w:tcPr>
          <w:p>
            <w:pPr>
              <w:pStyle w:val="TableContents"/>
              <w:bidi w:val="0"/>
              <w:spacing w:lineRule="auto" w:line="307" w:before="0" w:after="160"/>
              <w:ind w:left="0" w:right="0" w:hanging="0"/>
              <w:jc w:val="right"/>
              <w:rPr>
                <w:caps w:val="false"/>
                <w:smallCaps w:val="false"/>
                <w:color w:val="000000"/>
              </w:rPr>
            </w:pPr>
            <w:r>
              <w:rPr>
                <w:caps w:val="false"/>
                <w:smallCaps w:val="false"/>
                <w:color w:val="000000"/>
              </w:rPr>
              <w:t>​</w:t>
            </w:r>
          </w:p>
        </w:tc>
      </w:tr>
      <w:tr>
        <w:trPr/>
        <w:tc>
          <w:tcPr>
            <w:tcW w:w="557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Weighted average common shares outstanding - basic and diluted</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29,071,113</w:t>
            </w:r>
          </w:p>
        </w:tc>
        <w:tc>
          <w:tcPr>
            <w:tcW w:w="537" w:type="dxa"/>
            <w:tcBorders/>
            <w:vAlign w:val="center"/>
          </w:tcPr>
          <w:p>
            <w:pPr>
              <w:pStyle w:val="TableContents"/>
              <w:bidi w:val="0"/>
              <w:spacing w:lineRule="auto" w:line="285" w:before="0" w:after="0"/>
              <w:ind w:left="0" w:right="0" w:hanging="0"/>
              <w:jc w:val="right"/>
              <w:rPr/>
            </w:pPr>
            <w:r>
              <w:rPr/>
              <w:t> </w:t>
            </w:r>
          </w:p>
        </w:tc>
        <w:tc>
          <w:tcPr>
            <w:tcW w:w="1821" w:type="dxa"/>
            <w:tcBorders/>
            <w:vAlign w:val="center"/>
          </w:tcPr>
          <w:p>
            <w:pPr>
              <w:pStyle w:val="TableContents"/>
              <w:bidi w:val="0"/>
              <w:spacing w:lineRule="auto" w:line="285" w:before="0" w:after="0"/>
              <w:ind w:left="0" w:right="0" w:hanging="0"/>
              <w:jc w:val="right"/>
              <w:rPr/>
            </w:pPr>
            <w:r>
              <w:rPr/>
              <w:t> </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29,071,113</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pro forma condensed consolidated financial information.</w:t>
      </w:r>
    </w:p>
    <w:p>
      <w:pPr>
        <w:pStyle w:val="TextBody"/>
        <w:bidi w:val="0"/>
        <w:spacing w:lineRule="auto" w:line="307" w:before="0" w:after="160"/>
        <w:ind w:left="0" w:right="0" w:hanging="0"/>
        <w:jc w:val="left"/>
        <w:rPr>
          <w:color w:val="FF0000"/>
        </w:rPr>
      </w:pPr>
      <w:r>
        <w:rPr>
          <w:color w:val="FF0000"/>
        </w:rPr>
        <w:t>​</w:t>
      </w:r>
    </w:p>
    <w:p>
      <w:pPr>
        <w:pStyle w:val="TextBody"/>
        <w:bidi w:val="0"/>
        <w:spacing w:lineRule="auto" w:line="307" w:before="0" w:after="160"/>
        <w:ind w:left="0" w:right="0" w:hanging="0"/>
        <w:jc w:val="left"/>
        <w:rPr>
          <w:color w:val="FF0000"/>
        </w:rPr>
      </w:pPr>
      <w:r>
        <w:rPr>
          <w:color w:val="FF0000"/>
        </w:rPr>
        <w:t>​</w:t>
      </w:r>
    </w:p>
    <w:p>
      <w:pPr>
        <w:pStyle w:val="TextBody"/>
        <w:bidi w:val="0"/>
        <w:spacing w:lineRule="auto" w:line="307" w:before="0" w:after="160"/>
        <w:ind w:left="0" w:right="0" w:hanging="0"/>
        <w:jc w:val="right"/>
        <w:rPr>
          <w:color w:val="FF0000"/>
        </w:rPr>
      </w:pPr>
      <w:r>
        <w:rPr>
          <w:color w:val="FF0000"/>
        </w:rPr>
        <w:t>​</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lineRule="auto" w:line="285" w:before="0" w:after="160"/>
        <w:ind w:left="0" w:right="0" w:hanging="360"/>
        <w:jc w:val="center"/>
        <w:rPr>
          <w:rFonts w:ascii="Times New Roman;Times;serif" w:hAnsi="Times New Roman;Times;serif"/>
          <w:b/>
          <w:sz w:val="20"/>
        </w:rPr>
      </w:pPr>
      <w:r>
        <w:rPr>
          <w:rFonts w:ascii="Times New Roman;Times;serif" w:hAnsi="Times New Roman;Times;serif"/>
          <w:b/>
          <w:sz w:val="20"/>
        </w:rPr>
        <w:t>NOTES TO THE UNAUDITED PRO FORMA CONDENSED CONSOLIDATED FINANCIAL INFORMATION</w:t>
      </w:r>
    </w:p>
    <w:p>
      <w:pPr>
        <w:pStyle w:val="TextBody"/>
        <w:bidi w:val="0"/>
        <w:spacing w:lineRule="auto" w:line="307" w:before="0" w:after="16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SimpliDerm Discontinued Operations:</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00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Reflects the discontinued operations, including associated net assets and results directly attributable to the SimpliDerm Business, which were previously included in the Company’s historical financial statements. The SimpliDerm Sale has been accounted for retrospectively as a discontinued operation in accordance with ASC 205-20, “Discontinued Operations” for all periods presented. </w:t>
            </w:r>
          </w:p>
        </w:tc>
      </w:tr>
    </w:tbl>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Transaction Accounting Adjustments:</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09" w:type="dxa"/>
            <w:tcBorders/>
            <w:vAlign w:val="center"/>
          </w:tcPr>
          <w:p>
            <w:pPr>
              <w:pStyle w:val="TableContents"/>
              <w:bidi w:val="0"/>
              <w:spacing w:before="0" w:after="283"/>
              <w:jc w:val="left"/>
              <w:rPr/>
            </w:pPr>
            <w:r>
              <w:rPr>
                <w:rFonts w:ascii="Times New Roman;Times;serif" w:hAnsi="Times New Roman;Times;serif"/>
                <w:b w:val="false"/>
                <w:i/>
                <w:sz w:val="20"/>
              </w:rPr>
              <w:t xml:space="preserve">Adjustments to cash. </w:t>
            </w:r>
            <w:r>
              <w:rPr>
                <w:rFonts w:ascii="Times New Roman;Times;serif" w:hAnsi="Times New Roman;Times;serif"/>
                <w:b w:val="false"/>
                <w:i w:val="false"/>
                <w:caps w:val="false"/>
                <w:smallCaps w:val="false"/>
                <w:sz w:val="20"/>
              </w:rPr>
              <w:t xml:space="preserve">The Company received cash of $7.7 million at closing from the SimpliDerm Sale, which includes $8.0 million of cash paid at close and a $0.3 million reduction related to post-close estimated adjustments for inventory levels (which may change after a definitive post-closing inventory reconciliation). As part of the sale, the Company may receive contingent payments up to $3.0 million of cash in the 18 months following the close based on certain requirements outlined within the Asset Purchase Agreement, which are further described below. </w:t>
            </w:r>
          </w:p>
        </w:tc>
      </w:tr>
    </w:tbl>
    <w:p>
      <w:pPr>
        <w:pStyle w:val="TextBody"/>
        <w:bidi w:val="0"/>
        <w:spacing w:lineRule="auto" w:line="307" w:before="0" w:after="16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2" w:type="dxa"/>
            <w:tcBorders/>
            <w:vAlign w:val="center"/>
          </w:tcPr>
          <w:p>
            <w:pPr>
              <w:pStyle w:val="TableContents"/>
              <w:bidi w:val="0"/>
              <w:spacing w:before="0" w:after="283"/>
              <w:jc w:val="left"/>
              <w:rPr/>
            </w:pPr>
            <w:r>
              <w:rPr>
                <w:rFonts w:ascii="Times New Roman;Times;serif" w:hAnsi="Times New Roman;Times;serif"/>
                <w:b w:val="false"/>
                <w:i/>
                <w:sz w:val="20"/>
              </w:rPr>
              <w:t>Costs to complete the SimpliDerm Sale</w:t>
            </w:r>
            <w:r>
              <w:rPr>
                <w:rFonts w:ascii="Times New Roman;Times;serif" w:hAnsi="Times New Roman;Times;serif"/>
                <w:b w:val="false"/>
                <w:i w:val="false"/>
                <w:caps w:val="false"/>
                <w:smallCaps w:val="false"/>
                <w:sz w:val="20"/>
              </w:rPr>
              <w:t>. Reflects an estimate of $0.4 million total transaction fees related primarily to legal fees incurred to complete the SimpliDerm Sale that have not yet been reflected in the historical statements. The transaction fees were not paid at closing and have been</w:t>
            </w:r>
            <w:r>
              <w:rPr>
                <w:caps w:val="false"/>
                <w:smallCaps w:val="false"/>
              </w:rPr>
              <w:t xml:space="preserve"> </w:t>
            </w:r>
            <w:r>
              <w:rPr>
                <w:rFonts w:ascii="Times New Roman;Times;serif" w:hAnsi="Times New Roman;Times;serif"/>
                <w:b w:val="false"/>
                <w:i w:val="false"/>
                <w:caps w:val="false"/>
                <w:smallCaps w:val="false"/>
                <w:sz w:val="20"/>
              </w:rPr>
              <w:t>recorded in current liabilities. This adjustment is not reflected in the Unaudited Pro Forma Condensed Consolidated Statement of Operations as the impacts of the transaction costs are included in discontinued operations.</w:t>
            </w:r>
          </w:p>
        </w:tc>
      </w:tr>
    </w:tbl>
    <w:p>
      <w:pPr>
        <w:pStyle w:val="TextBody"/>
        <w:bidi w:val="0"/>
        <w:spacing w:lineRule="auto" w:line="307" w:before="0" w:after="16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1" w:type="dxa"/>
            <w:tcBorders/>
            <w:vAlign w:val="center"/>
          </w:tcPr>
          <w:p>
            <w:pPr>
              <w:pStyle w:val="TableContents"/>
              <w:bidi w:val="0"/>
              <w:spacing w:before="0" w:after="283"/>
              <w:jc w:val="left"/>
              <w:rPr/>
            </w:pPr>
            <w:r>
              <w:rPr>
                <w:rFonts w:ascii="Times New Roman;Times;serif" w:hAnsi="Times New Roman;Times;serif"/>
                <w:b w:val="false"/>
                <w:i/>
                <w:sz w:val="20"/>
              </w:rPr>
              <w:t>Effect on stockholders’ equity</w:t>
            </w:r>
            <w:r>
              <w:rPr>
                <w:rFonts w:ascii="Times New Roman;Times;serif" w:hAnsi="Times New Roman;Times;serif"/>
                <w:b w:val="false"/>
                <w:i w:val="false"/>
                <w:caps w:val="false"/>
                <w:smallCaps w:val="false"/>
                <w:sz w:val="20"/>
              </w:rPr>
              <w:t xml:space="preserve">. Reflects an estimated gain of $4.9 million related to the SimpliDerm Sale based on the $7.7 million of consideration, net of post-close adjustments for inventory levels at closing, less transaction costs of $0.4 million, and SimpliDerm Business net assets as of June 30, 2026 of $2.4 million. The actual gain, and related tax impact, recorded upon close may be subject to change and will be based on amounts as of the close date and the finalization of the Company’s analysis. Since the Unaudited Pro Forma Condensed Consolidated Statements of Operations only include continuing operations, the estimated gain resulting from the SimpliDerm Sale is not included in any period presented. </w:t>
            </w:r>
          </w:p>
        </w:tc>
      </w:tr>
    </w:tbl>
    <w:p>
      <w:pPr>
        <w:pStyle w:val="TextBody"/>
        <w:bidi w:val="0"/>
        <w:spacing w:lineRule="auto" w:line="307" w:before="0" w:after="16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31" w:type="dxa"/>
            <w:tcBorders/>
            <w:vAlign w:val="center"/>
          </w:tcPr>
          <w:p>
            <w:pPr>
              <w:pStyle w:val="TableContents"/>
              <w:bidi w:val="0"/>
              <w:spacing w:before="0" w:after="283"/>
              <w:jc w:val="left"/>
              <w:rPr/>
            </w:pPr>
            <w:r>
              <w:rPr>
                <w:rFonts w:ascii="Times New Roman;Times;serif" w:hAnsi="Times New Roman;Times;serif"/>
                <w:b w:val="false"/>
                <w:i/>
                <w:sz w:val="20"/>
              </w:rPr>
              <w:t>Contingent payments</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As part of the SimpliDerm</w:t>
            </w:r>
            <w:r>
              <w:rPr>
                <w:caps w:val="false"/>
                <w:smallCaps w:val="false"/>
              </w:rPr>
              <w:t xml:space="preserve"> </w:t>
            </w:r>
            <w:r>
              <w:rPr>
                <w:rFonts w:ascii="Times New Roman;Times;serif" w:hAnsi="Times New Roman;Times;serif"/>
                <w:b w:val="false"/>
                <w:i w:val="false"/>
                <w:caps w:val="false"/>
                <w:smallCaps w:val="false"/>
                <w:sz w:val="20"/>
              </w:rPr>
              <w:t>Sale, the Company may receive (i) a contingent payment of up to $2 million, payable upon completion of certain technology transfer and manufacturing transition milestones, which the parties have agreed to use commercially reasonable efforts to complete within six months following the closing, subject to reduction for sales shortfalls against monthly SimpliDerm sales targets during the 18-month period following closing; and (ii) contingent earnout payments of up to $250,000 per quarter, payable for each of the first five full fiscal quarters following the closing in which SimpliDerm product revenue exceeds a specified quarterly revenue target, subject to an aggregate cap of $1 million (collectively, the “Contingent Payments”).</w:t>
            </w:r>
            <w:r>
              <w:rPr>
                <w:caps w:val="false"/>
                <w:smallCaps w:val="false"/>
              </w:rPr>
              <w:t xml:space="preserve"> </w:t>
            </w:r>
            <w:r>
              <w:rPr>
                <w:rFonts w:ascii="Times New Roman;Times;serif" w:hAnsi="Times New Roman;Times;serif"/>
                <w:b w:val="false"/>
                <w:i w:val="false"/>
                <w:caps w:val="false"/>
                <w:smallCaps w:val="false"/>
                <w:sz w:val="20"/>
              </w:rPr>
              <w:t>The Company has concluded that the SimpliDerm Sale represents the disposition of a business under U.S. GAAP. In connection with its planned early adoption of ASU 2025-07 in its Form 10-Q for the quarterly period ended September 30, 2026, the Company evaluated the contingent payment arrangements and determined that they will qualify for the scope exception in ASC 815-10-15. As a result, the Company will record the contingent consideration portion of the arrangement when the consideration is determined to be realizable. As of the date of the SimpliDerm Sale, the Company has determined that the contingent consideration is not realizable and, as a result, no amounts related to the Contingent Payments have been reflected in the unaudited pro forma condensed consolidated financial information.</w:t>
            </w:r>
          </w:p>
        </w:tc>
      </w:tr>
    </w:tbl>
    <w:p>
      <w:pPr>
        <w:pStyle w:val="TextBody"/>
        <w:bidi w:val="0"/>
        <w:spacing w:lineRule="auto" w:line="307" w:before="0" w:after="16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54" w:type="dxa"/>
            <w:tcBorders/>
            <w:vAlign w:val="center"/>
          </w:tcPr>
          <w:p>
            <w:pPr>
              <w:pStyle w:val="TableContents"/>
              <w:bidi w:val="0"/>
              <w:spacing w:before="0" w:after="283"/>
              <w:jc w:val="left"/>
              <w:rPr/>
            </w:pPr>
            <w:r>
              <w:rPr>
                <w:rFonts w:ascii="Times New Roman;Times;serif" w:hAnsi="Times New Roman;Times;serif"/>
                <w:b w:val="false"/>
                <w:i/>
                <w:sz w:val="20"/>
              </w:rPr>
              <w:t xml:space="preserve">Income Tax Effect. </w:t>
            </w:r>
            <w:r>
              <w:rPr>
                <w:rFonts w:ascii="Times New Roman;Times;serif" w:hAnsi="Times New Roman;Times;serif"/>
                <w:b w:val="false"/>
                <w:i w:val="false"/>
                <w:caps w:val="false"/>
                <w:smallCaps w:val="false"/>
                <w:sz w:val="20"/>
              </w:rPr>
              <w:t>No income tax effect has been reflected for the SimpliDerm Sale. The Company maintains a full valuation allowance against its deferred tax assets, and therefore the pro forma adjustments have not been tax-affected. In addition, the Company has available net operating loss carryforwards that are expected to offset any taxable income that may result from the SimpliDerm Sale. Accordingly, no material current income tax payable or deferred tax adjustment has been recorded in the unaudited pro forma condensed consolidated financial information.</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w:altName w:val="Times New Roman"/>
    <w:charset w:val="01"/>
    <w:family w:val="auto"/>
    <w:pitch w:val="default"/>
  </w:font>
  <w:font w:name="Arial">
    <w:altName w:val="Helvetic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8527/000110465926085061/tm2620864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5251</Words>
  <Characters>29796</Characters>
  <CharactersWithSpaces>34997</CharactersWithSpaces>
  <Paragraphs>1278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