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028d1_s8.htm"/>
      <w:bookmarkStart w:id="1" w:name="kstm2623028d1_s8"/>
      <w:bookmarkEnd w:id="0"/>
      <w:bookmarkEnd w:id="1"/>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170"/>
        <w:gridCol w:w="1940"/>
      </w:tblGrid>
      <w:tr>
        <w:trPr/>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filed with the Securities and Exchange Commission on August 14, 2026.</w:t>
            </w:r>
          </w:p>
        </w:tc>
        <w:tc>
          <w:tcPr>
            <w:tcW w:w="19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File No. 333-________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ELUTIA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615"/>
        <w:gridCol w:w="1550"/>
      </w:tblGrid>
      <w:tr>
        <w:trPr/>
        <w:tc>
          <w:tcPr>
            <w:tcW w:w="26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5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47-4790334</w:t>
            </w:r>
          </w:p>
        </w:tc>
      </w:tr>
      <w:tr>
        <w:trPr/>
        <w:tc>
          <w:tcPr>
            <w:tcW w:w="261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Firstfield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Gaithersburg, MD 20878</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Elutia Inc. Amended and Restated 2020 Incentive Award Plan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3515"/>
        <w:gridCol w:w="3245"/>
      </w:tblGrid>
      <w:tr>
        <w:trPr/>
        <w:tc>
          <w:tcPr>
            <w:tcW w:w="35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Randal Mills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Elutia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Firstfield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Gaithersburg, MD 20878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 247-1170</w:t>
            </w:r>
          </w:p>
        </w:tc>
        <w:tc>
          <w:tcPr>
            <w:tcW w:w="324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Isabelle A. Dinerman,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Cochran,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Kilpatrick Townsend &amp; Stockton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 Peachtree St NE, Suite 2800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Atlanta, GA 30309</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815-6500</w:t>
            </w:r>
          </w:p>
        </w:tc>
      </w:tr>
      <w:tr>
        <w:trPr/>
        <w:tc>
          <w:tcPr>
            <w:tcW w:w="351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Address, and Telephone Number,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Area Code, of Agent for Service)</w:t>
            </w:r>
          </w:p>
        </w:tc>
        <w:tc>
          <w:tcPr>
            <w:tcW w:w="324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color w:val="212529"/>
                <w:shd w:fill="FFFFFF" w:val="clear"/>
              </w:rPr>
            </w:pPr>
            <w:r>
              <w:rPr>
                <w:color w:val="212529"/>
                <w:shd w:fill="FFFFFF" w:val="clea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color w:val="212529"/>
                <w:shd w:fill="FFFFFF" w:val="clear"/>
              </w:rPr>
            </w:pPr>
            <w:r>
              <w:rPr>
                <w:color w:val="212529"/>
                <w:shd w:fill="FFFFFF" w:val="clea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color w:val="212529"/>
                <w:shd w:fill="FFFFFF" w:val="clear"/>
              </w:rPr>
            </w:pPr>
            <w:r>
              <w:rPr>
                <w:color w:val="212529"/>
                <w:shd w:fill="FFFFFF" w:val="clear"/>
              </w:rPr>
              <w:t>☒</w:t>
            </w:r>
          </w:p>
        </w:tc>
      </w:tr>
      <w:tr>
        <w:trPr/>
        <w:tc>
          <w:tcPr>
            <w:tcW w:w="2065" w:type="dxa"/>
            <w:gridSpan w:val="2"/>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color w:val="212529"/>
                <w:shd w:fill="FFFFFF" w:val="clear"/>
              </w:rPr>
            </w:pPr>
            <w:r>
              <w:rPr>
                <w:color w:val="212529"/>
                <w:shd w:fill="FFFFFF" w:val="clea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is filed by Elutia Inc., a Delaware corporation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pursuant to the requirements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to register (i) an additional 3,000,000 shares of the Registrant’s Class A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under the Registrant’s Amended and Restated 2020 Incentive Award Plan (as amended and restated, the “</w:t>
      </w:r>
      <w:r>
        <w:rPr>
          <w:rFonts w:ascii="Times New Roman;Times;Serif" w:hAnsi="Times New Roman;Times;Serif"/>
          <w:b w:val="false"/>
          <w:i w:val="false"/>
          <w:caps w:val="false"/>
          <w:smallCaps w:val="false"/>
          <w:sz w:val="20"/>
          <w:u w:val="single"/>
        </w:rPr>
        <w:t>Amended 2020 Plan</w:t>
      </w:r>
      <w:r>
        <w:rPr>
          <w:rFonts w:ascii="Times New Roman;Times;Serif" w:hAnsi="Times New Roman;Times;Serif"/>
          <w:b w:val="false"/>
          <w:i w:val="false"/>
          <w:caps w:val="false"/>
          <w:smallCaps w:val="false"/>
          <w:sz w:val="20"/>
        </w:rPr>
        <w:t>”) that became reserved and available for issuance following approval by the Registrant’s stockholders of the First Amendment to the Amended 2020 Plan on June 11, 2026, (ii) 1,408,426 shares of Common Stock under the Amended 2020 Plan that became reserved and available for issuance on January 1, 2025, pursuant to the Amended 2020 Plan’s “evergreen” provisions, and (iii) 1,711,394 shares of Common Stock under the Amended 2020 Plan that became reserved and available for issuance on January 1, 2026, pursuant to the Amended 2020 Plan’s “evergreen”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Registrant previously filed </w:t>
      </w:r>
      <w:hyperlink r:id="rId2">
        <w:r>
          <w:rPr>
            <w:rStyle w:val="InternetLink"/>
            <w:rFonts w:ascii="Times New Roman;Times;Serif" w:hAnsi="Times New Roman;Times;Serif"/>
            <w:b w:val="false"/>
            <w:i w:val="false"/>
            <w:caps w:val="false"/>
            <w:smallCaps w:val="false"/>
            <w:sz w:val="20"/>
          </w:rPr>
          <w:t>a Registration Statement on Form S-8 (File No. 333-276693)</w:t>
        </w:r>
      </w:hyperlink>
      <w:r>
        <w:rPr>
          <w:rFonts w:ascii="Times New Roman;Times;Serif" w:hAnsi="Times New Roman;Times;Serif"/>
          <w:b w:val="false"/>
          <w:i w:val="false"/>
          <w:caps w:val="false"/>
          <w:smallCaps w:val="false"/>
          <w:sz w:val="20"/>
        </w:rPr>
        <w:t xml:space="preserve"> on January 25, 2024 and a </w:t>
      </w:r>
      <w:hyperlink r:id="rId3">
        <w:r>
          <w:rPr>
            <w:rStyle w:val="InternetLink"/>
            <w:rFonts w:ascii="Times New Roman;Times;Serif" w:hAnsi="Times New Roman;Times;Serif"/>
            <w:b w:val="false"/>
            <w:i w:val="false"/>
            <w:caps w:val="false"/>
            <w:smallCaps w:val="false"/>
            <w:sz w:val="20"/>
          </w:rPr>
          <w:t>Registration Statement on Form S-8 (File No. 333-249391)</w:t>
        </w:r>
      </w:hyperlink>
      <w:r>
        <w:rPr>
          <w:rFonts w:ascii="Times New Roman;Times;Serif" w:hAnsi="Times New Roman;Times;Serif"/>
          <w:b w:val="false"/>
          <w:i w:val="false"/>
          <w:caps w:val="false"/>
          <w:smallCaps w:val="false"/>
          <w:sz w:val="20"/>
        </w:rPr>
        <w:t xml:space="preserve"> on October 8, 2020, with respect to the shares of Common Stock previously reserved for issuance under the Amended 2020 Plan (collectively, the “</w:t>
      </w:r>
      <w:r>
        <w:rPr>
          <w:rFonts w:ascii="Times New Roman;Times;Serif" w:hAnsi="Times New Roman;Times;Serif"/>
          <w:b w:val="false"/>
          <w:i w:val="false"/>
          <w:caps w:val="false"/>
          <w:smallCaps w:val="false"/>
          <w:sz w:val="20"/>
          <w:u w:val="single"/>
        </w:rPr>
        <w:t>Prior Registration Statements</w:t>
      </w:r>
      <w:r>
        <w:rPr>
          <w:rFonts w:ascii="Times New Roman;Times;Serif" w:hAnsi="Times New Roman;Times;Serif"/>
          <w:b w:val="false"/>
          <w:i w:val="false"/>
          <w:caps w:val="false"/>
          <w:smallCaps w:val="false"/>
          <w:sz w:val="20"/>
        </w:rPr>
        <w:t>”). This Registration Statement relates to securities of the same class as that to which the Prior Registration Statements relate, and is submitted in accordance with General Instruction E to Form S-8 regarding registration of additional securities. In accordance with such instruction, the contents of the Prior Registration Statements relating to the Amended 2020 Plan are incorporated by reference in this Registration Statement, to the extent not replaced hereby.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4183"/>
        <w:gridCol w:w="5847"/>
      </w:tblGrid>
      <w:tr>
        <w:trPr/>
        <w:tc>
          <w:tcPr>
            <w:tcW w:w="175" w:type="dxa"/>
            <w:tcBorders/>
            <w:vAlign w:val="center"/>
          </w:tcPr>
          <w:p>
            <w:pPr>
              <w:pStyle w:val="TableContents"/>
              <w:bidi w:val="0"/>
              <w:spacing w:before="0" w:after="283"/>
              <w:jc w:val="left"/>
              <w:rPr>
                <w:sz w:val="4"/>
                <w:szCs w:val="4"/>
              </w:rPr>
            </w:pPr>
            <w:r>
              <w:rPr>
                <w:sz w:val="4"/>
                <w:szCs w:val="4"/>
              </w:rPr>
            </w:r>
          </w:p>
        </w:tc>
        <w:tc>
          <w:tcPr>
            <w:tcW w:w="4183" w:type="dxa"/>
            <w:tcBorders/>
            <w:vAlign w:val="center"/>
          </w:tcPr>
          <w:p>
            <w:pPr>
              <w:pStyle w:val="TableContents"/>
              <w:bidi w:val="0"/>
              <w:spacing w:before="0" w:after="283"/>
              <w:jc w:val="left"/>
              <w:rPr>
                <w:b/>
              </w:rPr>
            </w:pPr>
            <w:r>
              <w:rPr>
                <w:b/>
              </w:rPr>
              <w:t>ITEM 8.</w:t>
            </w:r>
          </w:p>
        </w:tc>
        <w:tc>
          <w:tcPr>
            <w:tcW w:w="5847" w:type="dxa"/>
            <w:tcBorders/>
            <w:vAlign w:val="center"/>
          </w:tcPr>
          <w:p>
            <w:pPr>
              <w:pStyle w:val="TableContents"/>
              <w:bidi w:val="0"/>
              <w:spacing w:before="0" w:after="283"/>
              <w:jc w:val="left"/>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0"/>
        <w:gridCol w:w="8865"/>
      </w:tblGrid>
      <w:tr>
        <w:trPr/>
        <w:tc>
          <w:tcPr>
            <w:tcW w:w="13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 Number</w:t>
            </w:r>
          </w:p>
        </w:tc>
        <w:tc>
          <w:tcPr>
            <w:tcW w:w="886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Description</w:t>
            </w:r>
          </w:p>
        </w:tc>
      </w:tr>
      <w:tr>
        <w:trPr/>
        <w:tc>
          <w:tcPr>
            <w:tcW w:w="1340"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4.1a</w:t>
              </w:r>
            </w:hyperlink>
          </w:p>
        </w:tc>
        <w:tc>
          <w:tcPr>
            <w:tcW w:w="8865" w:type="dxa"/>
            <w:tcBorders/>
            <w:vAlign w:val="center"/>
          </w:tcPr>
          <w:p>
            <w:pPr>
              <w:pStyle w:val="TableContents"/>
              <w:bidi w:val="0"/>
              <w:spacing w:before="0" w:after="283"/>
              <w:jc w:val="both"/>
              <w:rPr/>
            </w:pPr>
            <w:hyperlink r:id="rId5">
              <w:r>
                <w:rPr>
                  <w:rStyle w:val="InternetLink"/>
                  <w:rFonts w:ascii="Times New Roman;Times;Serif" w:hAnsi="Times New Roman;Times;Serif"/>
                  <w:sz w:val="20"/>
                </w:rPr>
                <w:t>Restated Certificate of Incorporation of Elutia Inc. (incorporated by reference to Exhibit 3.1a to the Registrant’s Current Report on Form 8-K filed on October 13, 2020).</w:t>
              </w:r>
            </w:hyperlink>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hyperlink r:id="rId6">
              <w:r>
                <w:rPr>
                  <w:rStyle w:val="InternetLink"/>
                  <w:rFonts w:ascii="Times New Roman;Times;Serif" w:hAnsi="Times New Roman;Times;Serif"/>
                  <w:sz w:val="20"/>
                </w:rPr>
                <w:t>4.1b</w:t>
              </w:r>
            </w:hyperlink>
          </w:p>
        </w:tc>
        <w:tc>
          <w:tcPr>
            <w:tcW w:w="8865" w:type="dxa"/>
            <w:tcBorders/>
            <w:vAlign w:val="center"/>
          </w:tcPr>
          <w:p>
            <w:pPr>
              <w:pStyle w:val="TableContents"/>
              <w:bidi w:val="0"/>
              <w:spacing w:before="0" w:after="283"/>
              <w:jc w:val="both"/>
              <w:rPr/>
            </w:pPr>
            <w:hyperlink r:id="rId7">
              <w:r>
                <w:rPr>
                  <w:rStyle w:val="InternetLink"/>
                  <w:rFonts w:ascii="Times New Roman;Times;Serif" w:hAnsi="Times New Roman;Times;Serif"/>
                  <w:sz w:val="20"/>
                </w:rPr>
                <w:t>Certificate of Amendment to the Restated Certificate of Incorporation of Elutia Inc. (incorporated by reference to Exhibit 3.1b to the Registrant’s Current Report on Form 8-K filed on September 7, 2023).</w:t>
              </w:r>
            </w:hyperlink>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4.2</w:t>
              </w:r>
            </w:hyperlink>
          </w:p>
        </w:tc>
        <w:tc>
          <w:tcPr>
            <w:tcW w:w="8865" w:type="dxa"/>
            <w:tcBorders/>
            <w:vAlign w:val="center"/>
          </w:tcPr>
          <w:p>
            <w:pPr>
              <w:pStyle w:val="TableContents"/>
              <w:bidi w:val="0"/>
              <w:spacing w:before="0" w:after="283"/>
              <w:jc w:val="both"/>
              <w:rPr/>
            </w:pPr>
            <w:hyperlink r:id="rId9">
              <w:r>
                <w:rPr>
                  <w:rStyle w:val="InternetLink"/>
                  <w:rFonts w:ascii="Times New Roman;Times;Serif" w:hAnsi="Times New Roman;Times;Serif"/>
                  <w:sz w:val="20"/>
                </w:rPr>
                <w:t>Amended and Restated Bylaws of Elutia Inc. (incorporated by reference to Exhibit 3.2 to the Registrant’s Current Report on Form 8-K filed on October 13, 2020).</w:t>
              </w:r>
            </w:hyperlink>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4.3</w:t>
              </w:r>
            </w:hyperlink>
          </w:p>
        </w:tc>
        <w:tc>
          <w:tcPr>
            <w:tcW w:w="8865" w:type="dxa"/>
            <w:tcBorders/>
            <w:vAlign w:val="center"/>
          </w:tcPr>
          <w:p>
            <w:pPr>
              <w:pStyle w:val="TableContents"/>
              <w:bidi w:val="0"/>
              <w:spacing w:before="0" w:after="283"/>
              <w:jc w:val="both"/>
              <w:rPr/>
            </w:pPr>
            <w:hyperlink r:id="rId11">
              <w:r>
                <w:rPr>
                  <w:rStyle w:val="InternetLink"/>
                  <w:rFonts w:ascii="Times New Roman;Times;Serif" w:hAnsi="Times New Roman;Times;Serif"/>
                  <w:sz w:val="20"/>
                </w:rPr>
                <w:t>Specimen stock certificate evidencing the shares of Class A common stock (incorporated by reference to Exhibit 4.2 to the Registrant’s Registration Statement on Form S-1 (File No. 333-248788) filed on September 14, 2020).</w:t>
              </w:r>
            </w:hyperlink>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hyperlink w:anchor="tm2623028d1_ex5-1.htm">
              <w:r>
                <w:rPr>
                  <w:rStyle w:val="InternetLink"/>
                  <w:rFonts w:ascii="Times New Roman;Times;Serif" w:hAnsi="Times New Roman;Times;Serif"/>
                  <w:sz w:val="20"/>
                </w:rPr>
                <w:t>5.1</w:t>
              </w:r>
            </w:hyperlink>
          </w:p>
        </w:tc>
        <w:tc>
          <w:tcPr>
            <w:tcW w:w="8865" w:type="dxa"/>
            <w:tcBorders/>
            <w:vAlign w:val="center"/>
          </w:tcPr>
          <w:p>
            <w:pPr>
              <w:pStyle w:val="TableContents"/>
              <w:bidi w:val="0"/>
              <w:spacing w:before="0" w:after="283"/>
              <w:jc w:val="both"/>
              <w:rPr/>
            </w:pPr>
            <w:hyperlink w:anchor="tm2623028d1_ex5-1.htm">
              <w:r>
                <w:rPr>
                  <w:rStyle w:val="InternetLink"/>
                  <w:rFonts w:ascii="Times New Roman;Times;Serif" w:hAnsi="Times New Roman;Times;Serif"/>
                  <w:sz w:val="20"/>
                </w:rPr>
                <w:t>Opinion of Kilpatrick Townsend &amp; Stockton LLP (filed herewith).</w:t>
              </w:r>
            </w:hyperlink>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hyperlink w:anchor="tm2623028d1_ex23-1.htm">
              <w:r>
                <w:rPr>
                  <w:rStyle w:val="InternetLink"/>
                  <w:rFonts w:ascii="Times New Roman;Times;Serif" w:hAnsi="Times New Roman;Times;Serif"/>
                  <w:sz w:val="20"/>
                </w:rPr>
                <w:t>23.1</w:t>
              </w:r>
            </w:hyperlink>
          </w:p>
        </w:tc>
        <w:tc>
          <w:tcPr>
            <w:tcW w:w="8865" w:type="dxa"/>
            <w:tcBorders/>
            <w:vAlign w:val="center"/>
          </w:tcPr>
          <w:p>
            <w:pPr>
              <w:pStyle w:val="TableContents"/>
              <w:bidi w:val="0"/>
              <w:spacing w:before="0" w:after="283"/>
              <w:jc w:val="both"/>
              <w:rPr/>
            </w:pPr>
            <w:hyperlink w:anchor="tm2623028d1_ex23-1.htm">
              <w:r>
                <w:rPr>
                  <w:rStyle w:val="InternetLink"/>
                  <w:rFonts w:ascii="Times New Roman;Times;Serif" w:hAnsi="Times New Roman;Times;Serif"/>
                  <w:sz w:val="20"/>
                </w:rPr>
                <w:t>Consent of PricewaterhouseCoopers LLP (filed herewith).</w:t>
              </w:r>
            </w:hyperlink>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hyperlink w:anchor="tm2623028d1_ex5-1.htm">
              <w:r>
                <w:rPr>
                  <w:rStyle w:val="InternetLink"/>
                  <w:rFonts w:ascii="Times New Roman;Times;Serif" w:hAnsi="Times New Roman;Times;Serif"/>
                  <w:sz w:val="20"/>
                </w:rPr>
                <w:t>23.2</w:t>
              </w:r>
            </w:hyperlink>
          </w:p>
        </w:tc>
        <w:tc>
          <w:tcPr>
            <w:tcW w:w="8865" w:type="dxa"/>
            <w:tcBorders/>
            <w:vAlign w:val="center"/>
          </w:tcPr>
          <w:p>
            <w:pPr>
              <w:pStyle w:val="TableContents"/>
              <w:bidi w:val="0"/>
              <w:spacing w:before="0" w:after="283"/>
              <w:jc w:val="both"/>
              <w:rPr/>
            </w:pPr>
            <w:hyperlink w:anchor="tm2623028d1_ex5-1.htm">
              <w:r>
                <w:rPr>
                  <w:rStyle w:val="InternetLink"/>
                  <w:rFonts w:ascii="Times New Roman;Times;Serif" w:hAnsi="Times New Roman;Times;Serif"/>
                  <w:sz w:val="20"/>
                </w:rPr>
                <w:t>Consent of Kilpatrick Townsend &amp; Stockton LLP (included in Exhibit 5.1).</w:t>
              </w:r>
            </w:hyperlink>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8865" w:type="dxa"/>
            <w:tcBorders/>
            <w:vAlign w:val="center"/>
          </w:tcPr>
          <w:p>
            <w:pPr>
              <w:pStyle w:val="TableContents"/>
              <w:bidi w:val="0"/>
              <w:spacing w:before="0" w:after="283"/>
              <w:jc w:val="both"/>
              <w:rPr/>
            </w:pPr>
            <w:hyperlink w:anchor="a_001">
              <w:r>
                <w:rPr>
                  <w:rStyle w:val="InternetLink"/>
                  <w:rFonts w:ascii="Times New Roman;Times;Serif" w:hAnsi="Times New Roman;Times;Serif"/>
                  <w:sz w:val="20"/>
                </w:rPr>
                <w:t xml:space="preserve">Power of Attorney (included in signature pages to this Registration Statement). </w:t>
              </w:r>
            </w:hyperlink>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"https://www.sec.gov/Archives/edgar/data/1708527/000110465923051446/tm231999-1_def14a.htm" \l "tANA"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99.1</w:t>
            </w:r>
            <w:r>
              <w:rPr>
                <w:rStyle w:val="InternetLink"/>
                <w:sz w:val="20"/>
                <w:rFonts w:ascii="Times New Roman;Times;Serif" w:hAnsi="Times New Roman;Times;Serif"/>
              </w:rPr>
              <w:fldChar w:fldCharType="end"/>
            </w:r>
          </w:p>
        </w:tc>
        <w:tc>
          <w:tcPr>
            <w:tcW w:w="8865" w:type="dxa"/>
            <w:tcBorders/>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"https://www.sec.gov/Archives/edgar/data/1708527/000110465923051446/tm231999-1_def14a.htm" \l "tANA"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Elutia Inc. Amended and Restated 2020 Incentive Award Plan (incorporated by reference to Annex A to the Registrant’s Definitive Proxy Statement filed on April 27, 2023).</w:t>
            </w:r>
            <w:r>
              <w:rPr>
                <w:rStyle w:val="InternetLink"/>
                <w:sz w:val="20"/>
                <w:rFonts w:ascii="Times New Roman;Times;Serif" w:hAnsi="Times New Roman;Times;Serif"/>
              </w:rPr>
              <w:fldChar w:fldCharType="end"/>
            </w:r>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"https://www.sec.gov/Archives/edgar/data/1708527/000110465926046897/elut-20260611xdef14a.htm" \l "ANNEXA_941936"</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99.2</w:t>
            </w:r>
            <w:r>
              <w:rPr>
                <w:rStyle w:val="InternetLink"/>
                <w:sz w:val="20"/>
                <w:rFonts w:ascii="Times New Roman;Times;Serif" w:hAnsi="Times New Roman;Times;Serif"/>
              </w:rPr>
              <w:fldChar w:fldCharType="end"/>
            </w:r>
          </w:p>
        </w:tc>
        <w:tc>
          <w:tcPr>
            <w:tcW w:w="8865" w:type="dxa"/>
            <w:tcBorders/>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"https://www.sec.gov/Archives/edgar/data/1708527/000110465926046897/elut-20260611xdef14a.htm" \l "ANNEXA_941936"</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First Amendment to Elutia Inc. Amended and Restated 2020 Incentive Award Plan (incorporated by reference to Annex A to the Registrant’s Definitive Proxy Statement filed on April 22, 2026).</w:t>
            </w:r>
            <w:r>
              <w:rPr>
                <w:rStyle w:val="InternetLink"/>
                <w:sz w:val="20"/>
                <w:rFonts w:ascii="Times New Roman;Times;Serif" w:hAnsi="Times New Roman;Times;Serif"/>
              </w:rPr>
              <w:fldChar w:fldCharType="end"/>
            </w:r>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left"/>
              <w:rPr/>
            </w:pPr>
            <w:hyperlink w:anchor="tm2623028d1_ex-filingfees.htm">
              <w:r>
                <w:rPr>
                  <w:rStyle w:val="InternetLink"/>
                  <w:rFonts w:ascii="Times New Roman;Times;Serif" w:hAnsi="Times New Roman;Times;Serif"/>
                  <w:sz w:val="20"/>
                </w:rPr>
                <w:t>107</w:t>
              </w:r>
            </w:hyperlink>
          </w:p>
        </w:tc>
        <w:tc>
          <w:tcPr>
            <w:tcW w:w="8865" w:type="dxa"/>
            <w:tcBorders/>
            <w:vAlign w:val="center"/>
          </w:tcPr>
          <w:p>
            <w:pPr>
              <w:pStyle w:val="TableContents"/>
              <w:bidi w:val="0"/>
              <w:spacing w:before="0" w:after="283"/>
              <w:jc w:val="both"/>
              <w:rPr/>
            </w:pPr>
            <w:hyperlink w:anchor="tm2623028d1_ex-filingfees.htm">
              <w:r>
                <w:rPr>
                  <w:rStyle w:val="InternetLink"/>
                  <w:rFonts w:ascii="Times New Roman;Times;Serif" w:hAnsi="Times New Roman;Times;Serif"/>
                  <w:sz w:val="20"/>
                </w:rPr>
                <w:t>Filing Fee Table (filed herewith).</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Gaithersburg, State of Maryland, on August 14, 2026.</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ELUTIA INC.</w:t>
            </w:r>
          </w:p>
        </w:tc>
      </w:tr>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 Randal Mills, Ph.D.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Randal Mills, Ph.D.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officers and directors of the Registrant hereby severally constitutes and appoints C. Randal Mills, Ph.D., Matthew Ferguson or Jeffrey Hamet, or any of them, as his or her true and lawful attorneys-in-fact and agents, with full power of substitution and resubstitution,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2090"/>
        <w:gridCol w:w="60"/>
        <w:gridCol w:w="4865"/>
        <w:gridCol w:w="60"/>
        <w:gridCol w:w="1385"/>
      </w:tblGrid>
      <w:tr>
        <w:trPr/>
        <w:tc>
          <w:tcPr>
            <w:tcW w:w="209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Name and Signature</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Title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Date</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 Randal Mills, Ph.D.</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Randal Mills, Ph.D.</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sz w:val="20"/>
              </w:rPr>
            </w:pPr>
            <w:r>
              <w:rPr>
                <w:sz w:val="20"/>
              </w:rPr>
              <w:t>(principal executive officer)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Matthew Ferguson</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Ferguson</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sz w:val="20"/>
              </w:rPr>
            </w:pPr>
            <w:r>
              <w:rPr>
                <w:sz w:val="20"/>
              </w:rPr>
              <w:t>(principal financial officer and principal accounting officer)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Rakin</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Rakin</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Colpman</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Colpman</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Brigid A. Makes</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Brigid A. Makes</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Guido Neels</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2026</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Guido Neels</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tm2623028d1_ex5-1.htm"/>
      <w:bookmarkStart w:id="4" w:name="kstm2623028d1_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95"/>
        <w:gridCol w:w="3230"/>
        <w:gridCol w:w="3065"/>
      </w:tblGrid>
      <w:tr>
        <w:trPr/>
        <w:tc>
          <w:tcPr>
            <w:tcW w:w="795" w:type="dxa"/>
            <w:tcBorders/>
            <w:vAlign w:val="center"/>
          </w:tcPr>
          <w:p>
            <w:pPr>
              <w:pStyle w:val="TableContents"/>
              <w:bidi w:val="0"/>
              <w:spacing w:before="0" w:after="283"/>
              <w:jc w:val="both"/>
              <w:rPr/>
            </w:pPr>
            <w:r>
              <w:rPr/>
              <w:t> </w:t>
            </w:r>
          </w:p>
        </w:tc>
        <w:tc>
          <w:tcPr>
            <w:tcW w:w="323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2800, 1100 Peachtree Street NE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30309-4528</w:t>
            </w:r>
          </w:p>
        </w:tc>
      </w:tr>
      <w:tr>
        <w:trPr/>
        <w:tc>
          <w:tcPr>
            <w:tcW w:w="795" w:type="dxa"/>
            <w:tcBorders/>
            <w:vAlign w:val="center"/>
          </w:tcPr>
          <w:p>
            <w:pPr>
              <w:pStyle w:val="TableContents"/>
              <w:bidi w:val="0"/>
              <w:spacing w:before="0" w:after="283"/>
              <w:jc w:val="left"/>
              <w:rPr/>
            </w:pPr>
            <w:r>
              <w:rPr/>
              <w:drawing>
                <wp:inline distT="0" distB="0" distL="0" distR="0">
                  <wp:extent cx="457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457200" cy="457200"/>
                          </a:xfrm>
                          <a:prstGeom prst="rect">
                            <a:avLst/>
                          </a:prstGeom>
                        </pic:spPr>
                      </pic:pic>
                    </a:graphicData>
                  </a:graphic>
                </wp:inline>
              </w:drawing>
            </w:r>
            <w:r>
              <w:rPr/>
              <w:t> </w:t>
            </w:r>
          </w:p>
        </w:tc>
        <w:tc>
          <w:tcPr>
            <w:tcW w:w="323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Kilpatrick Townsend &amp; Stockton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ktslaw.com</w:t>
            </w:r>
          </w:p>
        </w:tc>
        <w:tc>
          <w:tcPr>
            <w:tcW w:w="306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rFonts w:ascii="Times New Roman;Times;Serif" w:hAnsi="Times New Roman;Times;Serif"/>
        </w:rPr>
        <w:t>August 14, 2026</w:t>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Elutia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Firstfield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Gaithersburg, MD 20878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w:t>
        <w:tab/>
        <w:t>     </w:t>
      </w:r>
      <w:r>
        <w:rPr>
          <w:rFonts w:ascii="Times New Roman;Times;Serif" w:hAnsi="Times New Roman;Times;Serif"/>
          <w:b/>
          <w:i/>
          <w:caps w:val="false"/>
          <w:smallCaps w:val="false"/>
          <w:sz w:val="20"/>
          <w:u w:val="single"/>
        </w:rPr>
        <w:t>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Elutia Inc., a Delaware corporation (“</w:t>
      </w:r>
      <w:r>
        <w:rPr>
          <w:rFonts w:ascii="Times New Roman;Times;Serif" w:hAnsi="Times New Roman;Times;Serif"/>
          <w:b w:val="false"/>
          <w:i w:val="false"/>
          <w:caps w:val="false"/>
          <w:smallCaps w:val="false"/>
          <w:sz w:val="20"/>
          <w:u w:val="single"/>
        </w:rPr>
        <w:t>Elutia</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by the Company of a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the date hereof, covering the registration of (i) an additional 3,000,000 shares of the Company’s Class A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under the Company’s Amended and Restated 2020 Incentive Award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as amended by the First Amendment thereto (the “</w:t>
      </w:r>
      <w:r>
        <w:rPr>
          <w:rFonts w:ascii="Times New Roman;Times;Serif" w:hAnsi="Times New Roman;Times;Serif"/>
          <w:b w:val="false"/>
          <w:i w:val="false"/>
          <w:caps w:val="false"/>
          <w:smallCaps w:val="false"/>
          <w:sz w:val="20"/>
          <w:u w:val="single"/>
        </w:rPr>
        <w:t>First Amendment</w:t>
      </w:r>
      <w:r>
        <w:rPr>
          <w:rFonts w:ascii="Times New Roman;Times;Serif" w:hAnsi="Times New Roman;Times;Serif"/>
          <w:b w:val="false"/>
          <w:i w:val="false"/>
          <w:caps w:val="false"/>
          <w:smallCaps w:val="false"/>
          <w:sz w:val="20"/>
        </w:rPr>
        <w:t>”) approved by the Company’s stockholders on June 11, 2026 (as so amended, the “</w:t>
      </w:r>
      <w:r>
        <w:rPr>
          <w:rFonts w:ascii="Times New Roman;Times;Serif" w:hAnsi="Times New Roman;Times;Serif"/>
          <w:b w:val="false"/>
          <w:i w:val="false"/>
          <w:caps w:val="false"/>
          <w:smallCaps w:val="false"/>
          <w:sz w:val="20"/>
          <w:u w:val="single"/>
        </w:rPr>
        <w:t>Amended Plan</w:t>
      </w:r>
      <w:r>
        <w:rPr>
          <w:rFonts w:ascii="Times New Roman;Times;Serif" w:hAnsi="Times New Roman;Times;Serif"/>
          <w:b w:val="false"/>
          <w:i w:val="false"/>
          <w:caps w:val="false"/>
          <w:smallCaps w:val="false"/>
          <w:sz w:val="20"/>
        </w:rPr>
        <w:t>”), which shares of Common Stock became reserved and available for issuance under the Amended Plan following such stockholder approval, (ii) an additional 1,408,426 shares of Common Stock under the Plan that became reserved and available for issuance on January 1, 2025, pursuant to the Plan’s “evergreen” provisions in Section 3.1(a) thereof, and (iii) an additional 1,711,394 shares of Common Stock under the Plan that became reserved and available for issuance on January 1, 2026, pursuant to the Plan’s evergreen provisions (collectively, clauses (i)-(iii),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assumptions, qualifications and limitations identified in this letter, we are of the opinion that the Shares have been duly authorized and, when issued in accordance with the terms of the Amended Plan, will be validly issued, fully paid and nonassessable (except as to Shares issued pursuant to deferred payment arrangements, which will be fully paid and nonassessable when such deferred payments are made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this letter, we have among other things reviewed: (i) the Registration Statement, including the filings incorporated by reference therein; (ii) the Plan; (iii) the First Amendment; (iv) copies of minutes, resolutions and consents, as applicable, of the Board of Directors and committees of the Board of Directors of the Company related to the offering, certified by an officer of the Company; (v) the Restated Certificate of Incorporation of the Company, as amended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as certified by the Secretary of State of the State of Delaware on August 13, 2026; (vi) the Amended and Restated Bylaws of the Company, certified by an officer of the Company; (vii) a certificate of good standing from the Secretary of State of the State of Delaware dated August 13, 2026; and (viii) such other certificates, documents and instruments we have deemed appropriate for purposes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for purposes of this letter that: (i) each document we have reviewed is accurate and complete, each such document that is an original is authentic, each such document that is a copy conforms to an authentic original, all signatures on each such document are genuine, and that all natural persons who have signed any documents have the legal capacity to do so; (ii) that the Company will comply with all applicable notice requirements regarding uncertificated shares provided in the Delaware General Corporation Law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(iii) that, at the time of issuance of Shares under the Amended Plan, there will be sufficient shares of Common Stock available for issuance under the Charter; and (iv) that the issuance of Shares under the Amended Plan will be for legal consideration equal to or in excess of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16"/>
        </w:rPr>
        <w:t>Anchorage Atlanta Augusta BEIJING Charlotte CHICAGO DALLAS Denver houston los angeles New York PHOENIX Raleigh</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16"/>
        </w:rPr>
      </w:pPr>
      <w:r>
        <w:rPr>
          <w:rFonts w:ascii="Times New Roman;Times;Serif" w:hAnsi="Times New Roman;Times;Serif"/>
          <w:b/>
          <w:i w:val="false"/>
          <w:caps/>
          <w:sz w:val="16"/>
        </w:rPr>
        <w:t>San Diego San Francisco Seattle SHANGHAI Silicon Valley Stockholm Tokyo Walnut Creek Washington Winston-Salem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opining herein only as to the DGCL.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addresses only the specific legal issues expressly referenced herein, and no opinion is implied or may be inferred beyond that expressly stated. This opinion letter speaks only as of its date and is delivered in accordance with the requirements of Item 601(b)(5) of Regulation S-K under the Securities Act. We assume no obligation to advise you of any change in the foregoing subsequent to the date hereof. We consent to the filing of this opinion as an exhibit to the Registration Statement. In giving this consent, we do not hereby admit that we come within the category of persons whose consent is required under Section 7 of the Securities Act of 1933, as amended, or the rules and regulations of the SEC thereunder.</w:t>
      </w:r>
    </w:p>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75"/>
        <w:gridCol w:w="3350"/>
      </w:tblGrid>
      <w:tr>
        <w:trPr/>
        <w:tc>
          <w:tcPr>
            <w:tcW w:w="7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r>
      <w:tr>
        <w:trPr/>
        <w:tc>
          <w:tcPr>
            <w:tcW w:w="7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Kilpatrick Townsend &amp; Stockton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5" w:name="tm2623028d1_ex23-1.htm"/>
      <w:bookmarkStart w:id="6" w:name="kstm2623028d1_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Elutia Inc. of our report dated March 13, 2026 relating to the financial statements, which appears in Elutia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tm2623028d1_ex-filingfees.htm"/>
      <w:bookmarkStart w:id="8" w:name="kstm2623028d1_exfilingfees"/>
      <w:bookmarkStart w:id="9" w:name="tm2623028d1_ex-filingfees.htm"/>
      <w:bookmarkStart w:id="10" w:name="kstm2623028d1_exfilingfees"/>
      <w:bookmarkEnd w:id="9"/>
      <w:bookmarkEnd w:id="10"/>
      <w:r>
        <w:br w:type="page"/>
      </w:r>
    </w:p>
    <w:tbl>
      <w:tblPr>
        <w:tblW w:w="3558" w:type="dxa"/>
        <w:jc w:val="left"/>
        <w:tblInd w:w="0" w:type="dxa"/>
        <w:tblLayout w:type="fixed"/>
        <w:tblCellMar>
          <w:top w:w="28" w:type="dxa"/>
          <w:left w:w="28" w:type="dxa"/>
          <w:bottom w:w="28" w:type="dxa"/>
          <w:right w:w="28" w:type="dxa"/>
        </w:tblCellMar>
      </w:tblPr>
      <w:tblGrid>
        <w:gridCol w:w="3404"/>
        <w:gridCol w:w="154"/>
      </w:tblGrid>
      <w:tr>
        <w:trPr/>
        <w:tc>
          <w:tcPr>
            <w:tcW w:w="355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 xml:space="preserve">ELUTIA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2"/>
        <w:gridCol w:w="1302"/>
        <w:gridCol w:w="1210"/>
        <w:gridCol w:w="1245"/>
        <w:gridCol w:w="1604"/>
        <w:gridCol w:w="1127"/>
        <w:gridCol w:w="144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2" w:type="dxa"/>
            <w:tcBorders/>
            <w:shd w:fill="E7E7E2" w:val="clear"/>
            <w:vAlign w:val="center"/>
          </w:tcPr>
          <w:p>
            <w:pPr>
              <w:pStyle w:val="TableContents"/>
              <w:bidi w:val="0"/>
              <w:spacing w:before="0" w:after="283"/>
              <w:jc w:val="left"/>
              <w:rPr/>
            </w:pPr>
            <w:r>
              <w:rPr/>
              <w:t xml:space="preserve">Class A Common Stock, $0.001 par value </w:t>
            </w:r>
          </w:p>
        </w:tc>
        <w:tc>
          <w:tcPr>
            <w:tcW w:w="1302"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6,119,820 </w:t>
            </w:r>
          </w:p>
        </w:tc>
        <w:tc>
          <w:tcPr>
            <w:tcW w:w="1245" w:type="dxa"/>
            <w:tcBorders/>
            <w:shd w:fill="E7E7E2" w:val="clear"/>
            <w:vAlign w:val="center"/>
          </w:tcPr>
          <w:p>
            <w:pPr>
              <w:pStyle w:val="TableContents"/>
              <w:bidi w:val="0"/>
              <w:spacing w:before="0" w:after="283"/>
              <w:jc w:val="right"/>
              <w:rPr/>
            </w:pPr>
            <w:r>
              <w:rPr/>
              <w:t xml:space="preserve">$ 0.857 </w:t>
            </w:r>
          </w:p>
        </w:tc>
        <w:tc>
          <w:tcPr>
            <w:tcW w:w="1604" w:type="dxa"/>
            <w:tcBorders/>
            <w:shd w:fill="E7E7E2" w:val="clear"/>
            <w:vAlign w:val="center"/>
          </w:tcPr>
          <w:p>
            <w:pPr>
              <w:pStyle w:val="TableContents"/>
              <w:bidi w:val="0"/>
              <w:spacing w:before="0" w:after="283"/>
              <w:jc w:val="right"/>
              <w:rPr/>
            </w:pPr>
            <w:r>
              <w:rPr/>
              <w:t xml:space="preserve">$ 5,244,685.74 </w:t>
            </w:r>
          </w:p>
        </w:tc>
        <w:tc>
          <w:tcPr>
            <w:tcW w:w="1127" w:type="dxa"/>
            <w:tcBorders/>
            <w:shd w:fill="E7E7E2" w:val="clear"/>
            <w:vAlign w:val="center"/>
          </w:tcPr>
          <w:p>
            <w:pPr>
              <w:pStyle w:val="TableContents"/>
              <w:bidi w:val="0"/>
              <w:spacing w:before="0" w:after="283"/>
              <w:jc w:val="right"/>
              <w:rPr/>
            </w:pPr>
            <w:r>
              <w:rPr/>
              <w:t xml:space="preserve">0.0001381 </w:t>
            </w:r>
          </w:p>
        </w:tc>
        <w:tc>
          <w:tcPr>
            <w:tcW w:w="1441" w:type="dxa"/>
            <w:tcBorders/>
            <w:shd w:fill="E7E7E2" w:val="clear"/>
            <w:vAlign w:val="center"/>
          </w:tcPr>
          <w:p>
            <w:pPr>
              <w:pStyle w:val="TableContents"/>
              <w:bidi w:val="0"/>
              <w:spacing w:before="0" w:after="283"/>
              <w:jc w:val="right"/>
              <w:rPr/>
            </w:pPr>
            <w:r>
              <w:rPr/>
              <w:t xml:space="preserve">$ 724.29 </w:t>
            </w:r>
          </w:p>
        </w:tc>
      </w:tr>
      <w:tr>
        <w:trPr/>
        <w:tc>
          <w:tcPr>
            <w:tcW w:w="4788" w:type="dxa"/>
            <w:gridSpan w:val="5"/>
            <w:tcBorders/>
            <w:vAlign w:val="center"/>
          </w:tcPr>
          <w:p>
            <w:pPr>
              <w:pStyle w:val="TableContents"/>
              <w:bidi w:val="0"/>
              <w:spacing w:before="0" w:after="0"/>
              <w:ind w:left="0" w:right="0" w:hanging="0"/>
              <w:jc w:val="right"/>
              <w:rPr/>
            </w:pPr>
            <w:r>
              <w:rPr/>
              <w:t>Total Offering Amounts:</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0"/>
              <w:ind w:left="0" w:right="0" w:hanging="0"/>
              <w:jc w:val="right"/>
              <w:rPr/>
            </w:pPr>
            <w:bookmarkStart w:id="11" w:name="MaxAggtOfferingPrice"/>
            <w:bookmarkEnd w:id="11"/>
            <w:r>
              <w:rPr/>
              <w:t xml:space="preserve">$ 5,244,685.74 </w:t>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$ 724.29 </w:t>
            </w:r>
          </w:p>
        </w:tc>
      </w:tr>
      <w:tr>
        <w:trPr/>
        <w:tc>
          <w:tcPr>
            <w:tcW w:w="4788" w:type="dxa"/>
            <w:gridSpan w:val="5"/>
            <w:tcBorders/>
            <w:vAlign w:val="center"/>
          </w:tcPr>
          <w:p>
            <w:pPr>
              <w:pStyle w:val="TableContents"/>
              <w:bidi w:val="0"/>
              <w:spacing w:before="0" w:after="0"/>
              <w:ind w:left="0" w:right="0" w:hanging="0"/>
              <w:jc w:val="right"/>
              <w:rPr/>
            </w:pPr>
            <w:r>
              <w:rPr/>
              <w:t xml:space="preserve">Total Fee Offsets: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88" w:type="dxa"/>
            <w:gridSpan w:val="5"/>
            <w:tcBorders/>
            <w:vAlign w:val="center"/>
          </w:tcPr>
          <w:p>
            <w:pPr>
              <w:pStyle w:val="TableContents"/>
              <w:bidi w:val="0"/>
              <w:spacing w:before="0" w:after="0"/>
              <w:ind w:left="0" w:right="0" w:hanging="0"/>
              <w:jc w:val="right"/>
              <w:rPr/>
            </w:pPr>
            <w:r>
              <w:rPr/>
              <w:t xml:space="preserve">Net Fee Due: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4" w:name="NetFeeAmt"/>
            <w:bookmarkEnd w:id="14"/>
            <w:r>
              <w:rPr/>
              <w:t xml:space="preserve">$ 724.29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"Amount Registered" consists of (i) 3,000,000 shares of Common Stock under the Amended 2020 Plan that became reserved and available for issuance following approval by the Registrant's stockholders of the First Amendment to the Amended 2020 Plan on June 11, 2026, (ii) 1,408,426 shares of Common Stock under the Amended 2020 Plan that became reserved and available for issuance on January 1, 2025, pursuant to the Amended 2020 Plan's "evergreen" provisions, and (iii) 1,711,394 shares of Common Stock under the Amended 2020 Plan that became reserved and available for issuance on January 1, 2026, pursuant to the Amended 2020 Plan's "evergreen" provisions. In addition, pursuant to Rule 416 under the Securities Act, the Registration Statement also relates to such indeterminate number of additional shares of Common Stock as may be issuable to prevent dilution in the event of a stock dividend, stock split, recapitalization, or other similar changes in the Registrant's capital structure, merger, consolidation, spin-off, split-off, spin-out, split-up, reorganization, partial or complete liquidation, or other distribution of assets, issuance of rights or warrants to purchase securities, or any other corporate transaction or event having an effect similar to any of the foregoing. Capitalized terms used in this Exhibit 107 are defined in the Registration Statement that this exhibit is filed with. "Proposed Maximum Offering Price Per Unit" is estimated solely for the purpose of calculation of the registration fee pursuant to Rules 457(c) and 457(h) under the Securities Act, based on a per share price of $0.8570, the average of the high and low reported sales prices of the Common Stock on the Nasdaq Capital Market on August 10,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8527/000110465924006727/tm244048d1_s8.htm" TargetMode="External"/><Relationship Id="rId3" Type="http://schemas.openxmlformats.org/officeDocument/2006/relationships/hyperlink" Target="https://www.sec.gov/Archives/edgar/data/1708527/000110465920113486/tm2023171-14_s8.htm" TargetMode="External"/><Relationship Id="rId4" Type="http://schemas.openxmlformats.org/officeDocument/2006/relationships/hyperlink" Target="http://www.sec.gov/Archives/edgar/data/1708527/000110465920114535/tm2023171d18_ex3-1.htm" TargetMode="External"/><Relationship Id="rId5" Type="http://schemas.openxmlformats.org/officeDocument/2006/relationships/hyperlink" Target="http://www.sec.gov/Archives/edgar/data/1708527/000110465920114535/tm2023171d18_ex3-1.htm" TargetMode="External"/><Relationship Id="rId6" Type="http://schemas.openxmlformats.org/officeDocument/2006/relationships/hyperlink" Target="http://www.sec.gov/Archives/edgar/data/1708527/000110465923098809/tm2325574d1_ex3-1.htm" TargetMode="External"/><Relationship Id="rId7" Type="http://schemas.openxmlformats.org/officeDocument/2006/relationships/hyperlink" Target="http://www.sec.gov/Archives/edgar/data/1708527/000110465923098809/tm2325574d1_ex3-1.htm" TargetMode="External"/><Relationship Id="rId8" Type="http://schemas.openxmlformats.org/officeDocument/2006/relationships/hyperlink" Target="http://www.sec.gov/Archives/edgar/data/1708527/000110465920114535/tm2023171d18_ex3-2.htm" TargetMode="External"/><Relationship Id="rId9" Type="http://schemas.openxmlformats.org/officeDocument/2006/relationships/hyperlink" Target="http://www.sec.gov/Archives/edgar/data/1708527/000110465920114535/tm2023171d18_ex3-2.htm" TargetMode="External"/><Relationship Id="rId10" Type="http://schemas.openxmlformats.org/officeDocument/2006/relationships/hyperlink" Target="http://www.sec.gov/Archives/edgar/data/1708527/000110465920104884/tm2023171d8_ex4-2.htm" TargetMode="External"/><Relationship Id="rId11" Type="http://schemas.openxmlformats.org/officeDocument/2006/relationships/hyperlink" Target="http://www.sec.gov/Archives/edgar/data/1708527/000110465920104884/tm2023171d8_ex4-2.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2487</Words>
  <Characters>13474</Characters>
  <CharactersWithSpaces>15994</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