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Michelle LeRoux</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ELUTIA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FIRSTFIELD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ELUTIA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ELUT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1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20878</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06/10/2026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12,500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122,321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06/10/2026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8"/>
              </w:rPr>
              <w:t>4,269</w:t>
            </w:r>
            <w:r>
              <w:rPr>
                <w:rFonts w:ascii="Times New Roman" w:cs="Times New Roman" w:eastAsia="Times New Roman" w:hAnsi="Times New Roman"/>
                <w:sz w:val="21"/>
                <w:szCs w:val="21"/>
                <w:color w:val="008000"/>
                <w:w w:val="98"/>
                <w:vertAlign w:val="superscript"/>
              </w:rPr>
              <w:t>(3)</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118,052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12,500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12,500</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represents shares of the Issuer's Class A Common Stock received from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the Issuer to satisfy tax withholding requirements on vesting of restricted stock units.</w:t>
      </w:r>
    </w:p>
    <w:p>
      <w:pPr>
        <w:spacing w:after="0" w:line="44"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31, 2024, the Reporting Person was granted 150,000 restricted stock units. Restricted stock units as to 1/6 vest on June 10, 2024, and as to 1/12 vest quarterly on each of the following dates: September 10, 2024, December 10, 2024, March 10, 2025, June 10, 2025, September 10, 2025, December 10, 2025, March 10, 2026, June 10, 2026, September 10, 2026, and December 10, 2026.</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Jeffrey Hamet,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for Michelle LeRoux</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86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98249" TargetMode="External"/><Relationship Id="rId14" Type="http://schemas.openxmlformats.org/officeDocument/2006/relationships/hyperlink" Target="http://www.sec.gov/cgi-bin/browse-edgar?action=getcompany&amp;CIK=0001708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2026-06-12T16:15:21Z</dcterms:created>
  <dcterms:modified xsi:type="dcterms:W3CDTF">2026-06-12T16:15:21Z</dcterms:modified>
</cp:coreProperties>
</file>