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____________________________________________________</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4" w:lineRule="exact"/>
        <w:rPr>
          <w:sz w:val="24"/>
          <w:szCs w:val="24"/>
          <w:color w:val="auto"/>
        </w:rPr>
      </w:pPr>
    </w:p>
    <w:p>
      <w:pPr>
        <w:ind w:left="3820" w:right="1820" w:hanging="3781"/>
        <w:spacing w:after="0" w:line="261" w:lineRule="auto"/>
        <w:tabs>
          <w:tab w:leader="none" w:pos="25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360" w:right="1800" w:hanging="4321"/>
        <w:spacing w:after="0" w:line="266" w:lineRule="auto"/>
        <w:tabs>
          <w:tab w:leader="none" w:pos="24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001-39577</w:t>
      </w:r>
    </w:p>
    <w:p>
      <w:pPr>
        <w:spacing w:after="0" w:line="27"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____________________________________________________</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Aziyo Biologics,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____________________________________________________</w:t>
      </w:r>
    </w:p>
    <w:p>
      <w:pPr>
        <w:sectPr>
          <w:pgSz w:w="11900" w:h="16838" w:orient="portrait"/>
          <w:cols w:equalWidth="0" w:num="1">
            <w:col w:w="11240"/>
          </w:cols>
          <w:pgMar w:left="320" w:top="445" w:right="339" w:bottom="1440" w:gutter="0" w:footer="0" w:header="0"/>
        </w:sectPr>
      </w:pPr>
    </w:p>
    <w:p>
      <w:pPr>
        <w:spacing w:after="0" w:line="166"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47-4790334</w:t>
      </w:r>
    </w:p>
    <w:p>
      <w:pPr>
        <w:spacing w:after="0" w:line="90" w:lineRule="exact"/>
        <w:rPr>
          <w:sz w:val="24"/>
          <w:szCs w:val="24"/>
          <w:color w:val="auto"/>
        </w:rPr>
      </w:pPr>
    </w:p>
    <w:p>
      <w:pPr>
        <w:sectPr>
          <w:pgSz w:w="11900" w:h="16838" w:orient="portrait"/>
          <w:cols w:equalWidth="0" w:num="2">
            <w:col w:w="7340" w:space="720"/>
            <w:col w:w="3180"/>
          </w:cols>
          <w:pgMar w:left="320" w:top="445" w:right="339" w:bottom="1440" w:gutter="0" w:footer="0" w:header="0"/>
          <w:type w:val="continuous"/>
        </w:sectPr>
      </w:pPr>
    </w:p>
    <w:p>
      <w:pPr>
        <w:jc w:val="center"/>
        <w:ind w:right="720"/>
        <w:spacing w:after="0"/>
        <w:rPr>
          <w:sz w:val="20"/>
          <w:szCs w:val="20"/>
          <w:color w:val="auto"/>
        </w:rPr>
      </w:pPr>
      <w:r>
        <w:rPr>
          <w:rFonts w:ascii="Arial" w:cs="Arial" w:eastAsia="Arial" w:hAnsi="Arial"/>
          <w:sz w:val="16"/>
          <w:szCs w:val="16"/>
          <w:color w:val="auto"/>
        </w:rPr>
        <w:t>(State or other jurisdiction of incorporation or</w:t>
      </w:r>
    </w:p>
    <w:p>
      <w:pPr>
        <w:spacing w:after="0" w:line="46"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407" w:lineRule="exact"/>
        <w:rPr>
          <w:sz w:val="24"/>
          <w:szCs w:val="24"/>
          <w:color w:val="auto"/>
        </w:rPr>
      </w:pPr>
    </w:p>
    <w:p>
      <w:pPr>
        <w:sectPr>
          <w:pgSz w:w="11900" w:h="16838" w:orient="portrait"/>
          <w:cols w:equalWidth="0" w:num="2">
            <w:col w:w="6460" w:space="720"/>
            <w:col w:w="4060"/>
          </w:cols>
          <w:pgMar w:left="320" w:top="445"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12510 Prosperity Drive, Suite 370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Silver Spring, MD 20904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(240) 247-1170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26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9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96"/>
        </w:trPr>
        <w:tc>
          <w:tcPr>
            <w:tcW w:w="980" w:type="dxa"/>
            <w:vAlign w:val="bottom"/>
          </w:tcPr>
          <w:p>
            <w:pPr>
              <w:spacing w:after="0"/>
              <w:rPr>
                <w:sz w:val="17"/>
                <w:szCs w:val="17"/>
                <w:color w:val="auto"/>
              </w:rPr>
            </w:pPr>
          </w:p>
        </w:tc>
        <w:tc>
          <w:tcPr>
            <w:tcW w:w="13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7"/>
              </w:rPr>
              <w:t>Title of each class</w:t>
            </w:r>
          </w:p>
        </w:tc>
        <w:tc>
          <w:tcPr>
            <w:tcW w:w="2640" w:type="dxa"/>
            <w:vAlign w:val="bottom"/>
          </w:tcPr>
          <w:p>
            <w:pPr>
              <w:spacing w:after="0"/>
              <w:rPr>
                <w:sz w:val="17"/>
                <w:szCs w:val="17"/>
                <w:color w:val="auto"/>
              </w:rPr>
            </w:pPr>
          </w:p>
        </w:tc>
        <w:tc>
          <w:tcPr>
            <w:tcW w:w="78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89"/>
              </w:rPr>
              <w:t>Symbol(s)</w:t>
            </w: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6"/>
        </w:trPr>
        <w:tc>
          <w:tcPr>
            <w:tcW w:w="4980" w:type="dxa"/>
            <w:vAlign w:val="bottom"/>
            <w:gridSpan w:val="3"/>
          </w:tcPr>
          <w:p>
            <w:pPr>
              <w:jc w:val="center"/>
              <w:ind w:right="1660"/>
              <w:spacing w:after="0"/>
              <w:rPr>
                <w:sz w:val="20"/>
                <w:szCs w:val="20"/>
                <w:color w:val="auto"/>
              </w:rPr>
            </w:pPr>
            <w:r>
              <w:rPr>
                <w:rFonts w:ascii="Arial" w:cs="Arial" w:eastAsia="Arial" w:hAnsi="Arial"/>
                <w:sz w:val="18"/>
                <w:szCs w:val="18"/>
                <w:color w:val="auto"/>
                <w:w w:val="90"/>
              </w:rPr>
              <w:t>Class A Common Stock, par value $0.001 per</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4000" w:type="dxa"/>
            <w:vAlign w:val="bottom"/>
            <w:gridSpan w:val="2"/>
          </w:tcPr>
          <w:p>
            <w:pPr>
              <w:jc w:val="center"/>
              <w:ind w:right="2660"/>
              <w:spacing w:after="0"/>
              <w:rPr>
                <w:sz w:val="20"/>
                <w:szCs w:val="20"/>
                <w:color w:val="auto"/>
              </w:rPr>
            </w:pPr>
            <w:r>
              <w:rPr>
                <w:rFonts w:ascii="Arial" w:cs="Arial" w:eastAsia="Arial" w:hAnsi="Arial"/>
                <w:sz w:val="18"/>
                <w:szCs w:val="18"/>
                <w:color w:val="auto"/>
                <w:w w:val="84"/>
              </w:rPr>
              <w:t>share</w:t>
            </w:r>
          </w:p>
        </w:tc>
        <w:tc>
          <w:tcPr>
            <w:tcW w:w="80" w:type="dxa"/>
            <w:vAlign w:val="bottom"/>
          </w:tcPr>
          <w:p>
            <w:pPr>
              <w:spacing w:after="0"/>
              <w:rPr>
                <w:sz w:val="20"/>
                <w:szCs w:val="20"/>
                <w:color w:val="auto"/>
              </w:rPr>
            </w:pPr>
          </w:p>
        </w:tc>
        <w:tc>
          <w:tcPr>
            <w:tcW w:w="1520" w:type="dxa"/>
            <w:vAlign w:val="bottom"/>
            <w:gridSpan w:val="3"/>
          </w:tcPr>
          <w:p>
            <w:pPr>
              <w:jc w:val="center"/>
              <w:ind w:right="900"/>
              <w:spacing w:after="0"/>
              <w:rPr>
                <w:sz w:val="20"/>
                <w:szCs w:val="20"/>
                <w:color w:val="auto"/>
              </w:rPr>
            </w:pPr>
            <w:r>
              <w:rPr>
                <w:rFonts w:ascii="Arial" w:cs="Arial" w:eastAsia="Arial" w:hAnsi="Arial"/>
                <w:sz w:val="18"/>
                <w:szCs w:val="18"/>
                <w:color w:val="auto"/>
              </w:rPr>
              <w:t>AZYO</w:t>
            </w:r>
          </w:p>
        </w:tc>
        <w:tc>
          <w:tcPr>
            <w:tcW w:w="8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9"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____________________________________________________</w:t>
      </w:r>
    </w:p>
    <w:p>
      <w:pPr>
        <w:spacing w:after="0" w:line="1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2300" w:type="dxa"/>
        <w:tblCellMar>
          <w:top w:w="0" w:type="dxa"/>
          <w:left w:w="0" w:type="dxa"/>
          <w:bottom w:w="0" w:type="dxa"/>
          <w:right w:w="0" w:type="dxa"/>
        </w:tblCellMar>
      </w:tblPr>
      <w:tr>
        <w:trPr>
          <w:trHeight w:val="270"/>
        </w:trPr>
        <w:tc>
          <w:tcPr>
            <w:tcW w:w="1880" w:type="dxa"/>
            <w:vAlign w:val="bottom"/>
          </w:tcPr>
          <w:p>
            <w:pPr>
              <w:jc w:val="right"/>
              <w:ind w:right="170"/>
              <w:spacing w:after="0"/>
              <w:rPr>
                <w:sz w:val="20"/>
                <w:szCs w:val="20"/>
                <w:color w:val="auto"/>
              </w:rPr>
            </w:pPr>
            <w:r>
              <w:rPr>
                <w:rFonts w:ascii="Arial" w:cs="Arial" w:eastAsia="Arial" w:hAnsi="Arial"/>
                <w:sz w:val="18"/>
                <w:szCs w:val="18"/>
                <w:color w:val="auto"/>
                <w:w w:val="89"/>
              </w:rPr>
              <w:t>Large accelerated filer</w:t>
            </w:r>
          </w:p>
        </w:tc>
        <w:tc>
          <w:tcPr>
            <w:tcW w:w="21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jc w:val="right"/>
              <w:ind w:right="15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80" w:type="dxa"/>
            <w:vAlign w:val="bottom"/>
          </w:tcPr>
          <w:p>
            <w:pPr>
              <w:jc w:val="right"/>
              <w:ind w:right="170"/>
              <w:spacing w:after="0"/>
              <w:rPr>
                <w:sz w:val="20"/>
                <w:szCs w:val="20"/>
                <w:color w:val="auto"/>
              </w:rPr>
            </w:pPr>
            <w:r>
              <w:rPr>
                <w:rFonts w:ascii="Arial" w:cs="Arial" w:eastAsia="Arial" w:hAnsi="Arial"/>
                <w:sz w:val="18"/>
                <w:szCs w:val="18"/>
                <w:color w:val="auto"/>
                <w:w w:val="96"/>
              </w:rPr>
              <w:t>Non-accelerated filer</w:t>
            </w:r>
          </w:p>
        </w:tc>
        <w:tc>
          <w:tcPr>
            <w:tcW w:w="21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jc w:val="right"/>
              <w:ind w:right="15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jc w:val="right"/>
              <w:ind w:right="15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May 5, 2021, there were 7,093,593 shares of the registrant’s Class A common stock and 3,134,162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results of operations, financial position, projected growth in our net sales, seasonality, business strategy, policies and approach, including, without limitation, expectations regarding our products and their targeted effects, plans for our sales and marketing growth and anticipated expansion of our product development and clinical and research activities, expectations regarding competition, our competitive advantages, regulations that impact our business, and overall clinical and commercial success, expectations regarding the forgiveness of all or a portion of our loan pursuant to the CARES Act and the potential impact of the COVID-19 pandemic on our business.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Without limiting the foregoing, in some cases, you can identify forward-looking statements by terms such as “aim”, “believe,”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the other important factors identified in Part I, Item 2. “Management’s Discussion and Analysis of Financial Condition and Results of Operations” in this Quarterly Report, in Part I, Item 1A, “Risk Factors” and Part II, Item 7. “Management’s Discussion and Analysis of Financial Condition and Results of Operations” in our Annual Report on Form 10-K for the fiscal year ended December 31, 2020 (the “Annual Report”) and in our other filings with the Securities and Exchange Commission (the “SEC”), each of which filings are accessible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the Investor Relations page of our website at https://investors.aziyo.com/reports. These risks and uncertainties include, but are not limited to:</w:t>
      </w:r>
    </w:p>
    <w:p>
      <w:pPr>
        <w:spacing w:after="0" w:line="19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enhance our products, expand our product indications and develop, acquire and commercialize additional product offerings;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commercial partners and independent sales agents to generate a substantial portion of our net sales;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maintain our relationships with our existing contract manufacturing customers and enter into agreements with new contract manufacturing customers, or if existing contract manufacturing customers reduce purchases of our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manage and maintain our direct sales 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adverse impacts of the novel strain of coronavirus disease, COVID-19 or any other future pandemic, epidemic or outbreak of an infectious disease in the United States or worldwide;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domestic and global economic conditions and instability and disruption of credit markets, including as a result of the current COVID-19 pandemic or any other outbreak of an infectious disease;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physician awareness of the distinctive characteristics, benefits, safety, clinical efficacy and cost-effectiveness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and future acceptance of our products by the medical community;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or other marketing authorizations by the U.S. Food and Drug Administration (“FDA”) and comparable foreign authorities for our products and product candidates; and</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adequately protect our intellectual property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used in this Quarterly Report, unless otherwise specified or the context otherwise requires, references to “we,” “us,” “our,” the “Company” and “Aziyo” refer to the operations of Aziyo Biologics, Inc. and its consolidated subsidiaries.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8"/>
          <w:szCs w:val="18"/>
          <w:i w:val="1"/>
          <w:iCs w:val="1"/>
          <w:color w:val="auto"/>
        </w:rPr>
        <w:t>www.aziyo.com</w:t>
      </w:r>
      <w:r>
        <w:rPr>
          <w:rFonts w:ascii="Arial" w:cs="Arial" w:eastAsia="Arial" w:hAnsi="Arial"/>
          <w:sz w:val="18"/>
          <w:szCs w:val="18"/>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Arial" w:cs="Arial" w:eastAsia="Arial" w:hAnsi="Arial"/>
          <w:sz w:val="18"/>
          <w:szCs w:val="18"/>
          <w:i w:val="1"/>
          <w:iCs w:val="1"/>
          <w:color w:val="auto"/>
        </w:rPr>
        <w:t>www.aziyo.com</w:t>
      </w:r>
      <w:r>
        <w:rPr>
          <w:rFonts w:ascii="Arial" w:cs="Arial" w:eastAsia="Arial" w:hAnsi="Arial"/>
          <w:sz w:val="18"/>
          <w:szCs w:val="18"/>
          <w:color w:val="auto"/>
        </w:rPr>
        <w:t>. The reference to our website address does not constitute incorporation by reference of the information contained on or available through our website, and you should not consider such information to be a part of this Quarterly Report.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Quarterly Report includes our trademarks, trade names and service marks, including, without limitation, “Aziyo®,” “CanGaroo®,” “ProxiCor®,” “Tyke®,” “VasCure®,” “FiberCel®,” “ViBone®,” “OsteGro®,” “SimpliDerm®” and our logo, which are our property and are protected under applicable intellectual property laws. This Quarterly Report also contains trademarks, trade names and service marks of other companies, which are the property of their respective owners. Solely for convenience, trademarks, trade names and service marks may appear in this Quarterly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 Item 1A “Risk Factors” in our Annual Report which can be found at https://investors.aziyo.com/reports. These and other factors could cause our future performance to differ materially from our assumptions and estimates.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80" w:type="dxa"/>
            <w:vAlign w:val="bottom"/>
            <w:gridSpan w:val="6"/>
          </w:tcPr>
          <w:p>
            <w:pPr>
              <w:ind w:left="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gridSpan w:val="5"/>
          </w:tcPr>
          <w:p>
            <w:pPr>
              <w:ind w:left="640"/>
              <w:spacing w:after="0"/>
              <w:rPr>
                <w:sz w:val="20"/>
                <w:szCs w:val="20"/>
                <w:color w:val="auto"/>
              </w:rPr>
            </w:pPr>
            <w:r>
              <w:rPr>
                <w:rFonts w:ascii="Arial" w:cs="Arial" w:eastAsia="Arial" w:hAnsi="Arial"/>
                <w:sz w:val="18"/>
                <w:szCs w:val="18"/>
                <w:color w:val="auto"/>
              </w:rPr>
              <w:t>Page</w:t>
            </w: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940" w:type="dxa"/>
            <w:vAlign w:val="bottom"/>
            <w:gridSpan w:val="13"/>
            <w:shd w:val="clear" w:color="auto" w:fill="CCEEFF"/>
          </w:tcPr>
          <w:p>
            <w:pPr>
              <w:spacing w:after="0" w:line="202" w:lineRule="exact"/>
              <w:rPr>
                <w:rFonts w:ascii="Arial" w:cs="Arial" w:eastAsia="Arial" w:hAnsi="Arial"/>
                <w:sz w:val="18"/>
                <w:szCs w:val="18"/>
                <w:color w:val="0000EE"/>
                <w:w w:val="95"/>
              </w:rPr>
            </w:pPr>
            <w:hyperlink w:anchor="page2">
              <w:r>
                <w:rPr>
                  <w:rFonts w:ascii="Arial" w:cs="Arial" w:eastAsia="Arial" w:hAnsi="Arial"/>
                  <w:sz w:val="18"/>
                  <w:szCs w:val="18"/>
                  <w:color w:val="0000EE"/>
                  <w:w w:val="95"/>
                </w:rPr>
                <w:t>FORWARD-LOOKING STATEMENTS</w:t>
              </w:r>
            </w:hyperlink>
          </w:p>
        </w:tc>
        <w:tc>
          <w:tcPr>
            <w:tcW w:w="7100" w:type="dxa"/>
            <w:vAlign w:val="bottom"/>
            <w:gridSpan w:val="12"/>
            <w:shd w:val="clear" w:color="auto" w:fill="CCEEFF"/>
          </w:tcPr>
          <w:p>
            <w:pPr>
              <w:spacing w:after="0"/>
              <w:rPr>
                <w:sz w:val="17"/>
                <w:szCs w:val="17"/>
                <w:color w:val="auto"/>
              </w:rPr>
            </w:pPr>
          </w:p>
        </w:tc>
        <w:tc>
          <w:tcPr>
            <w:tcW w:w="1000" w:type="dxa"/>
            <w:vAlign w:val="bottom"/>
            <w:gridSpan w:val="4"/>
            <w:shd w:val="clear" w:color="auto" w:fill="CCEEFF"/>
          </w:tcPr>
          <w:p>
            <w:pPr>
              <w:jc w:val="center"/>
              <w:ind w:left="710"/>
              <w:spacing w:after="0" w:line="202" w:lineRule="exact"/>
              <w:rPr>
                <w:rFonts w:ascii="Arial" w:cs="Arial" w:eastAsia="Arial" w:hAnsi="Arial"/>
                <w:sz w:val="18"/>
                <w:szCs w:val="18"/>
                <w:color w:val="0000EE"/>
                <w:w w:val="79"/>
              </w:rPr>
            </w:pPr>
            <w:hyperlink w:anchor="page2">
              <w:r>
                <w:rPr>
                  <w:rFonts w:ascii="Arial" w:cs="Arial" w:eastAsia="Arial" w:hAnsi="Arial"/>
                  <w:sz w:val="18"/>
                  <w:szCs w:val="18"/>
                  <w:color w:val="0000EE"/>
                  <w:w w:val="79"/>
                </w:rPr>
                <w:t>2</w:t>
              </w:r>
            </w:hyperlink>
          </w:p>
        </w:tc>
        <w:tc>
          <w:tcPr>
            <w:tcW w:w="1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0040" w:type="dxa"/>
            <w:vAlign w:val="bottom"/>
            <w:gridSpan w:val="25"/>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TRADEMARKS, TRADE NAMES AND SERVICE MARKS</w:t>
              </w:r>
            </w:hyperlink>
          </w:p>
        </w:tc>
        <w:tc>
          <w:tcPr>
            <w:tcW w:w="1000" w:type="dxa"/>
            <w:vAlign w:val="bottom"/>
            <w:gridSpan w:val="4"/>
          </w:tcPr>
          <w:p>
            <w:pPr>
              <w:jc w:val="center"/>
              <w:ind w:left="7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500" w:type="dxa"/>
            <w:vAlign w:val="bottom"/>
            <w:gridSpan w:val="9"/>
            <w:shd w:val="clear" w:color="auto" w:fill="CCEEFF"/>
          </w:tcPr>
          <w:p>
            <w:pPr>
              <w:spacing w:after="0" w:line="202"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INDUSTRY AND OTHER DATA</w:t>
              </w:r>
            </w:hyperlink>
          </w:p>
        </w:tc>
        <w:tc>
          <w:tcPr>
            <w:tcW w:w="7540" w:type="dxa"/>
            <w:vAlign w:val="bottom"/>
            <w:gridSpan w:val="16"/>
            <w:shd w:val="clear" w:color="auto" w:fill="CCEEFF"/>
          </w:tcPr>
          <w:p>
            <w:pPr>
              <w:spacing w:after="0"/>
              <w:rPr>
                <w:sz w:val="17"/>
                <w:szCs w:val="17"/>
                <w:color w:val="auto"/>
              </w:rPr>
            </w:pPr>
          </w:p>
        </w:tc>
        <w:tc>
          <w:tcPr>
            <w:tcW w:w="1000" w:type="dxa"/>
            <w:vAlign w:val="bottom"/>
            <w:gridSpan w:val="4"/>
            <w:shd w:val="clear" w:color="auto" w:fill="CCEEFF"/>
          </w:tcPr>
          <w:p>
            <w:pPr>
              <w:jc w:val="center"/>
              <w:ind w:left="7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0040" w:type="dxa"/>
            <w:vAlign w:val="bottom"/>
            <w:gridSpan w:val="25"/>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PART I – FINANCIAL INFORMATION</w:t>
              </w:r>
            </w:hyperlink>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620" w:type="dxa"/>
            <w:vAlign w:val="bottom"/>
            <w:gridSpan w:val="3"/>
            <w:shd w:val="clear" w:color="auto" w:fill="CCEEFF"/>
          </w:tcPr>
          <w:p>
            <w:pPr>
              <w:spacing w:after="0"/>
              <w:rPr>
                <w:sz w:val="17"/>
                <w:szCs w:val="17"/>
                <w:color w:val="auto"/>
              </w:rPr>
            </w:pPr>
          </w:p>
        </w:tc>
        <w:tc>
          <w:tcPr>
            <w:tcW w:w="8900" w:type="dxa"/>
            <w:vAlign w:val="bottom"/>
            <w:gridSpan w:val="21"/>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gridSpan w:val="21"/>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1000" w:type="dxa"/>
            <w:vAlign w:val="bottom"/>
            <w:gridSpan w:val="4"/>
          </w:tcPr>
          <w:p>
            <w:pPr>
              <w:jc w:val="center"/>
              <w:ind w:left="71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60" w:type="dxa"/>
            <w:vAlign w:val="bottom"/>
            <w:gridSpan w:val="14"/>
            <w:shd w:val="clear" w:color="auto" w:fill="CCEEFF"/>
          </w:tcPr>
          <w:p>
            <w:pPr>
              <w:spacing w:after="0" w:line="20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w:t>
              </w:r>
            </w:hyperlink>
          </w:p>
        </w:tc>
        <w:tc>
          <w:tcPr>
            <w:tcW w:w="5240" w:type="dxa"/>
            <w:vAlign w:val="bottom"/>
            <w:gridSpan w:val="7"/>
            <w:shd w:val="clear" w:color="auto" w:fill="CCEEFF"/>
          </w:tcPr>
          <w:p>
            <w:pPr>
              <w:spacing w:after="0"/>
              <w:rPr>
                <w:sz w:val="17"/>
                <w:szCs w:val="17"/>
                <w:color w:val="auto"/>
              </w:rPr>
            </w:pPr>
          </w:p>
        </w:tc>
        <w:tc>
          <w:tcPr>
            <w:tcW w:w="1000" w:type="dxa"/>
            <w:vAlign w:val="bottom"/>
            <w:gridSpan w:val="4"/>
            <w:shd w:val="clear" w:color="auto" w:fill="CCEEFF"/>
          </w:tcPr>
          <w:p>
            <w:pPr>
              <w:jc w:val="center"/>
              <w:ind w:left="71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gridSpan w:val="21"/>
          </w:tcPr>
          <w:p>
            <w:pPr>
              <w:spacing w:after="0" w:line="20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Changes in Convertible Preferred Stock and Stockholders’ Equity (Deficit)</w:t>
              </w:r>
            </w:hyperlink>
          </w:p>
        </w:tc>
        <w:tc>
          <w:tcPr>
            <w:tcW w:w="1000" w:type="dxa"/>
            <w:vAlign w:val="bottom"/>
            <w:gridSpan w:val="4"/>
          </w:tcPr>
          <w:p>
            <w:pPr>
              <w:jc w:val="center"/>
              <w:ind w:left="71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720" w:type="dxa"/>
            <w:vAlign w:val="bottom"/>
            <w:gridSpan w:val="15"/>
            <w:shd w:val="clear" w:color="auto" w:fill="CCEEFF"/>
          </w:tcPr>
          <w:p>
            <w:pPr>
              <w:spacing w:after="0" w:line="20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5180" w:type="dxa"/>
            <w:vAlign w:val="bottom"/>
            <w:gridSpan w:val="6"/>
            <w:shd w:val="clear" w:color="auto" w:fill="CCEEFF"/>
          </w:tcPr>
          <w:p>
            <w:pPr>
              <w:spacing w:after="0"/>
              <w:rPr>
                <w:sz w:val="17"/>
                <w:szCs w:val="17"/>
                <w:color w:val="auto"/>
              </w:rPr>
            </w:pPr>
          </w:p>
        </w:tc>
        <w:tc>
          <w:tcPr>
            <w:tcW w:w="1000" w:type="dxa"/>
            <w:vAlign w:val="bottom"/>
            <w:gridSpan w:val="4"/>
            <w:shd w:val="clear" w:color="auto" w:fill="CCEEFF"/>
          </w:tcPr>
          <w:p>
            <w:pPr>
              <w:jc w:val="center"/>
              <w:ind w:left="71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1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gridSpan w:val="21"/>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1000" w:type="dxa"/>
            <w:vAlign w:val="bottom"/>
            <w:gridSpan w:val="4"/>
          </w:tcPr>
          <w:p>
            <w:pPr>
              <w:jc w:val="center"/>
              <w:ind w:left="71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620" w:type="dxa"/>
            <w:vAlign w:val="bottom"/>
            <w:gridSpan w:val="3"/>
            <w:shd w:val="clear" w:color="auto" w:fill="CCEEFF"/>
          </w:tcPr>
          <w:p>
            <w:pPr>
              <w:spacing w:after="0"/>
              <w:rPr>
                <w:sz w:val="17"/>
                <w:szCs w:val="17"/>
                <w:color w:val="auto"/>
              </w:rPr>
            </w:pPr>
          </w:p>
        </w:tc>
        <w:tc>
          <w:tcPr>
            <w:tcW w:w="6500" w:type="dxa"/>
            <w:vAlign w:val="bottom"/>
            <w:gridSpan w:val="19"/>
            <w:shd w:val="clear" w:color="auto" w:fill="CCEEFF"/>
          </w:tcPr>
          <w:p>
            <w:pPr>
              <w:spacing w:after="0" w:line="202"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400" w:type="dxa"/>
            <w:vAlign w:val="bottom"/>
            <w:gridSpan w:val="2"/>
            <w:shd w:val="clear" w:color="auto" w:fill="CCEEFF"/>
          </w:tcPr>
          <w:p>
            <w:pPr>
              <w:spacing w:after="0"/>
              <w:rPr>
                <w:sz w:val="17"/>
                <w:szCs w:val="17"/>
                <w:color w:val="auto"/>
              </w:rPr>
            </w:pPr>
          </w:p>
        </w:tc>
        <w:tc>
          <w:tcPr>
            <w:tcW w:w="1180" w:type="dxa"/>
            <w:vAlign w:val="bottom"/>
            <w:gridSpan w:val="5"/>
            <w:shd w:val="clear" w:color="auto" w:fill="CCEEFF"/>
          </w:tcPr>
          <w:p>
            <w:pPr>
              <w:jc w:val="center"/>
              <w:ind w:left="550"/>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1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620" w:type="dxa"/>
            <w:vAlign w:val="bottom"/>
            <w:gridSpan w:val="3"/>
          </w:tcPr>
          <w:p>
            <w:pPr>
              <w:spacing w:after="0"/>
              <w:rPr>
                <w:sz w:val="17"/>
                <w:szCs w:val="17"/>
                <w:color w:val="auto"/>
              </w:rPr>
            </w:pPr>
          </w:p>
        </w:tc>
        <w:tc>
          <w:tcPr>
            <w:tcW w:w="6500" w:type="dxa"/>
            <w:vAlign w:val="bottom"/>
            <w:gridSpan w:val="19"/>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2400" w:type="dxa"/>
            <w:vAlign w:val="bottom"/>
            <w:gridSpan w:val="2"/>
          </w:tcPr>
          <w:p>
            <w:pPr>
              <w:spacing w:after="0"/>
              <w:rPr>
                <w:sz w:val="17"/>
                <w:szCs w:val="17"/>
                <w:color w:val="auto"/>
              </w:rPr>
            </w:pPr>
          </w:p>
        </w:tc>
        <w:tc>
          <w:tcPr>
            <w:tcW w:w="1180" w:type="dxa"/>
            <w:vAlign w:val="bottom"/>
            <w:gridSpan w:val="5"/>
          </w:tcPr>
          <w:p>
            <w:pPr>
              <w:jc w:val="center"/>
              <w:ind w:left="550"/>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30</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620" w:type="dxa"/>
            <w:vAlign w:val="bottom"/>
            <w:gridSpan w:val="3"/>
            <w:shd w:val="clear" w:color="auto" w:fill="CCEEFF"/>
          </w:tcPr>
          <w:p>
            <w:pPr>
              <w:spacing w:after="0"/>
              <w:rPr>
                <w:sz w:val="17"/>
                <w:szCs w:val="17"/>
                <w:color w:val="auto"/>
              </w:rPr>
            </w:pPr>
          </w:p>
        </w:tc>
        <w:tc>
          <w:tcPr>
            <w:tcW w:w="8900" w:type="dxa"/>
            <w:vAlign w:val="bottom"/>
            <w:gridSpan w:val="21"/>
            <w:shd w:val="clear" w:color="auto" w:fill="CCEEFF"/>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1180" w:type="dxa"/>
            <w:vAlign w:val="bottom"/>
            <w:gridSpan w:val="5"/>
            <w:shd w:val="clear" w:color="auto" w:fill="CCEEFF"/>
          </w:tcPr>
          <w:p>
            <w:pPr>
              <w:jc w:val="center"/>
              <w:ind w:left="550"/>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0040" w:type="dxa"/>
            <w:vAlign w:val="bottom"/>
            <w:gridSpan w:val="25"/>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PART II – OTHER INFORMATION</w:t>
              </w:r>
            </w:hyperlink>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620" w:type="dxa"/>
            <w:vAlign w:val="bottom"/>
            <w:gridSpan w:val="3"/>
            <w:shd w:val="clear" w:color="auto" w:fill="CCEEFF"/>
          </w:tcPr>
          <w:p>
            <w:pPr>
              <w:spacing w:after="0"/>
              <w:rPr>
                <w:sz w:val="17"/>
                <w:szCs w:val="17"/>
                <w:color w:val="auto"/>
              </w:rPr>
            </w:pPr>
          </w:p>
        </w:tc>
        <w:tc>
          <w:tcPr>
            <w:tcW w:w="1340" w:type="dxa"/>
            <w:vAlign w:val="bottom"/>
            <w:gridSpan w:val="4"/>
            <w:shd w:val="clear" w:color="auto" w:fill="CCEEFF"/>
          </w:tcPr>
          <w:p>
            <w:pPr>
              <w:spacing w:after="0" w:line="202"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Legal Proceedings</w:t>
              </w:r>
            </w:hyperlink>
          </w:p>
        </w:tc>
        <w:tc>
          <w:tcPr>
            <w:tcW w:w="7560" w:type="dxa"/>
            <w:vAlign w:val="bottom"/>
            <w:gridSpan w:val="17"/>
            <w:shd w:val="clear" w:color="auto" w:fill="CCEEFF"/>
          </w:tcPr>
          <w:p>
            <w:pPr>
              <w:spacing w:after="0"/>
              <w:rPr>
                <w:sz w:val="17"/>
                <w:szCs w:val="17"/>
                <w:color w:val="auto"/>
              </w:rPr>
            </w:pPr>
          </w:p>
        </w:tc>
        <w:tc>
          <w:tcPr>
            <w:tcW w:w="1180" w:type="dxa"/>
            <w:vAlign w:val="bottom"/>
            <w:gridSpan w:val="5"/>
            <w:shd w:val="clear" w:color="auto" w:fill="CCEEFF"/>
          </w:tcPr>
          <w:p>
            <w:pPr>
              <w:jc w:val="center"/>
              <w:ind w:left="55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40" w:type="dxa"/>
            <w:vAlign w:val="bottom"/>
            <w:gridSpan w:val="4"/>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8900" w:type="dxa"/>
            <w:vAlign w:val="bottom"/>
            <w:gridSpan w:val="21"/>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180" w:type="dxa"/>
            <w:vAlign w:val="bottom"/>
            <w:gridSpan w:val="5"/>
          </w:tcPr>
          <w:p>
            <w:pPr>
              <w:jc w:val="center"/>
              <w:ind w:left="55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620" w:type="dxa"/>
            <w:vAlign w:val="bottom"/>
            <w:gridSpan w:val="3"/>
            <w:shd w:val="clear" w:color="auto" w:fill="CCEEFF"/>
          </w:tcPr>
          <w:p>
            <w:pPr>
              <w:spacing w:after="0"/>
              <w:rPr>
                <w:sz w:val="17"/>
                <w:szCs w:val="17"/>
                <w:color w:val="auto"/>
              </w:rPr>
            </w:pPr>
          </w:p>
        </w:tc>
        <w:tc>
          <w:tcPr>
            <w:tcW w:w="8900" w:type="dxa"/>
            <w:vAlign w:val="bottom"/>
            <w:gridSpan w:val="21"/>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180" w:type="dxa"/>
            <w:vAlign w:val="bottom"/>
            <w:gridSpan w:val="5"/>
            <w:shd w:val="clear" w:color="auto" w:fill="CCEEFF"/>
          </w:tcPr>
          <w:p>
            <w:pPr>
              <w:jc w:val="center"/>
              <w:ind w:left="55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620" w:type="dxa"/>
            <w:vAlign w:val="bottom"/>
            <w:gridSpan w:val="3"/>
          </w:tcPr>
          <w:p>
            <w:pPr>
              <w:spacing w:after="0"/>
              <w:rPr>
                <w:sz w:val="17"/>
                <w:szCs w:val="17"/>
                <w:color w:val="auto"/>
              </w:rPr>
            </w:pPr>
          </w:p>
        </w:tc>
        <w:tc>
          <w:tcPr>
            <w:tcW w:w="4340" w:type="dxa"/>
            <w:vAlign w:val="bottom"/>
            <w:gridSpan w:val="17"/>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4560" w:type="dxa"/>
            <w:vAlign w:val="bottom"/>
            <w:gridSpan w:val="4"/>
          </w:tcPr>
          <w:p>
            <w:pPr>
              <w:spacing w:after="0"/>
              <w:rPr>
                <w:sz w:val="17"/>
                <w:szCs w:val="17"/>
                <w:color w:val="auto"/>
              </w:rPr>
            </w:pPr>
          </w:p>
        </w:tc>
        <w:tc>
          <w:tcPr>
            <w:tcW w:w="1180" w:type="dxa"/>
            <w:vAlign w:val="bottom"/>
            <w:gridSpan w:val="5"/>
          </w:tcPr>
          <w:p>
            <w:pPr>
              <w:jc w:val="center"/>
              <w:ind w:left="55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620" w:type="dxa"/>
            <w:vAlign w:val="bottom"/>
            <w:gridSpan w:val="3"/>
            <w:shd w:val="clear" w:color="auto" w:fill="CCEEFF"/>
          </w:tcPr>
          <w:p>
            <w:pPr>
              <w:spacing w:after="0"/>
              <w:rPr>
                <w:sz w:val="17"/>
                <w:szCs w:val="17"/>
                <w:color w:val="auto"/>
              </w:rPr>
            </w:pPr>
          </w:p>
        </w:tc>
        <w:tc>
          <w:tcPr>
            <w:tcW w:w="8900" w:type="dxa"/>
            <w:vAlign w:val="bottom"/>
            <w:gridSpan w:val="21"/>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1180" w:type="dxa"/>
            <w:vAlign w:val="bottom"/>
            <w:gridSpan w:val="5"/>
            <w:shd w:val="clear" w:color="auto" w:fill="CCEEFF"/>
          </w:tcPr>
          <w:p>
            <w:pPr>
              <w:jc w:val="center"/>
              <w:ind w:left="55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5.</w:t>
              </w:r>
            </w:hyperlink>
          </w:p>
        </w:tc>
        <w:tc>
          <w:tcPr>
            <w:tcW w:w="620" w:type="dxa"/>
            <w:vAlign w:val="bottom"/>
            <w:gridSpan w:val="3"/>
          </w:tcPr>
          <w:p>
            <w:pPr>
              <w:spacing w:after="0"/>
              <w:rPr>
                <w:sz w:val="17"/>
                <w:szCs w:val="17"/>
                <w:color w:val="auto"/>
              </w:rPr>
            </w:pPr>
          </w:p>
        </w:tc>
        <w:tc>
          <w:tcPr>
            <w:tcW w:w="1760" w:type="dxa"/>
            <w:vAlign w:val="bottom"/>
            <w:gridSpan w:val="8"/>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7140" w:type="dxa"/>
            <w:vAlign w:val="bottom"/>
            <w:gridSpan w:val="13"/>
          </w:tcPr>
          <w:p>
            <w:pPr>
              <w:spacing w:after="0"/>
              <w:rPr>
                <w:sz w:val="17"/>
                <w:szCs w:val="17"/>
                <w:color w:val="auto"/>
              </w:rPr>
            </w:pPr>
          </w:p>
        </w:tc>
        <w:tc>
          <w:tcPr>
            <w:tcW w:w="1180" w:type="dxa"/>
            <w:vAlign w:val="bottom"/>
            <w:gridSpan w:val="5"/>
          </w:tcPr>
          <w:p>
            <w:pPr>
              <w:jc w:val="center"/>
              <w:ind w:left="55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r>
      <w:tr>
        <w:trPr>
          <w:trHeight w:val="48"/>
        </w:trPr>
        <w:tc>
          <w:tcPr>
            <w:tcW w:w="2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r>
      <w:tr>
        <w:trPr>
          <w:trHeight w:val="202"/>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620" w:type="dxa"/>
            <w:vAlign w:val="bottom"/>
            <w:gridSpan w:val="3"/>
            <w:shd w:val="clear" w:color="auto" w:fill="CCEEFF"/>
          </w:tcPr>
          <w:p>
            <w:pPr>
              <w:spacing w:after="0"/>
              <w:rPr>
                <w:sz w:val="17"/>
                <w:szCs w:val="17"/>
                <w:color w:val="auto"/>
              </w:rPr>
            </w:pPr>
          </w:p>
        </w:tc>
        <w:tc>
          <w:tcPr>
            <w:tcW w:w="600" w:type="dxa"/>
            <w:vAlign w:val="bottom"/>
            <w:shd w:val="clear" w:color="auto" w:fill="CCEEFF"/>
          </w:tcPr>
          <w:p>
            <w:pPr>
              <w:spacing w:after="0" w:line="202"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8300" w:type="dxa"/>
            <w:vAlign w:val="bottom"/>
            <w:gridSpan w:val="20"/>
            <w:shd w:val="clear" w:color="auto" w:fill="CCEEFF"/>
          </w:tcPr>
          <w:p>
            <w:pPr>
              <w:spacing w:after="0"/>
              <w:rPr>
                <w:sz w:val="17"/>
                <w:szCs w:val="17"/>
                <w:color w:val="auto"/>
              </w:rPr>
            </w:pPr>
          </w:p>
        </w:tc>
        <w:tc>
          <w:tcPr>
            <w:tcW w:w="1180" w:type="dxa"/>
            <w:vAlign w:val="bottom"/>
            <w:gridSpan w:val="5"/>
            <w:shd w:val="clear" w:color="auto" w:fill="CCEEFF"/>
          </w:tcPr>
          <w:p>
            <w:pPr>
              <w:jc w:val="center"/>
              <w:ind w:left="550"/>
              <w:spacing w:after="0" w:line="20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40" w:type="dxa"/>
            <w:vAlign w:val="bottom"/>
            <w:gridSpan w:val="4"/>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gridSpan w:val="5"/>
          </w:tcPr>
          <w:p>
            <w:pPr>
              <w:jc w:val="center"/>
              <w:ind w:left="55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695"/>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19"/>
          </w:tcPr>
          <w:p>
            <w:pPr>
              <w:ind w:left="4400"/>
              <w:spacing w:after="0"/>
              <w:rPr>
                <w:sz w:val="20"/>
                <w:szCs w:val="20"/>
                <w:color w:val="auto"/>
              </w:rPr>
            </w:pPr>
            <w:r>
              <w:rPr>
                <w:rFonts w:ascii="Arial" w:cs="Arial" w:eastAsia="Arial" w:hAnsi="Arial"/>
                <w:sz w:val="18"/>
                <w:szCs w:val="18"/>
                <w:color w:val="auto"/>
              </w:rPr>
              <w:t>4</w:t>
            </w:r>
          </w:p>
        </w:tc>
        <w:tc>
          <w:tcPr>
            <w:tcW w:w="1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7740" w:type="dxa"/>
            <w:vAlign w:val="bottom"/>
          </w:tcPr>
          <w:p>
            <w:pPr>
              <w:jc w:val="center"/>
              <w:ind w:left="217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20" w:type="dxa"/>
            <w:vAlign w:val="bottom"/>
          </w:tcPr>
          <w:p>
            <w:pPr>
              <w:spacing w:after="0"/>
              <w:rPr>
                <w:sz w:val="24"/>
                <w:szCs w:val="24"/>
                <w:color w:val="auto"/>
              </w:rPr>
            </w:pPr>
          </w:p>
        </w:tc>
        <w:tc>
          <w:tcPr>
            <w:tcW w:w="7740" w:type="dxa"/>
            <w:vAlign w:val="bottom"/>
          </w:tcPr>
          <w:p>
            <w:pPr>
              <w:jc w:val="center"/>
              <w:ind w:left="2170"/>
              <w:spacing w:after="0"/>
              <w:rPr>
                <w:sz w:val="20"/>
                <w:szCs w:val="20"/>
                <w:color w:val="auto"/>
              </w:rPr>
            </w:pPr>
            <w:r>
              <w:rPr>
                <w:rFonts w:ascii="Arial" w:cs="Arial" w:eastAsia="Arial" w:hAnsi="Arial"/>
                <w:sz w:val="18"/>
                <w:szCs w:val="18"/>
                <w:b w:val="1"/>
                <w:bCs w:val="1"/>
                <w:color w:val="auto"/>
              </w:rPr>
              <w:t>AZIYO BIOLOGICS, INC.</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7740" w:type="dxa"/>
            <w:vAlign w:val="bottom"/>
          </w:tcPr>
          <w:p>
            <w:pPr>
              <w:jc w:val="center"/>
              <w:ind w:left="21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7740" w:type="dxa"/>
            <w:vAlign w:val="bottom"/>
          </w:tcPr>
          <w:p>
            <w:pPr>
              <w:jc w:val="center"/>
              <w:ind w:left="2170"/>
              <w:spacing w:after="0"/>
              <w:rPr>
                <w:sz w:val="20"/>
                <w:szCs w:val="20"/>
                <w:color w:val="auto"/>
              </w:rPr>
            </w:pPr>
            <w:r>
              <w:rPr>
                <w:rFonts w:ascii="Arial" w:cs="Arial" w:eastAsia="Arial" w:hAnsi="Arial"/>
                <w:sz w:val="18"/>
                <w:szCs w:val="18"/>
                <w:b w:val="1"/>
                <w:bCs w:val="1"/>
                <w:color w:val="auto"/>
                <w:w w:val="91"/>
              </w:rPr>
              <w:t>(In Thousands, Except for Share and Per Share Data)</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7740" w:type="dxa"/>
            <w:vAlign w:val="bottom"/>
          </w:tcPr>
          <w:p>
            <w:pPr>
              <w:jc w:val="center"/>
              <w:ind w:left="217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20" w:type="dxa"/>
            <w:vAlign w:val="bottom"/>
            <w:tcBorders>
              <w:bottom w:val="single" w:sz="8" w:color="CCEEFF"/>
            </w:tcBorders>
          </w:tcPr>
          <w:p>
            <w:pPr>
              <w:spacing w:after="0"/>
              <w:rPr>
                <w:sz w:val="20"/>
                <w:szCs w:val="20"/>
                <w:color w:val="auto"/>
              </w:rPr>
            </w:pPr>
          </w:p>
        </w:tc>
        <w:tc>
          <w:tcPr>
            <w:tcW w:w="77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620" w:type="dxa"/>
            <w:vAlign w:val="bottom"/>
            <w:shd w:val="clear" w:color="auto" w:fill="CCEEFF"/>
          </w:tcPr>
          <w:p>
            <w:pPr>
              <w:spacing w:after="0"/>
              <w:rPr>
                <w:sz w:val="18"/>
                <w:szCs w:val="18"/>
                <w:color w:val="auto"/>
              </w:rPr>
            </w:pPr>
          </w:p>
        </w:tc>
        <w:tc>
          <w:tcPr>
            <w:tcW w:w="7740" w:type="dxa"/>
            <w:vAlign w:val="bottom"/>
            <w:shd w:val="clear" w:color="auto" w:fill="CCEEFF"/>
          </w:tcPr>
          <w:p>
            <w:pPr>
              <w:jc w:val="center"/>
              <w:ind w:right="570"/>
              <w:spacing w:after="0"/>
              <w:rPr>
                <w:sz w:val="20"/>
                <w:szCs w:val="20"/>
                <w:color w:val="auto"/>
              </w:rPr>
            </w:pPr>
            <w:r>
              <w:rPr>
                <w:rFonts w:ascii="Arial" w:cs="Arial" w:eastAsia="Arial" w:hAnsi="Arial"/>
                <w:sz w:val="18"/>
                <w:szCs w:val="18"/>
                <w:b w:val="1"/>
                <w:bCs w:val="1"/>
                <w:color w:val="auto"/>
                <w:w w:val="81"/>
              </w:rPr>
              <w:t>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30,410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39,150</w:t>
            </w: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7,166</w:t>
            </w: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10,218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10,117</w:t>
            </w: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r>
      <w:tr>
        <w:trPr>
          <w:trHeight w:val="209"/>
        </w:trPr>
        <w:tc>
          <w:tcPr>
            <w:tcW w:w="620" w:type="dxa"/>
            <w:vAlign w:val="bottom"/>
          </w:tcPr>
          <w:p>
            <w:pPr>
              <w:spacing w:after="0"/>
              <w:rPr>
                <w:sz w:val="18"/>
                <w:szCs w:val="18"/>
                <w:color w:val="auto"/>
              </w:rPr>
            </w:pPr>
          </w:p>
        </w:tc>
        <w:tc>
          <w:tcPr>
            <w:tcW w:w="77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59,707</w:t>
            </w: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21,865</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09"/>
        </w:trPr>
        <w:tc>
          <w:tcPr>
            <w:tcW w:w="83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 w:type="dxa"/>
            <w:vAlign w:val="bottom"/>
            <w:shd w:val="clear" w:color="auto" w:fill="CCEEFF"/>
          </w:tcPr>
          <w:p>
            <w:pPr>
              <w:spacing w:after="0"/>
              <w:rPr>
                <w:sz w:val="18"/>
                <w:szCs w:val="18"/>
                <w:color w:val="auto"/>
              </w:rPr>
            </w:pPr>
          </w:p>
        </w:tc>
        <w:tc>
          <w:tcPr>
            <w:tcW w:w="7740" w:type="dxa"/>
            <w:vAlign w:val="bottom"/>
            <w:shd w:val="clear" w:color="auto" w:fill="CCEEFF"/>
          </w:tcPr>
          <w:p>
            <w:pPr>
              <w:jc w:val="center"/>
              <w:ind w:right="550"/>
              <w:spacing w:after="0"/>
              <w:rPr>
                <w:sz w:val="20"/>
                <w:szCs w:val="20"/>
                <w:color w:val="auto"/>
              </w:rPr>
            </w:pPr>
            <w:r>
              <w:rPr>
                <w:rFonts w:ascii="Arial" w:cs="Arial" w:eastAsia="Arial" w:hAnsi="Arial"/>
                <w:sz w:val="18"/>
                <w:szCs w:val="18"/>
                <w:b w:val="1"/>
                <w:bCs w:val="1"/>
                <w:color w:val="auto"/>
                <w:w w:val="91"/>
              </w:rPr>
              <w:t>Liabilities and Stockholders’ Equity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1,968</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5,022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6,323</w:t>
            </w: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Payables to tissue suppliers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w:t>
            </w: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8,618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revenue interest obligation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w:t>
            </w:r>
          </w:p>
        </w:tc>
      </w:tr>
      <w:tr>
        <w:trPr>
          <w:trHeight w:val="216"/>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Revolving line of credit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6,514</w:t>
            </w:r>
          </w:p>
        </w:tc>
      </w:tr>
      <w:tr>
        <w:trPr>
          <w:trHeight w:val="216"/>
        </w:trPr>
        <w:tc>
          <w:tcPr>
            <w:tcW w:w="8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 and other current 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r>
      <w:tr>
        <w:trPr>
          <w:trHeight w:val="210"/>
        </w:trPr>
        <w:tc>
          <w:tcPr>
            <w:tcW w:w="620" w:type="dxa"/>
            <w:vAlign w:val="bottom"/>
          </w:tcPr>
          <w:p>
            <w:pPr>
              <w:spacing w:after="0"/>
              <w:rPr>
                <w:sz w:val="18"/>
                <w:szCs w:val="18"/>
                <w:color w:val="auto"/>
              </w:rPr>
            </w:pPr>
          </w:p>
        </w:tc>
        <w:tc>
          <w:tcPr>
            <w:tcW w:w="77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15,533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17,811</w:t>
            </w: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revenue interest obligation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16,633</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Deferred revenue and other long-term liabilities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r>
      <w:tr>
        <w:trPr>
          <w:trHeight w:val="210"/>
        </w:trPr>
        <w:tc>
          <w:tcPr>
            <w:tcW w:w="836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36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0"/>
              </w:rPr>
              <w:t>Class A Common stock, $0.001 par value, 200,000,000 shares authorized as of March 31, 2021 and December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60" w:type="dxa"/>
            <w:vAlign w:val="bottom"/>
            <w:gridSpan w:val="2"/>
          </w:tcPr>
          <w:p>
            <w:pPr>
              <w:ind w:left="500"/>
              <w:spacing w:after="0"/>
              <w:rPr>
                <w:sz w:val="20"/>
                <w:szCs w:val="20"/>
                <w:color w:val="auto"/>
              </w:rPr>
            </w:pPr>
            <w:r>
              <w:rPr>
                <w:rFonts w:ascii="Arial" w:cs="Arial" w:eastAsia="Arial" w:hAnsi="Arial"/>
                <w:sz w:val="18"/>
                <w:szCs w:val="18"/>
                <w:color w:val="auto"/>
                <w:w w:val="90"/>
              </w:rPr>
              <w:t>31, 2020, and 7,092,521 and 7,091,960 shares issued and outstanding, as of March 31, 2021 and December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31, 2020, respectively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02"/>
        </w:trPr>
        <w:tc>
          <w:tcPr>
            <w:tcW w:w="83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Class B Common stock, $0.001 par value, 20,000,000 shares authorized, as of March 31, 2021 and December</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31, 2020 and 3,134,162 issued and outstanding as of March 31, 2021 and December 31, 2020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101,760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101,080</w:t>
            </w: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(80,259)</w:t>
            </w:r>
          </w:p>
        </w:tc>
      </w:tr>
      <w:tr>
        <w:trPr>
          <w:trHeight w:val="209"/>
        </w:trPr>
        <w:tc>
          <w:tcPr>
            <w:tcW w:w="62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20,831</w:t>
            </w:r>
          </w:p>
        </w:tc>
        <w:tc>
          <w:tcPr>
            <w:tcW w:w="100" w:type="dxa"/>
            <w:vAlign w:val="bottom"/>
            <w:tcBorders>
              <w:bottom w:val="single" w:sz="8" w:color="CCEEFF"/>
            </w:tcBorders>
          </w:tcPr>
          <w:p>
            <w:pPr>
              <w:spacing w:after="0"/>
              <w:rPr>
                <w:sz w:val="18"/>
                <w:szCs w:val="18"/>
                <w:color w:val="auto"/>
              </w:rPr>
            </w:pPr>
          </w:p>
        </w:tc>
      </w:tr>
      <w:tr>
        <w:trPr>
          <w:trHeight w:val="210"/>
        </w:trPr>
        <w:tc>
          <w:tcPr>
            <w:tcW w:w="8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74,209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382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(UNAUDITED)</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jc w:val="right"/>
              <w:ind w:right="561"/>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8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88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Cost of goods sold</w:t>
            </w: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6,555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4,648</w:t>
            </w:r>
          </w:p>
        </w:tc>
      </w:tr>
      <w:tr>
        <w:trPr>
          <w:trHeight w:val="210"/>
        </w:trPr>
        <w:tc>
          <w:tcPr>
            <w:tcW w:w="4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4,482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3,605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2,606</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1,309</w:t>
            </w:r>
          </w:p>
        </w:tc>
      </w:tr>
      <w:tr>
        <w:trPr>
          <w:trHeight w:val="210"/>
        </w:trPr>
        <w:tc>
          <w:tcPr>
            <w:tcW w:w="4880" w:type="dxa"/>
            <w:vAlign w:val="bottom"/>
          </w:tcPr>
          <w:p>
            <w:pPr>
              <w:ind w:left="340"/>
              <w:spacing w:after="0"/>
              <w:rPr>
                <w:sz w:val="20"/>
                <w:szCs w:val="20"/>
                <w:color w:val="auto"/>
              </w:rPr>
            </w:pPr>
            <w:r>
              <w:rPr>
                <w:rFonts w:ascii="Arial" w:cs="Arial" w:eastAsia="Arial" w:hAnsi="Arial"/>
                <w:sz w:val="18"/>
                <w:szCs w:val="18"/>
                <w:color w:val="auto"/>
              </w:rPr>
              <w:t>Loss from operations</w:t>
            </w:r>
          </w:p>
        </w:tc>
        <w:tc>
          <w:tcPr>
            <w:tcW w:w="3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1,355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1,373</w:t>
            </w:r>
          </w:p>
        </w:tc>
      </w:tr>
      <w:tr>
        <w:trPr>
          <w:trHeight w:val="210"/>
        </w:trPr>
        <w:tc>
          <w:tcPr>
            <w:tcW w:w="4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before provision for income taxes</w:t>
            </w:r>
          </w:p>
        </w:tc>
        <w:tc>
          <w:tcPr>
            <w:tcW w:w="3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w:t>
            </w:r>
          </w:p>
        </w:tc>
      </w:tr>
      <w:tr>
        <w:trPr>
          <w:trHeight w:val="249"/>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35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7"/>
        </w:trPr>
        <w:tc>
          <w:tcPr>
            <w:tcW w:w="4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 per share – basic and diluted</w:t>
            </w:r>
          </w:p>
        </w:tc>
        <w:tc>
          <w:tcPr>
            <w:tcW w:w="3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(0.50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(7.03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4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common shares outstanding – basic and diluted</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10,226,152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648,277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CONVERTIBLE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3"/>
                <w:szCs w:val="13"/>
                <w:color w:val="auto"/>
                <w:w w:val="91"/>
              </w:rPr>
              <w:t>Convertible</w:t>
            </w:r>
          </w:p>
        </w:tc>
        <w:tc>
          <w:tcPr>
            <w:tcW w:w="20" w:type="dxa"/>
            <w:vAlign w:val="bottom"/>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3"/>
                <w:szCs w:val="13"/>
                <w:color w:val="auto"/>
                <w:w w:val="88"/>
              </w:rPr>
              <w:t>Class A Common</w:t>
            </w:r>
          </w:p>
        </w:tc>
        <w:tc>
          <w:tcPr>
            <w:tcW w:w="1440" w:type="dxa"/>
            <w:vAlign w:val="bottom"/>
            <w:gridSpan w:val="3"/>
          </w:tcPr>
          <w:p>
            <w:pPr>
              <w:jc w:val="center"/>
              <w:spacing w:after="0"/>
              <w:rPr>
                <w:sz w:val="20"/>
                <w:szCs w:val="20"/>
                <w:color w:val="auto"/>
              </w:rPr>
            </w:pPr>
            <w:r>
              <w:rPr>
                <w:rFonts w:ascii="Arial" w:cs="Arial" w:eastAsia="Arial" w:hAnsi="Arial"/>
                <w:sz w:val="13"/>
                <w:szCs w:val="13"/>
                <w:color w:val="auto"/>
                <w:w w:val="88"/>
              </w:rPr>
              <w:t>Class B Common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3"/>
                <w:szCs w:val="13"/>
                <w:color w:val="auto"/>
                <w:w w:val="86"/>
              </w:rPr>
              <w:t>Preferred Stock</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3"/>
                <w:szCs w:val="13"/>
                <w:color w:val="auto"/>
              </w:rPr>
              <w:t>Common Stock</w:t>
            </w:r>
          </w:p>
        </w:tc>
        <w:tc>
          <w:tcPr>
            <w:tcW w:w="960" w:type="dxa"/>
            <w:vAlign w:val="bottom"/>
            <w:gridSpan w:val="3"/>
          </w:tcPr>
          <w:p>
            <w:pPr>
              <w:jc w:val="center"/>
              <w:ind w:left="517"/>
              <w:spacing w:after="0"/>
              <w:rPr>
                <w:sz w:val="20"/>
                <w:szCs w:val="20"/>
                <w:color w:val="auto"/>
              </w:rPr>
            </w:pPr>
            <w:r>
              <w:rPr>
                <w:rFonts w:ascii="Arial" w:cs="Arial" w:eastAsia="Arial" w:hAnsi="Arial"/>
                <w:sz w:val="13"/>
                <w:szCs w:val="13"/>
                <w:color w:val="auto"/>
                <w:w w:val="92"/>
              </w:rPr>
              <w:t>Stock</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ind w:left="17"/>
              <w:spacing w:after="0"/>
              <w:rPr>
                <w:sz w:val="20"/>
                <w:szCs w:val="20"/>
                <w:color w:val="auto"/>
              </w:rPr>
            </w:pPr>
            <w:r>
              <w:rPr>
                <w:rFonts w:ascii="Arial" w:cs="Arial" w:eastAsia="Arial" w:hAnsi="Arial"/>
                <w:sz w:val="13"/>
                <w:szCs w:val="13"/>
                <w:color w:val="auto"/>
                <w:w w:val="85"/>
              </w:rPr>
              <w:t>Stock</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3"/>
                <w:szCs w:val="13"/>
                <w:color w:val="auto"/>
                <w:w w:val="91"/>
              </w:rPr>
              <w:t>Additional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center"/>
              <w:ind w:right="218"/>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8"/>
              </w:rPr>
              <w:t>Number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Number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8"/>
              </w:rPr>
              <w:t>Number of</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2"/>
              </w:rPr>
              <w:t>Number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8"/>
              </w:rPr>
              <w:t>Paid-in</w:t>
            </w:r>
          </w:p>
        </w:tc>
        <w:tc>
          <w:tcPr>
            <w:tcW w:w="800" w:type="dxa"/>
            <w:vAlign w:val="bottom"/>
            <w:gridSpan w:val="3"/>
          </w:tcPr>
          <w:p>
            <w:pPr>
              <w:spacing w:after="0" w:line="135" w:lineRule="exact"/>
              <w:rPr>
                <w:sz w:val="20"/>
                <w:szCs w:val="20"/>
                <w:color w:val="auto"/>
              </w:rPr>
            </w:pPr>
            <w:r>
              <w:rPr>
                <w:rFonts w:ascii="Arial" w:cs="Arial" w:eastAsia="Arial" w:hAnsi="Arial"/>
                <w:sz w:val="13"/>
                <w:szCs w:val="13"/>
                <w:color w:val="auto"/>
              </w:rPr>
              <w:t>Accumulated</w:t>
            </w:r>
          </w:p>
        </w:tc>
        <w:tc>
          <w:tcPr>
            <w:tcW w:w="880" w:type="dxa"/>
            <w:vAlign w:val="bottom"/>
            <w:gridSpan w:val="4"/>
          </w:tcPr>
          <w:p>
            <w:pPr>
              <w:ind w:left="80"/>
              <w:spacing w:after="0" w:line="135" w:lineRule="exact"/>
              <w:rPr>
                <w:sz w:val="20"/>
                <w:szCs w:val="20"/>
                <w:color w:val="auto"/>
              </w:rPr>
            </w:pPr>
            <w:r>
              <w:rPr>
                <w:rFonts w:ascii="Arial" w:cs="Arial" w:eastAsia="Arial" w:hAnsi="Arial"/>
                <w:sz w:val="13"/>
                <w:szCs w:val="13"/>
                <w:color w:val="auto"/>
                <w:w w:val="99"/>
              </w:rPr>
              <w:t>Stockholders’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Shares</w:t>
            </w:r>
          </w:p>
        </w:tc>
        <w:tc>
          <w:tcPr>
            <w:tcW w:w="10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color w:val="auto"/>
              </w:rPr>
              <w:t>Amount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w w:val="82"/>
              </w:rPr>
              <w:t>Shares</w:t>
            </w:r>
          </w:p>
        </w:tc>
        <w:tc>
          <w:tcPr>
            <w:tcW w:w="10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w w:val="93"/>
              </w:rPr>
              <w:t>Amount</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Shares</w:t>
            </w:r>
          </w:p>
        </w:tc>
        <w:tc>
          <w:tcPr>
            <w:tcW w:w="8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color w:val="auto"/>
              </w:rPr>
              <w:t>Amount</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Shares</w:t>
            </w:r>
          </w:p>
        </w:tc>
        <w:tc>
          <w:tcPr>
            <w:tcW w:w="560" w:type="dxa"/>
            <w:vAlign w:val="bottom"/>
          </w:tcPr>
          <w:p>
            <w:pPr>
              <w:jc w:val="right"/>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color w:val="auto"/>
                <w:w w:val="88"/>
              </w:rPr>
              <w:t>Capital</w:t>
            </w:r>
          </w:p>
        </w:tc>
        <w:tc>
          <w:tcPr>
            <w:tcW w:w="120" w:type="dxa"/>
            <w:vAlign w:val="bottom"/>
          </w:tcPr>
          <w:p>
            <w:pPr>
              <w:spacing w:after="0"/>
              <w:rPr>
                <w:sz w:val="12"/>
                <w:szCs w:val="12"/>
                <w:color w:val="auto"/>
              </w:rPr>
            </w:pPr>
          </w:p>
        </w:tc>
        <w:tc>
          <w:tcPr>
            <w:tcW w:w="680" w:type="dxa"/>
            <w:vAlign w:val="bottom"/>
            <w:gridSpan w:val="2"/>
          </w:tcPr>
          <w:p>
            <w:pPr>
              <w:jc w:val="right"/>
              <w:ind w:right="238"/>
              <w:spacing w:after="0"/>
              <w:rPr>
                <w:sz w:val="20"/>
                <w:szCs w:val="20"/>
                <w:color w:val="auto"/>
              </w:rPr>
            </w:pPr>
            <w:r>
              <w:rPr>
                <w:rFonts w:ascii="Arial" w:cs="Arial" w:eastAsia="Arial" w:hAnsi="Arial"/>
                <w:sz w:val="13"/>
                <w:szCs w:val="13"/>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78"/>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128"/>
        </w:trPr>
        <w:tc>
          <w:tcPr>
            <w:tcW w:w="1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4"/>
              </w:rPr>
              <w:t>Balance, December 31, 2020</w:t>
            </w:r>
          </w:p>
        </w:tc>
        <w:tc>
          <w:tcPr>
            <w:tcW w:w="6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720" w:type="dxa"/>
            <w:vAlign w:val="bottom"/>
            <w:tcBorders>
              <w:top w:val="single" w:sz="8" w:color="auto"/>
              <w:lef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7,091,960</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3,134,162</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101,080</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(80,259)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20,831</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line="121" w:lineRule="exact"/>
              <w:rPr>
                <w:sz w:val="20"/>
                <w:szCs w:val="20"/>
                <w:color w:val="auto"/>
              </w:rPr>
            </w:pPr>
            <w:r>
              <w:rPr>
                <w:rFonts w:ascii="Arial" w:cs="Arial" w:eastAsia="Arial" w:hAnsi="Arial"/>
                <w:sz w:val="13"/>
                <w:szCs w:val="13"/>
                <w:color w:val="auto"/>
              </w:rPr>
              <w:t>Proceeds from stock option</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20"/>
                <w:szCs w:val="20"/>
                <w:color w:val="auto"/>
              </w:rPr>
            </w:pPr>
            <w:r>
              <w:rPr>
                <w:rFonts w:ascii="Arial" w:cs="Arial" w:eastAsia="Arial" w:hAnsi="Arial"/>
                <w:sz w:val="13"/>
                <w:szCs w:val="13"/>
                <w:color w:val="auto"/>
              </w:rPr>
              <w:t>exercises</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561</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58"/>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w:t>
            </w:r>
          </w:p>
        </w:tc>
        <w:tc>
          <w:tcPr>
            <w:tcW w:w="880" w:type="dxa"/>
            <w:vAlign w:val="bottom"/>
            <w:gridSpan w:val="2"/>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940" w:type="dxa"/>
            <w:vAlign w:val="bottom"/>
            <w:tcBorders>
              <w:lef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677</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677</w:t>
            </w: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88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(5,067)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(5,067)</w:t>
            </w:r>
          </w:p>
        </w:tc>
        <w:tc>
          <w:tcPr>
            <w:tcW w:w="0" w:type="dxa"/>
            <w:vAlign w:val="bottom"/>
          </w:tcPr>
          <w:p>
            <w:pPr>
              <w:spacing w:after="0"/>
              <w:rPr>
                <w:sz w:val="1"/>
                <w:szCs w:val="1"/>
                <w:color w:val="auto"/>
              </w:rPr>
            </w:pPr>
          </w:p>
        </w:tc>
      </w:tr>
      <w:tr>
        <w:trPr>
          <w:trHeight w:val="129"/>
        </w:trPr>
        <w:tc>
          <w:tcPr>
            <w:tcW w:w="16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March 31, 2021</w:t>
            </w:r>
          </w:p>
        </w:tc>
        <w:tc>
          <w:tcPr>
            <w:tcW w:w="6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720" w:type="dxa"/>
            <w:vAlign w:val="bottom"/>
            <w:tcBorders>
              <w:top w:val="single" w:sz="8" w:color="auto"/>
              <w:left w:val="single" w:sz="8" w:color="CCEEFF"/>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7,092,521</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3,134,162</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ind w:right="444"/>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101,760</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(85,326</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16,444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1640" w:type="dxa"/>
            <w:vAlign w:val="bottom"/>
            <w:gridSpan w:val="5"/>
            <w:vMerge w:val="restart"/>
          </w:tcPr>
          <w:p>
            <w:pPr>
              <w:jc w:val="center"/>
              <w:ind w:right="120"/>
              <w:spacing w:after="0"/>
              <w:rPr>
                <w:sz w:val="20"/>
                <w:szCs w:val="20"/>
                <w:color w:val="auto"/>
              </w:rPr>
            </w:pPr>
            <w:r>
              <w:rPr>
                <w:rFonts w:ascii="Arial" w:cs="Arial" w:eastAsia="Arial" w:hAnsi="Arial"/>
                <w:sz w:val="13"/>
                <w:szCs w:val="13"/>
                <w:color w:val="auto"/>
                <w:w w:val="91"/>
              </w:rPr>
              <w:t>Convertible</w:t>
            </w:r>
          </w:p>
        </w:tc>
        <w:tc>
          <w:tcPr>
            <w:tcW w:w="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5"/>
            <w:vMerge w:val="restart"/>
          </w:tcPr>
          <w:p>
            <w:pPr>
              <w:jc w:val="center"/>
              <w:ind w:right="220"/>
              <w:spacing w:after="0"/>
              <w:rPr>
                <w:sz w:val="20"/>
                <w:szCs w:val="20"/>
                <w:color w:val="auto"/>
              </w:rPr>
            </w:pPr>
            <w:r>
              <w:rPr>
                <w:rFonts w:ascii="Arial" w:cs="Arial" w:eastAsia="Arial" w:hAnsi="Arial"/>
                <w:sz w:val="13"/>
                <w:szCs w:val="13"/>
                <w:color w:val="auto"/>
                <w:w w:val="88"/>
              </w:rPr>
              <w:t>Class A Common</w:t>
            </w:r>
          </w:p>
        </w:tc>
        <w:tc>
          <w:tcPr>
            <w:tcW w:w="1440" w:type="dxa"/>
            <w:vAlign w:val="bottom"/>
            <w:gridSpan w:val="3"/>
            <w:vMerge w:val="restart"/>
          </w:tcPr>
          <w:p>
            <w:pPr>
              <w:jc w:val="center"/>
              <w:spacing w:after="0"/>
              <w:rPr>
                <w:sz w:val="20"/>
                <w:szCs w:val="20"/>
                <w:color w:val="auto"/>
              </w:rPr>
            </w:pPr>
            <w:r>
              <w:rPr>
                <w:rFonts w:ascii="Arial" w:cs="Arial" w:eastAsia="Arial" w:hAnsi="Arial"/>
                <w:sz w:val="13"/>
                <w:szCs w:val="13"/>
                <w:color w:val="auto"/>
                <w:w w:val="88"/>
              </w:rPr>
              <w:t>Class B Common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rPr>
                <w:sz w:val="10"/>
                <w:szCs w:val="10"/>
                <w:color w:val="auto"/>
              </w:rPr>
            </w:pPr>
          </w:p>
        </w:tc>
        <w:tc>
          <w:tcPr>
            <w:tcW w:w="164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3"/>
                <w:szCs w:val="13"/>
                <w:color w:val="auto"/>
                <w:w w:val="86"/>
              </w:rPr>
              <w:t>Preferred Stock</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3"/>
                <w:szCs w:val="13"/>
                <w:color w:val="auto"/>
              </w:rPr>
              <w:t>Common Stock</w:t>
            </w:r>
          </w:p>
        </w:tc>
        <w:tc>
          <w:tcPr>
            <w:tcW w:w="960" w:type="dxa"/>
            <w:vAlign w:val="bottom"/>
            <w:gridSpan w:val="3"/>
          </w:tcPr>
          <w:p>
            <w:pPr>
              <w:jc w:val="center"/>
              <w:ind w:left="517"/>
              <w:spacing w:after="0"/>
              <w:rPr>
                <w:sz w:val="20"/>
                <w:szCs w:val="20"/>
                <w:color w:val="auto"/>
              </w:rPr>
            </w:pPr>
            <w:r>
              <w:rPr>
                <w:rFonts w:ascii="Arial" w:cs="Arial" w:eastAsia="Arial" w:hAnsi="Arial"/>
                <w:sz w:val="13"/>
                <w:szCs w:val="13"/>
                <w:color w:val="auto"/>
                <w:w w:val="92"/>
              </w:rPr>
              <w:t>Stock</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ind w:left="17"/>
              <w:spacing w:after="0"/>
              <w:rPr>
                <w:sz w:val="20"/>
                <w:szCs w:val="20"/>
                <w:color w:val="auto"/>
              </w:rPr>
            </w:pPr>
            <w:r>
              <w:rPr>
                <w:rFonts w:ascii="Arial" w:cs="Arial" w:eastAsia="Arial" w:hAnsi="Arial"/>
                <w:sz w:val="13"/>
                <w:szCs w:val="13"/>
                <w:color w:val="auto"/>
                <w:w w:val="85"/>
              </w:rPr>
              <w:t>Stock</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3"/>
                <w:szCs w:val="13"/>
                <w:color w:val="auto"/>
                <w:w w:val="91"/>
              </w:rPr>
              <w:t>Additional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center"/>
              <w:ind w:right="178"/>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8"/>
              </w:rPr>
              <w:t>Number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8"/>
              </w:rPr>
              <w:t>Number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8"/>
              </w:rPr>
              <w:t>Number of</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2"/>
              </w:rPr>
              <w:t>Number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8"/>
              </w:rPr>
              <w:t>Paid-in</w:t>
            </w:r>
          </w:p>
        </w:tc>
        <w:tc>
          <w:tcPr>
            <w:tcW w:w="800" w:type="dxa"/>
            <w:vAlign w:val="bottom"/>
            <w:gridSpan w:val="3"/>
          </w:tcPr>
          <w:p>
            <w:pPr>
              <w:spacing w:after="0" w:line="135" w:lineRule="exact"/>
              <w:rPr>
                <w:sz w:val="20"/>
                <w:szCs w:val="20"/>
                <w:color w:val="auto"/>
              </w:rPr>
            </w:pPr>
            <w:r>
              <w:rPr>
                <w:rFonts w:ascii="Arial" w:cs="Arial" w:eastAsia="Arial" w:hAnsi="Arial"/>
                <w:sz w:val="13"/>
                <w:szCs w:val="13"/>
                <w:color w:val="auto"/>
              </w:rPr>
              <w:t>Accumulated</w:t>
            </w:r>
          </w:p>
        </w:tc>
        <w:tc>
          <w:tcPr>
            <w:tcW w:w="880" w:type="dxa"/>
            <w:vAlign w:val="bottom"/>
            <w:gridSpan w:val="4"/>
          </w:tcPr>
          <w:p>
            <w:pPr>
              <w:ind w:left="80"/>
              <w:spacing w:after="0" w:line="135" w:lineRule="exact"/>
              <w:rPr>
                <w:sz w:val="20"/>
                <w:szCs w:val="20"/>
                <w:color w:val="auto"/>
              </w:rPr>
            </w:pPr>
            <w:r>
              <w:rPr>
                <w:rFonts w:ascii="Arial" w:cs="Arial" w:eastAsia="Arial" w:hAnsi="Arial"/>
                <w:sz w:val="13"/>
                <w:szCs w:val="13"/>
                <w:color w:val="auto"/>
                <w:w w:val="99"/>
              </w:rPr>
              <w:t>Stockholders’</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Shares</w:t>
            </w:r>
          </w:p>
        </w:tc>
        <w:tc>
          <w:tcPr>
            <w:tcW w:w="10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color w:val="auto"/>
              </w:rPr>
              <w:t>Amount</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w w:val="82"/>
              </w:rPr>
              <w:t>Shares</w:t>
            </w:r>
          </w:p>
        </w:tc>
        <w:tc>
          <w:tcPr>
            <w:tcW w:w="10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w w:val="93"/>
              </w:rPr>
              <w:t>Amount</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Shares</w:t>
            </w:r>
          </w:p>
        </w:tc>
        <w:tc>
          <w:tcPr>
            <w:tcW w:w="8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color w:val="auto"/>
              </w:rPr>
              <w:t>Amount</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Shares</w:t>
            </w:r>
          </w:p>
        </w:tc>
        <w:tc>
          <w:tcPr>
            <w:tcW w:w="560" w:type="dxa"/>
            <w:vAlign w:val="bottom"/>
          </w:tcPr>
          <w:p>
            <w:pPr>
              <w:jc w:val="right"/>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color w:val="auto"/>
                <w:w w:val="88"/>
              </w:rPr>
              <w:t>Capital</w:t>
            </w:r>
          </w:p>
        </w:tc>
        <w:tc>
          <w:tcPr>
            <w:tcW w:w="120" w:type="dxa"/>
            <w:vAlign w:val="bottom"/>
          </w:tcPr>
          <w:p>
            <w:pPr>
              <w:spacing w:after="0"/>
              <w:rPr>
                <w:sz w:val="12"/>
                <w:szCs w:val="12"/>
                <w:color w:val="auto"/>
              </w:rPr>
            </w:pPr>
          </w:p>
        </w:tc>
        <w:tc>
          <w:tcPr>
            <w:tcW w:w="680" w:type="dxa"/>
            <w:vAlign w:val="bottom"/>
            <w:gridSpan w:val="2"/>
          </w:tcPr>
          <w:p>
            <w:pPr>
              <w:jc w:val="right"/>
              <w:ind w:right="238"/>
              <w:spacing w:after="0"/>
              <w:rPr>
                <w:sz w:val="20"/>
                <w:szCs w:val="20"/>
                <w:color w:val="auto"/>
              </w:rPr>
            </w:pPr>
            <w:r>
              <w:rPr>
                <w:rFonts w:ascii="Arial" w:cs="Arial" w:eastAsia="Arial" w:hAnsi="Arial"/>
                <w:sz w:val="13"/>
                <w:szCs w:val="13"/>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78"/>
              <w:spacing w:after="0"/>
              <w:rPr>
                <w:sz w:val="20"/>
                <w:szCs w:val="20"/>
                <w:color w:val="auto"/>
              </w:rPr>
            </w:pPr>
            <w:r>
              <w:rPr>
                <w:rFonts w:ascii="Arial" w:cs="Arial" w:eastAsia="Arial" w:hAnsi="Arial"/>
                <w:sz w:val="13"/>
                <w:szCs w:val="13"/>
                <w:color w:val="auto"/>
                <w:w w:val="94"/>
              </w:rPr>
              <w:t>Deficit</w:t>
            </w:r>
          </w:p>
        </w:tc>
        <w:tc>
          <w:tcPr>
            <w:tcW w:w="0" w:type="dxa"/>
            <w:vAlign w:val="bottom"/>
          </w:tcPr>
          <w:p>
            <w:pPr>
              <w:spacing w:after="0"/>
              <w:rPr>
                <w:sz w:val="1"/>
                <w:szCs w:val="1"/>
                <w:color w:val="auto"/>
              </w:rPr>
            </w:pPr>
          </w:p>
        </w:tc>
      </w:tr>
      <w:tr>
        <w:trPr>
          <w:trHeight w:val="128"/>
        </w:trPr>
        <w:tc>
          <w:tcPr>
            <w:tcW w:w="1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4"/>
              </w:rPr>
              <w:t>Balance, December 31, 2019</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44,550,230</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44,449</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720" w:type="dxa"/>
            <w:vAlign w:val="bottom"/>
            <w:tcBorders>
              <w:top w:val="single" w:sz="8" w:color="auto"/>
              <w:lef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648,277</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1,826</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(56,938)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(55,111)</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line="121" w:lineRule="exact"/>
              <w:rPr>
                <w:sz w:val="20"/>
                <w:szCs w:val="20"/>
                <w:color w:val="auto"/>
              </w:rPr>
            </w:pPr>
            <w:r>
              <w:rPr>
                <w:rFonts w:ascii="Arial" w:cs="Arial" w:eastAsia="Arial" w:hAnsi="Arial"/>
                <w:sz w:val="13"/>
                <w:szCs w:val="13"/>
                <w:color w:val="auto"/>
              </w:rPr>
              <w:t>Issuance of Convertible</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20"/>
                <w:szCs w:val="20"/>
                <w:color w:val="auto"/>
              </w:rPr>
            </w:pPr>
            <w:r>
              <w:rPr>
                <w:rFonts w:ascii="Arial" w:cs="Arial" w:eastAsia="Arial" w:hAnsi="Arial"/>
                <w:sz w:val="13"/>
                <w:szCs w:val="13"/>
                <w:color w:val="auto"/>
              </w:rPr>
              <w:t>Preferred Stock</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449,770</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450</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w:t>
            </w:r>
          </w:p>
        </w:tc>
        <w:tc>
          <w:tcPr>
            <w:tcW w:w="880" w:type="dxa"/>
            <w:vAlign w:val="bottom"/>
            <w:gridSpan w:val="2"/>
            <w:shd w:val="clear" w:color="auto" w:fill="CCEEFF"/>
          </w:tcPr>
          <w:p>
            <w:pPr>
              <w:ind w:left="6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940" w:type="dxa"/>
            <w:vAlign w:val="bottom"/>
            <w:tcBorders>
              <w:lef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98"/>
              <w:spacing w:after="0" w:line="135" w:lineRule="exact"/>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35"/>
        </w:trPr>
        <w:tc>
          <w:tcPr>
            <w:tcW w:w="166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88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3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(4,560)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(4,560)</w:t>
            </w:r>
          </w:p>
        </w:tc>
        <w:tc>
          <w:tcPr>
            <w:tcW w:w="0" w:type="dxa"/>
            <w:vAlign w:val="bottom"/>
          </w:tcPr>
          <w:p>
            <w:pPr>
              <w:spacing w:after="0"/>
              <w:rPr>
                <w:sz w:val="1"/>
                <w:szCs w:val="1"/>
                <w:color w:val="auto"/>
              </w:rPr>
            </w:pPr>
          </w:p>
        </w:tc>
      </w:tr>
      <w:tr>
        <w:trPr>
          <w:trHeight w:val="129"/>
        </w:trPr>
        <w:tc>
          <w:tcPr>
            <w:tcW w:w="16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March 31, 2020</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45,000,000</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44,899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720" w:type="dxa"/>
            <w:vAlign w:val="bottom"/>
            <w:tcBorders>
              <w:top w:val="single" w:sz="8" w:color="auto"/>
              <w:left w:val="single" w:sz="8" w:color="CCEEFF"/>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648,277</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ind w:right="444"/>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1,880</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(61,498</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(59,617</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0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09"/>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(5,067)</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(4,560)</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r>
      <w:tr>
        <w:trPr>
          <w:trHeight w:val="21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Interest expense recorded as additional revenue interest obligation</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r>
      <w:tr>
        <w:trPr>
          <w:trHeight w:val="216"/>
        </w:trPr>
        <w:tc>
          <w:tcPr>
            <w:tcW w:w="704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(1,985)</w:t>
            </w:r>
          </w:p>
        </w:tc>
      </w:tr>
      <w:tr>
        <w:trPr>
          <w:trHeight w:val="216"/>
        </w:trPr>
        <w:tc>
          <w:tcPr>
            <w:tcW w:w="7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7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Obligations to tissue suppliers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7040" w:type="dxa"/>
            <w:vAlign w:val="bottom"/>
          </w:tcPr>
          <w:p>
            <w:pPr>
              <w:ind w:left="500"/>
              <w:spacing w:after="0"/>
              <w:rPr>
                <w:sz w:val="20"/>
                <w:szCs w:val="20"/>
                <w:color w:val="auto"/>
              </w:rPr>
            </w:pPr>
            <w:r>
              <w:rPr>
                <w:rFonts w:ascii="Arial" w:cs="Arial" w:eastAsia="Arial" w:hAnsi="Arial"/>
                <w:sz w:val="18"/>
                <w:szCs w:val="18"/>
                <w:color w:val="auto"/>
              </w:rPr>
              <w:t>Deferred revenue and other liabilities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09"/>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(3,038)</w:t>
            </w:r>
          </w:p>
        </w:tc>
        <w:tc>
          <w:tcPr>
            <w:tcW w:w="100" w:type="dxa"/>
            <w:vAlign w:val="bottom"/>
            <w:tcBorders>
              <w:top w:val="single" w:sz="8" w:color="CCEEFF"/>
            </w:tcBorders>
            <w:shd w:val="clear" w:color="auto" w:fill="CCEEFF"/>
          </w:tcPr>
          <w:p>
            <w:pPr>
              <w:spacing w:after="0"/>
              <w:rPr>
                <w:sz w:val="18"/>
                <w:szCs w:val="18"/>
                <w:color w:val="auto"/>
              </w:rPr>
            </w:pPr>
          </w:p>
        </w:tc>
      </w:tr>
      <w:tr>
        <w:trPr>
          <w:trHeight w:val="412"/>
        </w:trPr>
        <w:tc>
          <w:tcPr>
            <w:tcW w:w="70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0"/>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tcPr>
          <w:p>
            <w:pPr>
              <w:spacing w:after="0"/>
              <w:rPr>
                <w:sz w:val="18"/>
                <w:szCs w:val="18"/>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borrowings (repayments) under revolving line of credit</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Convertible Preferred Stock issuance, net</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Payments on revenue interest obligation</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(605)</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(9,031)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(1,964)</w:t>
            </w:r>
          </w:p>
        </w:tc>
      </w:tr>
      <w:tr>
        <w:trPr>
          <w:trHeight w:val="216"/>
        </w:trPr>
        <w:tc>
          <w:tcPr>
            <w:tcW w:w="7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beginning of period</w:t>
            </w: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39,532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2,590</w:t>
            </w:r>
          </w:p>
        </w:tc>
      </w:tr>
      <w:tr>
        <w:trPr>
          <w:trHeight w:val="250"/>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restricted cash, end of period</w:t>
            </w:r>
          </w:p>
        </w:tc>
        <w:tc>
          <w:tcPr>
            <w:tcW w:w="14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30,501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w:t>
            </w:r>
          </w:p>
        </w:tc>
        <w:tc>
          <w:tcPr>
            <w:tcW w:w="100" w:type="dxa"/>
            <w:vAlign w:val="bottom"/>
            <w:tcBorders>
              <w:bottom w:val="single" w:sz="8" w:color="CCEEFF"/>
            </w:tcBorders>
          </w:tcPr>
          <w:p>
            <w:pPr>
              <w:spacing w:after="0"/>
              <w:rPr>
                <w:sz w:val="21"/>
                <w:szCs w:val="21"/>
                <w:color w:val="auto"/>
              </w:rPr>
            </w:pPr>
          </w:p>
        </w:tc>
      </w:tr>
      <w:tr>
        <w:trPr>
          <w:trHeight w:val="196"/>
        </w:trPr>
        <w:tc>
          <w:tcPr>
            <w:tcW w:w="70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Supplemental Cash Flow and Non-Cash Financing Activities Disclosures: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1,243</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1,201</w:t>
            </w:r>
          </w:p>
        </w:tc>
      </w:tr>
      <w:tr>
        <w:trPr>
          <w:trHeight w:val="234"/>
        </w:trPr>
        <w:tc>
          <w:tcPr>
            <w:tcW w:w="7040" w:type="dxa"/>
            <w:vAlign w:val="bottom"/>
          </w:tcPr>
          <w:p>
            <w:pPr>
              <w:spacing w:after="0"/>
              <w:rPr>
                <w:sz w:val="20"/>
                <w:szCs w:val="20"/>
                <w:color w:val="auto"/>
              </w:rPr>
            </w:pPr>
            <w:r>
              <w:rPr>
                <w:rFonts w:ascii="Arial" w:cs="Arial" w:eastAsia="Arial" w:hAnsi="Arial"/>
                <w:sz w:val="18"/>
                <w:szCs w:val="18"/>
                <w:color w:val="auto"/>
              </w:rPr>
              <w:t>Cash paid for taxes</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core products span the implantable electronic devices/cardiovascular-related market, the orthopedic/spinal repair market and the soft tissue reconstruction market (“Core Products”). These products are primarily sold to healthcare providers or commercial partners. The Company also sells human tissue products under contract manufacturing and certain other arrangements (“Non-Core Products”) with corporate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 and Initial Public Offering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25, 2020, the Company’s Board of Directors and stockholders approved an amendment to the Company’s amended and restated certificate of incorporation to effect a 1-for-13.9549 reverse stock split of the Company’s common stock, which was effected on September 29, 2020. The par value of the common stock was not adjusted as a result of the reverse stock split. Accordingly, all share and share-related information presented in these condensed consolidated financial statements and the accompanying notes has been retroactively adjusted for all periods presented to give effect to the reverse stock split.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13, 2020, in connection with the Company’s initial public offering (“IPO”), we issued and sold 2,941,176 shares of common stock, consisting of 2,205,882 shares of Class A common stock and 735,294 shares of Class B common stock, at a price to the public of $17.00 per share, resulting in net proceeds to the Company of approximately $43.0 million, after deducting the underwriting discount of approximately $3.5 million and offering expenses of approximately $3.5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2020. The financial information as of March 31, 2021 and for the three months ended March 31, 2021 and 2020 is unaudited, but in the opinion of management, all adjustments considered necessary for a fair statement of the results for these interim periods have been included. The condensed consolidated balance sheet data as of December 31, 2020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Intercompany accounts and transactions have been eliminated in consolidation.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accordance with Accounting Standards Update (“ASU”) 2014-15, </w:t>
      </w:r>
      <w:r>
        <w:rPr>
          <w:rFonts w:ascii="Arial" w:cs="Arial" w:eastAsia="Arial" w:hAnsi="Arial"/>
          <w:sz w:val="17"/>
          <w:szCs w:val="17"/>
          <w:i w:val="1"/>
          <w:iCs w:val="1"/>
          <w:color w:val="auto"/>
        </w:rPr>
        <w:t>Disclosure of Uncertainties about an Entity’s Ability to Continue as a Going</w:t>
      </w:r>
      <w:r>
        <w:rPr>
          <w:rFonts w:ascii="Arial" w:cs="Arial" w:eastAsia="Arial" w:hAnsi="Arial"/>
          <w:sz w:val="17"/>
          <w:szCs w:val="17"/>
          <w:color w:val="auto"/>
        </w:rPr>
        <w:t xml:space="preserve"> </w:t>
      </w:r>
      <w:r>
        <w:rPr>
          <w:rFonts w:ascii="Arial" w:cs="Arial" w:eastAsia="Arial" w:hAnsi="Arial"/>
          <w:sz w:val="17"/>
          <w:szCs w:val="17"/>
          <w:i w:val="1"/>
          <w:iCs w:val="1"/>
          <w:color w:val="auto"/>
        </w:rPr>
        <w:t>Concern (Subtopic 205-40)</w:t>
      </w:r>
      <w:r>
        <w:rPr>
          <w:rFonts w:ascii="Arial" w:cs="Arial" w:eastAsia="Arial" w:hAnsi="Arial"/>
          <w:sz w:val="17"/>
          <w:szCs w:val="17"/>
          <w:color w:val="auto"/>
        </w:rPr>
        <w:t>, the Company has evaluated whether there are conditions and events, considered in the aggregate, that raise substantial doubt</w:t>
      </w:r>
      <w:r>
        <w:rPr>
          <w:rFonts w:ascii="Arial" w:cs="Arial" w:eastAsia="Arial" w:hAnsi="Arial"/>
          <w:sz w:val="17"/>
          <w:szCs w:val="17"/>
          <w:i w:val="1"/>
          <w:iCs w:val="1"/>
          <w:color w:val="auto"/>
        </w:rPr>
        <w:t xml:space="preserve"> </w:t>
      </w:r>
      <w:r>
        <w:rPr>
          <w:rFonts w:ascii="Arial" w:cs="Arial" w:eastAsia="Arial" w:hAnsi="Arial"/>
          <w:sz w:val="17"/>
          <w:szCs w:val="17"/>
          <w:color w:val="auto"/>
        </w:rPr>
        <w:t>about the Company’s ability to continue as a going concern within one year after the date that the consolidated financial statements are issued. The Company believes that the net proceeds from its IPO, together with its existing cash and availability under its Revolving Line of Credit (the “Revolver”), will be sufficient to fund its operating expenses and capital expenditure requirements through at least one year after the issuance date of the condensed consolidated financial statements for the three months ended March 31, 2021.</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expects its losses to continue for the foreseeable future and these losses will continue to have an adverse effect on our financial position.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 As such, the Company may need additional funding to support its continuing operations and pursue its growth strategy.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reclassifications have been made to prior year amounts to conform with current year financial statement presentation. The reclassifications relate to certain executive compensation costs and technical operations expenses at the Company’s Richmond, California plant. As follows are the total amounts reclassified for the three months ended March 31, 2020 along with the line items in the condensed consolidated statement of operations that were impacted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4300" w:type="dxa"/>
            <w:vAlign w:val="bottom"/>
            <w:gridSpan w:val="4"/>
          </w:tcPr>
          <w:p>
            <w:pPr>
              <w:ind w:left="2740"/>
              <w:spacing w:after="0"/>
              <w:rPr>
                <w:sz w:val="20"/>
                <w:szCs w:val="20"/>
                <w:color w:val="auto"/>
              </w:rPr>
            </w:pPr>
            <w:r>
              <w:rPr>
                <w:rFonts w:ascii="Arial" w:cs="Arial" w:eastAsia="Arial" w:hAnsi="Arial"/>
                <w:sz w:val="18"/>
                <w:szCs w:val="18"/>
                <w:b w:val="1"/>
                <w:bCs w:val="1"/>
                <w:color w:val="auto"/>
                <w:w w:val="90"/>
              </w:rPr>
              <w:t>Increase (Decrease)</w:t>
            </w:r>
          </w:p>
        </w:tc>
      </w:tr>
      <w:tr>
        <w:trPr>
          <w:trHeight w:val="216"/>
        </w:trPr>
        <w:tc>
          <w:tcPr>
            <w:tcW w:w="4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b w:val="1"/>
                <w:bCs w:val="1"/>
                <w:color w:val="auto"/>
              </w:rPr>
              <w:t>From Previously</w:t>
            </w:r>
          </w:p>
        </w:tc>
      </w:tr>
      <w:tr>
        <w:trPr>
          <w:trHeight w:val="234"/>
        </w:trPr>
        <w:tc>
          <w:tcPr>
            <w:tcW w:w="4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5"/>
              </w:rPr>
              <w:t>Reported Amounts</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reclassifications did not impact the Company’s consolidated earnings or assets for the three months ended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inventories, receivables, long-lived assets, the valuation of stock-based awards, the valuation of the preferred stock warrant liability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closely monitoring the impact of the COVID-19 pandemic on its business. In March 2020, the World Health Organization declared COVID-19 a global pandemic and recommended various containment and mitigation measures worldwide. Since that time, the number of procedures performed using the Company’s products has decreased significantly,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the Company’s products have been postponed or cancelled, which has negatively impacted sales of its products. These measures and challenges will likely continue for the duration of the pandemic, which is uncertain, and will likely continue to reduce the Company’s net sales and negatively impact its business, financial condition and results of operations while the pandemic continues.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participating securities. The Convertible Preferred Stock was considered a participating security through the completion of the IPO. The two-class method requires income (loss) available to common stockholders for the period to be allocated between common and participating securities based upon their respective rights to share in the earnings as if all income (loss) for the period had been distributed. Under the two-class method, the net loss attributable to common stockholders is not allocated to the Convertible Preferred Stock as the holders of the preferred stock do not have a contractual obligation to share in losses.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common stock has a dual class structure, consisting of Class A common stock and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Convertible Preferred Stock, stock options, and preferred and common stock warrants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quoted prices for identical assets and liabilities in active markets.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Valuations based on observable inputs other than quoted prices included in Level 1, such as quoted prices for similar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in active 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Valuations based on unobservable inputs reflecting the Company’s own assumptions, consistent with reasonably available assumptions</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other market participants. These valuations require significant judgment.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provisions of the Revolving Credit Facility (see Note 6), the Company has a lockbox arrangement with the banking institution whereby daily lockbox receipts are contractually utilized to pay down outstanding balances on the Revolving Credit Facility debt. Lockbox receipts that have not yet been applied to the Revolving Credit Facility are classified as restricted cash in the accompanying consolidated balance sheets. The following table provides a reconciliation of cash and restricted cash included in the condensed consolidated balance sheets to the amounts included in the statements of cash flows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r>
      <w:tr>
        <w:trPr>
          <w:trHeight w:val="223"/>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and restricted cash shown in statements of cash flows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Accounts receivable in the accompanying balance sheets are presented net of allowances for doubtful accounts and sales returns and other credits. The Company grants credit to customers in the normal course of business, but generally does not require collateral or any other security to support its receivables.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doubtful accounts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Inventories, consisting of purchased materials, direct labor and manufacturing overhead, are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inventories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the straight-line method over the following estimated useful lives of the assets:</w:t>
      </w:r>
    </w:p>
    <w:p>
      <w:pPr>
        <w:sectPr>
          <w:pgSz w:w="11900" w:h="16838" w:orient="portrait"/>
          <w:cols w:equalWidth="0" w:num="1">
            <w:col w:w="11240"/>
          </w:cols>
          <w:pgMar w:left="320" w:top="908" w:right="339" w:bottom="144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auto"/>
        </w:rPr>
        <w:t>Processing and research equipment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Office equipment and furniture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Computer hardware and software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5 to 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 to 5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00" w:lineRule="exact"/>
        <w:rPr>
          <w:sz w:val="20"/>
          <w:szCs w:val="20"/>
          <w:color w:val="auto"/>
        </w:rPr>
      </w:pPr>
    </w:p>
    <w:p>
      <w:pPr>
        <w:sectPr>
          <w:pgSz w:w="11900" w:h="16838" w:orient="portrait"/>
          <w:cols w:equalWidth="0" w:num="2">
            <w:col w:w="4540" w:space="720"/>
            <w:col w:w="5980"/>
          </w:cols>
          <w:pgMar w:left="320" w:top="908" w:right="3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Leasehold improvements are amortized on the straight-line method over the shorter of the lease term or the estimated useful life of the asset.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Repairs and maintenance costs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Purchased intangible assets with finite lives are carried at acquired fair value, less accumulated amortization. Amortization is computed over the estimated useful lives of the respective assets.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three months ended March 31, 2021 or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revenue is generated from contracts with customers in accordance with Financial Accounting Standards Board (FASB) Accounting Standards Codification (ASC) No. 606, “Revenue from Contracts with Customers”.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noted above, the Company enters into contracts to primarily sell and distribute products to healthcare providers or commercial partners, or are produced and sold under contract manufacturing arrangements with corporate customers which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from inventory physically held by direct sales representatives. For these types of products sales, the Company retains control until the product has been used or implanted, at which time revenue is recognized.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2" w:name="page13"/>
    <w:bookmarkEnd w:id="12"/>
    <w:p>
      <w:pPr>
        <w:jc w:val="both"/>
        <w:ind w:firstLine="648"/>
        <w:spacing w:after="0" w:line="263"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recognizes rent expense by the straight-line method over the lease term. Funds received from the lessor used to reimburse the Company for the cost of leasehold improvements are recorded as a deferred credit resulting from a lease incentive and are amortized over the lease term as a reduction of rent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15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The Company accounts for its stock-based compensation plans in accordance with FASB Accounting Standards Codification (“ASC”) 718, </w:t>
      </w:r>
      <w:r>
        <w:rPr>
          <w:rFonts w:ascii="Arial" w:cs="Arial" w:eastAsia="Arial" w:hAnsi="Arial"/>
          <w:sz w:val="16"/>
          <w:szCs w:val="16"/>
          <w:i w:val="1"/>
          <w:iCs w:val="1"/>
          <w:color w:val="auto"/>
        </w:rPr>
        <w:t>Accounting for Stock Compensation</w:t>
      </w:r>
      <w:r>
        <w:rPr>
          <w:rFonts w:ascii="Arial" w:cs="Arial" w:eastAsia="Arial" w:hAnsi="Arial"/>
          <w:sz w:val="16"/>
          <w:szCs w:val="16"/>
          <w:color w:val="auto"/>
        </w:rPr>
        <w:t>. FASB ASC 718 requires the measurement and recognition of compensation expense for all stock-based awards made</w:t>
      </w:r>
      <w:r>
        <w:rPr>
          <w:rFonts w:ascii="Arial" w:cs="Arial" w:eastAsia="Arial" w:hAnsi="Arial"/>
          <w:sz w:val="16"/>
          <w:szCs w:val="16"/>
          <w:i w:val="1"/>
          <w:iCs w:val="1"/>
          <w:color w:val="auto"/>
        </w:rPr>
        <w:t xml:space="preserve"> </w:t>
      </w:r>
      <w:r>
        <w:rPr>
          <w:rFonts w:ascii="Arial" w:cs="Arial" w:eastAsia="Arial" w:hAnsi="Arial"/>
          <w:sz w:val="16"/>
          <w:szCs w:val="16"/>
          <w:color w:val="auto"/>
        </w:rPr>
        <w:t>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costs, which include mainly salaries, outside services and supplies, are expensed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At March 31, 2021, the Company maintained $30.5 million in bank deposit accounts that are in excess of the $0.25 million insurance provided by the Federal Deposit Insurance Corporation in one federally insured financial institution. The Company has not experienced any losses in such accounts.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5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Comprehensive income (loss) comprises net income (loss) and other changes in equity that are excluded from net income (loss). For the three months ended March 31, 2021 and 2020, the Company’s net loss equaled its comprehensive loss and accordingly, no additional disclosure is presented.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Recently Issued Accounting Standards</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March 2020, the Financial Accounting Standards Board (“FASB”) issued ASU 2020-04, Reference Rate Reform (Topic 848), Facilitation of the Effects of Reference Rate Reform on Financial Reporting. The ASU provides temporary relief from some of the existing rules governing contract modifications when the modification is related to the replacement of the London Interbank Offered Rate (“LIBOR”) or other reference rates discontinued as a result of reference rate reform. The ASU specifically provides optional practical expedients for contract modification accounting related to contracts subject to ASC 310, Receivables, ASC 470, Debt, ASC 842, Leases, and ASC 815, Derivatives and Hedging. The ASU also establishes a general contract modification principle that entities can apply in other areas that may be affected by reference rate reform and certain elective hedge accounting expedients. For eligible contract modifications, the principle generally allows an entity to account for and present modifications as an event that does not require contract remeasurement at the modification date or reassessment of a previous accounting determination. That is, the modified contract is accounted for as a continuation of the existing contract. The standard was effective upon issuance on March 12, 2020, and the optional practical expedients can generally be applied to contract modifications made and hedging relationships entered into on or before December 31, 2022. Borrowings under the Company’s term loan facility and revolving line of credit bear interest based on LIBOR or an alternate rate. Provisions currently provide the Company with the ability to replace LIBOR with a different reference rate in the event that LIBOR ceases to exist.</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3" w:name="page14"/>
    <w:bookmarkEnd w:id="13"/>
    <w:p>
      <w:pPr>
        <w:jc w:val="both"/>
        <w:ind w:firstLine="648"/>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clarifies and simplifies certain aspects of the accounting for income taxes. The standard is effective for years beginning after December 15, 2020, and interim periods within annual periods beginning after December 15, 2020. The adoption of this standard on January 1, 2021 did not have a material impact on the Company’s consolidated financial statements.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November 2019, the FASB issued ASU 2019-10, “Financial Instruments - Credit Losses (Topic 326), Derivative and Hedging (Topic 815), and Leases (Topic 842), Effective Dates.” The FASB deferred the effective dates of the new credit losses standard for all entities except filers with the Securities and Exchange Commission (the “SEC”) that are not smaller reporting companies (SRCs) to fiscal years beginning after December 15, 2022, including interim periods within those fiscal years. The Board also aligned the effective dates of ASU 2017-04 on goodwill impairment with the new effective dates of the credit losses standard. The FASB deferred the effective dates of its new standards on hedging and leases for entities that are not public business entities (PBEs) (and for leases, for entities that are not non-for-profit (NFP) entities that have issues, or are conduit bond obligors for, certain securities; and are not employee benefit plans (EBPs) that file or furnish financial statements with or to the SEC) to fiscal years beginning after December 15, 2020, and interim periods in the following year. The FASB is also reconsidering its philosophy on establishing effective dates for major standards for private companies, NFPs, EBPs and smaller public companies. The board has developed a two-bucket approach that would give these entities more time to implement major new standards. The Company is evaluating this standard to determine if adoption will have a material impact on the Company’s consolidated financial statements.</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February 2016, the FASB issued ASU 2016-02, Leases. The standard requires that lessees recognize a right-of-use asset and a lease liability for virtually all of their leases (other than leases that meet the definition of a short-term lease). The liability will be equal to the present value of lease payments. The asset will be based on the liability subject to certain adjustments.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In November 2019, the FASB issued 2019-10 which extended the adoption of ASU 2016-02 for the Company to be effective periods ending after December 15, 2022. While early adoption is permitted, the company intends to adopt in accordance with the revised timeline provided by the FASB. The Company is evaluating this standard to determine if adoption will have a material impact on the Company’s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2015, the Company established the Aziyo Biologics, Inc. 2015 Stock Option/Stock Issuance Plan, as amended (the “2015 Plan”) which provided for the granting of incentive and non-qualified stock options to employees, directors and consultants of the Company. On October 7, 2020, in connection with the Company’s IPO, the Company adopted the Aziyo Biologics, Inc. 2020 Incentive Award Plan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In addition, the shares reserved for issuance under the 2020 Plan will also include shares reserved but not issued under the 2015 Plan as well as an annual increase as set forth in the 2020 Plan. As of March 31, 2021, the Company had 502,216 shares of Class A common stock available for issuance under the 2020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policy is to grant stock options at an exercise price equal to 100% of the market value of a share of Class A common stock at closing on the date of the grant. The Company’s stock options have contractual terms of seven to ten years, and vest over a four-year period from the date of grant.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stock option activity under the Company’s 2015 Plan and 2020 Plan for the three months ended March 31, 2021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Term</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5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9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917,437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8.1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Granted</w:t>
            </w:r>
          </w:p>
        </w:tc>
        <w:tc>
          <w:tcPr>
            <w:tcW w:w="2360" w:type="dxa"/>
            <w:vAlign w:val="bottom"/>
            <w:gridSpan w:val="3"/>
          </w:tcPr>
          <w:p>
            <w:pPr>
              <w:jc w:val="right"/>
              <w:ind w:right="20"/>
              <w:spacing w:after="0"/>
              <w:rPr>
                <w:sz w:val="20"/>
                <w:szCs w:val="20"/>
                <w:color w:val="auto"/>
              </w:rPr>
            </w:pPr>
            <w:r>
              <w:rPr>
                <w:rFonts w:ascii="Arial" w:cs="Arial" w:eastAsia="Arial" w:hAnsi="Arial"/>
                <w:sz w:val="18"/>
                <w:szCs w:val="18"/>
                <w:color w:val="auto"/>
              </w:rPr>
              <w:t>325,007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14.53</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5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540" w:type="dxa"/>
            <w:vAlign w:val="bottom"/>
            <w:gridSpan w:val="4"/>
          </w:tcPr>
          <w:p>
            <w:pPr>
              <w:jc w:val="right"/>
              <w:ind w:right="140"/>
              <w:spacing w:after="0"/>
              <w:rPr>
                <w:sz w:val="20"/>
                <w:szCs w:val="20"/>
                <w:color w:val="auto"/>
              </w:rPr>
            </w:pPr>
            <w:r>
              <w:rPr>
                <w:rFonts w:ascii="Arial" w:cs="Arial" w:eastAsia="Arial" w:hAnsi="Arial"/>
                <w:sz w:val="18"/>
                <w:szCs w:val="18"/>
                <w:color w:val="auto"/>
              </w:rPr>
              <w:t>(3,335)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15.89</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31, 2021</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1,238,548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13.90</w:t>
            </w:r>
          </w:p>
        </w:tc>
        <w:tc>
          <w:tcPr>
            <w:tcW w:w="1080" w:type="dxa"/>
            <w:vAlign w:val="bottom"/>
            <w:tcBorders>
              <w:top w:val="single" w:sz="8" w:color="CCEEFF"/>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Vested and exercisable, March 31, 2021</w:t>
            </w:r>
          </w:p>
        </w:tc>
        <w:tc>
          <w:tcPr>
            <w:tcW w:w="96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6.00</w:t>
            </w:r>
          </w:p>
        </w:tc>
        <w:tc>
          <w:tcPr>
            <w:tcW w:w="1080" w:type="dxa"/>
            <w:vAlign w:val="bottom"/>
            <w:vMerge w:val="restart"/>
          </w:tcPr>
          <w:p>
            <w:pPr>
              <w:jc w:val="right"/>
              <w:ind w:right="29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197,041</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2021, there was approximately $7.9 million of total unrecognized compensation expense related to unvested stock options. These costs are expected to be recognized over a weighted-average period of 3.6 years. The weighted average grant date fair value of options granted during the three months ended March 31, 2021 was $8.46.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Restricted stock units (“RSUs”) represent rights to receive common shares at a future date. There is no exercise price and no monetary payment is required for receipt of restricted stock units or the shares issued in settlement of the award.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RSU activity under the Company’s 2020 Plan for the three months ended March 31,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3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500" w:type="dxa"/>
            <w:vAlign w:val="bottom"/>
          </w:tcPr>
          <w:p>
            <w:pPr>
              <w:spacing w:after="0"/>
              <w:rPr>
                <w:sz w:val="18"/>
                <w:szCs w:val="18"/>
                <w:color w:val="auto"/>
              </w:rPr>
            </w:pPr>
          </w:p>
        </w:tc>
        <w:tc>
          <w:tcPr>
            <w:tcW w:w="2240" w:type="dxa"/>
            <w:vAlign w:val="bottom"/>
            <w:gridSpan w:val="3"/>
          </w:tcPr>
          <w:p>
            <w:pPr>
              <w:jc w:val="center"/>
              <w:ind w:left="1190"/>
              <w:spacing w:after="0"/>
              <w:rPr>
                <w:sz w:val="20"/>
                <w:szCs w:val="20"/>
                <w:color w:val="auto"/>
              </w:rPr>
            </w:pPr>
            <w:r>
              <w:rPr>
                <w:rFonts w:ascii="Arial" w:cs="Arial" w:eastAsia="Arial" w:hAnsi="Arial"/>
                <w:sz w:val="18"/>
                <w:szCs w:val="18"/>
                <w:b w:val="1"/>
                <w:bCs w:val="1"/>
                <w:color w:val="auto"/>
                <w:w w:val="93"/>
              </w:rPr>
              <w:t>Underlying</w:t>
            </w:r>
          </w:p>
        </w:tc>
        <w:tc>
          <w:tcPr>
            <w:tcW w:w="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w w:val="99"/>
              </w:rPr>
              <w:t>Grant Date</w:t>
            </w:r>
          </w:p>
        </w:tc>
      </w:tr>
      <w:tr>
        <w:trPr>
          <w:trHeight w:val="234"/>
        </w:trPr>
        <w:tc>
          <w:tcPr>
            <w:tcW w:w="3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RSUs</w:t>
            </w:r>
          </w:p>
        </w:tc>
        <w:tc>
          <w:tcPr>
            <w:tcW w:w="60" w:type="dxa"/>
            <w:vAlign w:val="bottom"/>
          </w:tcPr>
          <w:p>
            <w:pPr>
              <w:spacing w:after="0"/>
              <w:rPr>
                <w:sz w:val="20"/>
                <w:szCs w:val="20"/>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Fair Value</w:t>
            </w: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December 31, 2020</w:t>
            </w:r>
          </w:p>
        </w:tc>
        <w:tc>
          <w:tcPr>
            <w:tcW w:w="1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147,883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84,215</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14.53</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31, 2021</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232,098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16.10</w:t>
            </w:r>
          </w:p>
        </w:tc>
      </w:tr>
      <w:tr>
        <w:trPr>
          <w:trHeight w:val="20"/>
        </w:trPr>
        <w:tc>
          <w:tcPr>
            <w:tcW w:w="3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total fair value of the RSUs granted during the three months ended March 31, 2021 of $1.2 million was based on the fair market value of the Company's Class A common stock on the date of grant. The fair value at the time of the grant is amortized to expense on a straight-line basis over the vesting period of three to four years. As of March 31, 2021, $3.3 million of unrecognized compensation costs related to RSUs is expected to be recognized over a weighted average period of 3.0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Stock-based compensation expense recognized during the three months ended March 31, 2021 and 2020 comprised of the following (in thousands):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27736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2773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427736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456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4560"/>
        <w:spacing w:after="0"/>
        <w:rPr>
          <w:sz w:val="20"/>
          <w:szCs w:val="20"/>
          <w:color w:val="auto"/>
        </w:rPr>
      </w:pPr>
      <w:r>
        <w:rPr>
          <w:rFonts w:ascii="Arial" w:cs="Arial" w:eastAsia="Arial" w:hAnsi="Arial"/>
          <w:sz w:val="18"/>
          <w:szCs w:val="18"/>
          <w:b w:val="1"/>
          <w:bCs w:val="1"/>
          <w:color w:val="auto"/>
        </w:rPr>
        <w:t>Ending</w:t>
      </w:r>
    </w:p>
    <w:p>
      <w:pPr>
        <w:spacing w:after="0" w:line="9" w:lineRule="exact"/>
        <w:rPr>
          <w:sz w:val="20"/>
          <w:szCs w:val="20"/>
          <w:color w:val="auto"/>
        </w:rPr>
      </w:pPr>
    </w:p>
    <w:p>
      <w:pPr>
        <w:jc w:val="center"/>
        <w:ind w:right="45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1028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ind w:left="180"/>
        <w:spacing w:after="0"/>
        <w:tabs>
          <w:tab w:leader="none" w:pos="10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175"/>
        </w:trPr>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128</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360" w:space="720"/>
            <w:col w:w="6160"/>
          </w:cols>
          <w:pgMar w:left="320" w:top="341" w:right="339" w:bottom="1440" w:gutter="0" w:footer="0" w:header="0"/>
          <w:type w:val="continuous"/>
        </w:sectPr>
      </w:pPr>
    </w:p>
    <w:p>
      <w:pPr>
        <w:spacing w:after="0" w:line="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uses the Black-Scholes model to value its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of Directors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5" w:name="page16"/>
    <w:bookmarkEnd w:id="15"/>
    <w:p>
      <w:pPr>
        <w:ind w:left="660"/>
        <w:spacing w:after="0"/>
        <w:rPr>
          <w:sz w:val="20"/>
          <w:szCs w:val="20"/>
          <w:color w:val="auto"/>
        </w:rPr>
      </w:pPr>
      <w:r>
        <w:rPr>
          <w:rFonts w:ascii="Arial" w:cs="Arial" w:eastAsia="Arial" w:hAnsi="Arial"/>
          <w:sz w:val="16"/>
          <w:szCs w:val="16"/>
          <w:color w:val="auto"/>
        </w:rPr>
        <w:t>The following weighted-average assumptions were used to determine the fair value of options during the three months ended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9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3"/>
              </w:rPr>
              <w:t>Three Months Ending</w:t>
            </w:r>
          </w:p>
        </w:tc>
      </w:tr>
      <w:tr>
        <w:trPr>
          <w:trHeight w:val="234"/>
        </w:trPr>
        <w:tc>
          <w:tcPr>
            <w:tcW w:w="3120" w:type="dxa"/>
            <w:vAlign w:val="bottom"/>
          </w:tcPr>
          <w:p>
            <w:pPr>
              <w:spacing w:after="0"/>
              <w:rPr>
                <w:sz w:val="20"/>
                <w:szCs w:val="20"/>
                <w:color w:val="auto"/>
              </w:rPr>
            </w:pPr>
          </w:p>
        </w:tc>
        <w:tc>
          <w:tcPr>
            <w:tcW w:w="19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3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Dividend yield</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5"/>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0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0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708</w:t>
            </w:r>
          </w:p>
        </w:tc>
      </w:tr>
      <w:tr>
        <w:trPr>
          <w:trHeight w:val="229"/>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7,902</w:t>
            </w:r>
          </w:p>
        </w:tc>
        <w:tc>
          <w:tcPr>
            <w:tcW w:w="40" w:type="dxa"/>
            <w:vAlign w:val="bottom"/>
            <w:shd w:val="clear" w:color="auto" w:fill="CCEEFF"/>
          </w:tcPr>
          <w:p>
            <w:pPr>
              <w:spacing w:after="0"/>
              <w:rPr>
                <w:sz w:val="19"/>
                <w:szCs w:val="19"/>
                <w:color w:val="auto"/>
              </w:rPr>
            </w:pPr>
          </w:p>
        </w:tc>
      </w:tr>
      <w:tr>
        <w:trPr>
          <w:trHeight w:val="223"/>
        </w:trPr>
        <w:tc>
          <w:tcPr>
            <w:tcW w:w="30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31, 2017, in connection with the Company’s acquisition of CorMatrix described in Note 7, Aziyo entered into a $12 million term loan facility (the “Term Loan Facility”) and an $8 million asset-backed revolving line of credit (the “Revolving Credit Facility”), under which the Company’s borrowing capacity is limited by certain qualifying assets, with a financial institution (the “May 2017 Financing”). As of both March 31, 2021 and December 31, 2020, the Company’s borrowing capacity under its Revolving Credit Facility was $8.0 million. The Term Loan Facility was amended in December 2017, February 2018 and July 2019 (all amendments being considered modifications) such that an additional $1.5 million, $3 million, and $3.5 million, respectively were received by the Company bringing the total aggregate principal amount outstanding under the Term Loan Facility to $20 million. Borrowings under the Term Loan Facility, as amended, bear interest at a rate per annum equal to the sum of (x) the greater of (i) 2.25% and (ii) the applicable London Interbank Offered Rate for U.S. dollar deposits divided by 1.00 minus the maximum effective reserve percentage for Eurocurrency funding (“LIBOR”) plus (y) 7.25%. In January 2021, based on its IPO, the Company exercised its right to extend the interest-only payment period for the Term Loan Facility to August 1, 2021 and, accordingly, interest and equal principal payments will be made beginning August 1, 2020 through maturity in July 2024.</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agreement that governs the Term Loan Facility, as amended, requires certain mandatory prepayments,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of the Revolving Credit Facility is calculated. In addition, the Company is required to prepay all outstanding obligations under the Term Loan Facility upon the termination of all commitments under the Revolving Credit Facility and the repayment of the outstanding borrowings thereunder. No such mandatory prepayments were required during the three months ended March 31, 2021 and 2020.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Both the Term Loan Facility and the Revolving Credit Facility also permit optional prepayments.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agreement governing the Term Loan Facility also includes an exit fee of 6.5% of the aggregate principal amount and prepayment penalties of 2% to 4% if repaid prior to maturity. The weighted average interest rate on Term Loan Facility borrowings was 7.4% and 8.7%, respectively, for the three months ended March 31, 2021 and 2020. Borrowings under the Revolving Credit Facility bear interest at a rate per annum equal to the sum of (x) the greater of (i) 2.25% and (ii) LIBOR plus (y) 4.95%. The agreement governing the Revolving Credit Facility includes an unused line fee in an amount equal to 0.5% per annum of the unused borrowing capacity and prepayment penalties of 2% to 4% on the $8 million borrowing capacity if terminated by the Company prior to its expiration in July 2024. The weighted average interest rate on Revolving Credit Facility borrowings was 5.1% and 6.3%, respectively, for the three months ended March 31, 2021 and 2020. Both debt instruments contain events of default, including, most significantly, a failure to timely pay interest or principal, insolvency, or an action by the United States Food and Drug Administration or such other material adverse event impacting the operations of Aziyo. The debt instruments also include a financial covenant based on cumulative minimum net product revenue, as defined, restrictions as to payment of dividends, and are secured by all assets of the Company. As of March 31, 2021, Aziyo was in compliance with this financial covenant.</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jc w:val="both"/>
        <w:ind w:firstLine="648"/>
        <w:spacing w:after="0" w:line="272" w:lineRule="auto"/>
        <w:rPr>
          <w:sz w:val="20"/>
          <w:szCs w:val="20"/>
          <w:color w:val="auto"/>
        </w:rPr>
      </w:pPr>
      <w:r>
        <w:rPr>
          <w:rFonts w:ascii="Arial" w:cs="Arial" w:eastAsia="Arial" w:hAnsi="Arial"/>
          <w:sz w:val="17"/>
          <w:szCs w:val="17"/>
          <w:color w:val="auto"/>
        </w:rPr>
        <w:t>In conjunction with the May 2017 Financing and the amendment thereto, the Company issued to the financial institution warrants to purchase 405,000 shares of Aziyo’s Convertible Preferred Stock at $1.00 per share. The warrants were exercisable through the first to occur of (a) May 31, 2027 (in the case of warrants to purchase 360,000 shares of Convertible Preferred Stock) or December 14, 2027 (in the case of warrants to purchase 45,000 shares of Convertible Preferred Stock), and (b) the earlier of (i) a Sale Transaction (as defined in the Company’s Certificate of Incorporation) or (ii) an initial public offering of the Company’s common stock. All warrants were exercised in connection with the IPO noted in Note 1. Upon issuance, the Company valued such warrants at $286,267. The recognition of these warrants served to reduce the recorded value of the associated Term Loan Facility borrowings. This resulting debt discount will be recognized as interest expense through the maturity of the Term Loan Facility.</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2017, the Company restructured certain of its liabilities with a tissue supplier and entered into an unsecured promissory note totaling $2.1 million. The note bears interest at 5% and includes quarterly interest-only payments in 2017 and quarterly interest and principal payments from March 31, 2018 through August 31, 2020. The notes are subordinated in payment to the Term Loan Facility and Revolving Credit Facility and in both 2021 and 2020, the Company’s senior lender restricted payment of the amounts due.</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2020, Aziyo entered into a promissory note with Silicon Valley Bank that provided for the receipt by the Company of loan proceeds totaling approximately $3.0 million (the “PPP Loan”) pursuant to the Paycheck Protection Program under the Coronavirus Aid, Relief and Economic Security Act (the “CARES Act”). The PPP Loan contains events of default and other provisions customary for a loan of this type. If the PPP Loan amount, or any portion thereof, is forgiven pursuant to the Paycheck Protection Program under the CARES Act, the amount so forgiven shall be applied to both interest and principal. The Company is not yet able to determine the amount to be forgiven, and as such, has recorded the PPP loan as a liability until Aziyo is released as the primary obligor for all or a portion of the loan. The PPP Loan bears interest at a rate of 1.0% per annum with monthly principal and interest payments from March 2021 and ending on the maturity date of May 7, 2022; however such repayment commencement has been deferred by the U.S. Small Business Administration while they are evaluating the Company’s forgiveness application.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660"/>
              <w:spacing w:after="0"/>
              <w:rPr>
                <w:sz w:val="20"/>
                <w:szCs w:val="20"/>
                <w:color w:val="auto"/>
              </w:rPr>
            </w:pPr>
            <w:r>
              <w:rPr>
                <w:rFonts w:ascii="Arial" w:cs="Arial" w:eastAsia="Arial" w:hAnsi="Arial"/>
                <w:sz w:val="18"/>
                <w:szCs w:val="18"/>
                <w:color w:val="auto"/>
              </w:rPr>
              <w:t>Long-term debt was comprised of the following (in thousands):</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7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70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Term Loan Facility, net of unamortized discount and deferred financing costs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w:t>
            </w:r>
          </w:p>
        </w:tc>
        <w:tc>
          <w:tcPr>
            <w:tcW w:w="100" w:type="dxa"/>
            <w:vAlign w:val="bottom"/>
            <w:gridSpan w:val="2"/>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Note to Tissue Supplier</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18"/>
                <w:szCs w:val="18"/>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PPP loan</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2,995</w:t>
            </w:r>
          </w:p>
        </w:tc>
        <w:tc>
          <w:tcPr>
            <w:tcW w:w="80" w:type="dxa"/>
            <w:vAlign w:val="bottom"/>
            <w:shd w:val="clear" w:color="auto" w:fill="CCEEFF"/>
          </w:tcPr>
          <w:p>
            <w:pPr>
              <w:spacing w:after="0"/>
              <w:rPr>
                <w:sz w:val="19"/>
                <w:szCs w:val="19"/>
                <w:color w:val="auto"/>
              </w:rPr>
            </w:pPr>
          </w:p>
        </w:tc>
      </w:tr>
      <w:tr>
        <w:trPr>
          <w:trHeight w:val="210"/>
        </w:trPr>
        <w:tc>
          <w:tcPr>
            <w:tcW w:w="7000" w:type="dxa"/>
            <w:vAlign w:val="bottom"/>
          </w:tcPr>
          <w:p>
            <w:pPr>
              <w:ind w:left="18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24,121</w:t>
            </w:r>
          </w:p>
        </w:tc>
        <w:tc>
          <w:tcPr>
            <w:tcW w:w="100" w:type="dxa"/>
            <w:vAlign w:val="bottom"/>
            <w:gridSpan w:val="2"/>
          </w:tcPr>
          <w:p>
            <w:pPr>
              <w:spacing w:after="0"/>
              <w:rPr>
                <w:sz w:val="18"/>
                <w:szCs w:val="18"/>
                <w:color w:val="auto"/>
              </w:rPr>
            </w:pP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(6,310)</w:t>
            </w:r>
          </w:p>
        </w:tc>
      </w:tr>
      <w:tr>
        <w:trPr>
          <w:trHeight w:val="223"/>
        </w:trPr>
        <w:tc>
          <w:tcPr>
            <w:tcW w:w="70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all debt instruments, which is based on inputs considered to be Level 2 under the fair value hierarchy, approximates the respective carrying values as of March 31, 2021 and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Interest Obligation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Aziyo is currently developing that is designed to have anti-infective properties.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Furthermore, a $5.0 million payment will be due to Ligand if cumulative sales of these products exceed $100.0 million and a second $5.0 million will be due if cumulative sales exceed $300.0 million during the ten-year term of the agreement which expires on May 31, 2027.</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has recorded the present value of the estimated total future payments under the Revenue Interest Obligation as a long-term obligation, with the annual minimum payments serving to establish the short-term portion. Total future payments, including contingent milestone payments and estimated sales-based payments, are based on assumptions related to future sales of the acquired products. At each reporting period, the value of the Revenue Interest Obligation is re-measured based on current estimates of future payments, with changes to be recorded in the Consolidated Statements of Operations using the catch-up method. There was no change to estimated future payments during the three months ended March 31, 2021 and 2020 and thus, no re-measurement gain or loss was recognized. Interest expense related to the Revenue Interest Obligation for both the three months ended March 31, 2021 and 2020 was approximately $0.7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leases two production facilities and one administrative and research facility under non-cancelable operating lease arrangements that expire through November 2025. All leases contain renewal options and escalation clauses based upon increases in the lessors’ operating expenses and other charges.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records rent expense on a straight-line basis over the life of the lease and the difference between the average rent expense and cash payments for rent is recorded as deferred rent and is included in other current and long-term liabilities on the balance sheet. Rent expense for the three months ended March 31, 2021 and 2020 was approximately $0.3 million and $0.3 million, respectively, and is included as a component of either cost of goods sold or general and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Cook Biotech License and Supply Agreements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Aziyo has entered into a license agreement with Cook Biotech (“Cook”) for an exclusive, worldwide license to the porcine tissue for use in the Company’s Cardiac Patch and CanGaroo products, subject to certain co-exclusive rights retained by Cook. The term of such license is through the date of the last to expire of the licensed Cook patents, which is 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 supply agreement expires on the same date as the related license agreement. No royalties were paid to Cook during the three months ended March 31, 2021 or 2020.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2020 through 2026. Such license payments would accelerate if a change in control, as defined, occurs within Aziyo. The Company, in its sole discretion, can terminate the license agreement at any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March 31, 2021, the Company was not a party to, or aware of, any material legal matters or claims.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Note 9. Net Loss Per Share Attributable to Common Stockholders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2"/>
              </w:rPr>
              <w:t>Three Months Ended</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color w:val="auto"/>
              </w:rPr>
              <w:t>(In thousands, except share and per share data)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March, 31</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840" w:type="dxa"/>
            <w:vAlign w:val="bottom"/>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(5,067) $</w:t>
            </w:r>
          </w:p>
        </w:tc>
        <w:tc>
          <w:tcPr>
            <w:tcW w:w="760" w:type="dxa"/>
            <w:vAlign w:val="bottom"/>
          </w:tcPr>
          <w:p>
            <w:pPr>
              <w:jc w:val="right"/>
              <w:spacing w:after="0"/>
              <w:rPr>
                <w:sz w:val="20"/>
                <w:szCs w:val="20"/>
                <w:color w:val="auto"/>
              </w:rPr>
            </w:pPr>
            <w:r>
              <w:rPr>
                <w:rFonts w:ascii="Arial" w:cs="Arial" w:eastAsia="Arial" w:hAnsi="Arial"/>
                <w:sz w:val="18"/>
                <w:szCs w:val="18"/>
                <w:color w:val="auto"/>
              </w:rPr>
              <w:t>(4,560)</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840" w:type="dxa"/>
            <w:vAlign w:val="bottom"/>
          </w:tcPr>
          <w:p>
            <w:pPr>
              <w:ind w:left="180"/>
              <w:spacing w:after="0"/>
              <w:rPr>
                <w:sz w:val="20"/>
                <w:szCs w:val="20"/>
                <w:color w:val="auto"/>
              </w:rPr>
            </w:pPr>
            <w:r>
              <w:rPr>
                <w:rFonts w:ascii="Arial" w:cs="Arial" w:eastAsia="Arial" w:hAnsi="Arial"/>
                <w:sz w:val="18"/>
                <w:szCs w:val="18"/>
                <w:color w:val="auto"/>
              </w:rPr>
              <w:t>Weighted average number of common shares, basic and diluted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10,226,152</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648,277</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Net loss per common share attributable to common stockholders, basic and</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3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(0.50) $</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18</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4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9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5900" w:type="dxa"/>
            <w:vAlign w:val="bottom"/>
          </w:tcPr>
          <w:p>
            <w:pPr>
              <w:spacing w:after="0"/>
              <w:rPr>
                <w:sz w:val="20"/>
                <w:szCs w:val="20"/>
                <w:color w:val="auto"/>
              </w:rPr>
            </w:pPr>
          </w:p>
        </w:tc>
        <w:tc>
          <w:tcPr>
            <w:tcW w:w="196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3"/>
              </w:rPr>
              <w:t>March, 31</w:t>
            </w:r>
          </w:p>
        </w:tc>
      </w:tr>
      <w:tr>
        <w:trPr>
          <w:trHeight w:val="223"/>
        </w:trPr>
        <w:tc>
          <w:tcPr>
            <w:tcW w:w="59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3,224,674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1,238,548</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307,102</w:t>
            </w:r>
          </w:p>
        </w:tc>
        <w:tc>
          <w:tcPr>
            <w:tcW w:w="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232,098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Common stock warrants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7,656</w:t>
            </w:r>
          </w:p>
        </w:tc>
        <w:tc>
          <w:tcPr>
            <w:tcW w:w="40" w:type="dxa"/>
            <w:vAlign w:val="bottom"/>
          </w:tcPr>
          <w:p>
            <w:pPr>
              <w:spacing w:after="0"/>
              <w:rPr>
                <w:sz w:val="18"/>
                <w:szCs w:val="18"/>
                <w:color w:val="auto"/>
              </w:rPr>
            </w:pPr>
          </w:p>
        </w:tc>
      </w:tr>
      <w:tr>
        <w:trPr>
          <w:trHeight w:val="22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29,022</w:t>
            </w:r>
          </w:p>
        </w:tc>
        <w:tc>
          <w:tcPr>
            <w:tcW w:w="40" w:type="dxa"/>
            <w:vAlign w:val="bottom"/>
            <w:shd w:val="clear" w:color="auto" w:fill="CCEEFF"/>
          </w:tcPr>
          <w:p>
            <w:pPr>
              <w:spacing w:after="0"/>
              <w:rPr>
                <w:sz w:val="19"/>
                <w:szCs w:val="19"/>
                <w:color w:val="auto"/>
              </w:rPr>
            </w:pPr>
          </w:p>
        </w:tc>
      </w:tr>
      <w:tr>
        <w:trPr>
          <w:trHeight w:val="223"/>
        </w:trPr>
        <w:tc>
          <w:tcPr>
            <w:tcW w:w="5900" w:type="dxa"/>
            <w:vAlign w:val="bottom"/>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1,470,646</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3,568,454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IPO, the Company had a management services agreement with an affiliate of HighCape Partners through which strategic, operational and management consulting services are provided to the Company. During the three months ended March 31, 2020, the Company recorded expenses totaling $0.1 million. The management services agreement terminated upon completion of the IPO and all amounts due thereunder were paid as of December 31, 2020.</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part of the contribution of assets transacted from Tissue Banks International, now KeraLink International, to Aziyo upon formation of the Company, a provision existed which guaranteed a certain level of working capital, as defined, on the opening balance sheet of Aziyo. Such guarantee was largely finalized in 2016; however, an additional $0.4 million was received by the Company in connection with a settlement reached in 2018. Furthermore, as part of the 2018 settlement, it was agreed that when Keralink sells its Aziyo common shares for net proceeds greater than $550,000, Keralink is obligated to pay Aziyo $550,000 within three days of such cash being received. While terms exist in the settlement agreement that would require Keralink to pay such amount after Aziyo’s IPO, these terms include the registration of the Keralink’s Aziyo holdings with the SEC. As the registration of Keralink’s Aziyo shares has not occurred and is not solely under the control of Aziyo, no amounts have been recorded in the accompanying consolidated financial statements for this gain contingency.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operates as one segment, regenerative medicines. The segment is based on financial information that is utilized by the Company’s Chief Operating Decision Maker (“CODM”), who is the Company’s Chief Executive Officer, to assess performance and allocate resources.</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March 31, 2021 and 2020, the Company’s net sales disaggregated by the major sources – Core Products and Non-Core Products (see Note 1) - were as follows (in thousands):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Sales by product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Core Products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Non-Core Products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Net Sales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6275"/>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right="6235"/>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97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225"/>
        <w:spacing w:after="0"/>
        <w:tabs>
          <w:tab w:leader="none" w:pos="1125"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17145</wp:posOffset>
            </wp:positionV>
            <wp:extent cx="320611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146050"/>
                    </a:xfrm>
                    <a:prstGeom prst="rect">
                      <a:avLst/>
                    </a:prstGeom>
                    <a:noFill/>
                  </pic:spPr>
                </pic:pic>
              </a:graphicData>
            </a:graphic>
          </wp:anchor>
        </w:drawing>
      </w:r>
    </w:p>
    <w:p>
      <w:pPr>
        <w:spacing w:after="0" w:line="223" w:lineRule="exact"/>
        <w:rPr>
          <w:sz w:val="20"/>
          <w:szCs w:val="20"/>
          <w:color w:val="auto"/>
        </w:rPr>
      </w:pPr>
    </w:p>
    <w:p>
      <w:pPr>
        <w:ind w:left="305" w:hanging="305"/>
        <w:spacing w:after="0"/>
        <w:tabs>
          <w:tab w:leader="none" w:pos="305" w:val="left"/>
        </w:tabs>
        <w:numPr>
          <w:ilvl w:val="0"/>
          <w:numId w:val="5"/>
        </w:numPr>
        <w:rPr>
          <w:rFonts w:ascii="Arial" w:cs="Arial" w:eastAsia="Arial" w:hAnsi="Arial"/>
          <w:sz w:val="18"/>
          <w:szCs w:val="18"/>
          <w:color w:val="auto"/>
        </w:rPr>
      </w:pPr>
      <w:r>
        <w:rPr>
          <w:rFonts w:ascii="Arial" w:cs="Arial" w:eastAsia="Arial" w:hAnsi="Arial"/>
          <w:sz w:val="18"/>
          <w:szCs w:val="18"/>
          <w:color w:val="auto"/>
        </w:rPr>
        <w:t>10,664  $    8,236</w:t>
      </w:r>
    </w:p>
    <w:p>
      <w:pPr>
        <w:spacing w:after="0" w:line="23" w:lineRule="exact"/>
        <w:rPr>
          <w:rFonts w:ascii="Arial" w:cs="Arial" w:eastAsia="Arial" w:hAnsi="Arial"/>
          <w:sz w:val="18"/>
          <w:szCs w:val="18"/>
          <w:color w:val="auto"/>
        </w:rPr>
      </w:pPr>
    </w:p>
    <w:p>
      <w:pPr>
        <w:ind w:left="385"/>
        <w:spacing w:after="0"/>
        <w:rPr>
          <w:rFonts w:ascii="Arial" w:cs="Arial" w:eastAsia="Arial" w:hAnsi="Arial"/>
          <w:sz w:val="18"/>
          <w:szCs w:val="18"/>
          <w:color w:val="auto"/>
        </w:rPr>
      </w:pPr>
      <w:r>
        <w:rPr>
          <w:rFonts w:ascii="Arial" w:cs="Arial" w:eastAsia="Arial" w:hAnsi="Arial"/>
          <w:sz w:val="18"/>
          <w:szCs w:val="18"/>
          <w:color w:val="auto"/>
        </w:rPr>
        <w:t>2,220</w:t>
      </w:r>
      <w:r>
        <w:rPr>
          <w:rFonts w:ascii="Arial" w:cs="Arial" w:eastAsia="Arial" w:hAnsi="Arial"/>
          <w:sz w:val="15"/>
          <w:szCs w:val="15"/>
          <w:color w:val="auto"/>
        </w:rPr>
        <w:t>1,627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-2073910</wp:posOffset>
            </wp:positionH>
            <wp:positionV relativeFrom="paragraph">
              <wp:posOffset>-130810</wp:posOffset>
            </wp:positionV>
            <wp:extent cx="320611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154305"/>
                    </a:xfrm>
                    <a:prstGeom prst="rect">
                      <a:avLst/>
                    </a:prstGeom>
                    <a:noFill/>
                  </pic:spPr>
                </pic:pic>
              </a:graphicData>
            </a:graphic>
          </wp:anchor>
        </w:drawing>
      </w:r>
    </w:p>
    <w:p>
      <w:pPr>
        <w:spacing w:after="0" w:line="15" w:lineRule="exact"/>
        <w:rPr>
          <w:sz w:val="20"/>
          <w:szCs w:val="20"/>
          <w:color w:val="auto"/>
        </w:rPr>
      </w:pPr>
    </w:p>
    <w:p>
      <w:pPr>
        <w:ind w:left="5"/>
        <w:spacing w:after="0"/>
        <w:tabs>
          <w:tab w:leader="none" w:pos="285" w:val="left"/>
          <w:tab w:leader="none" w:pos="1305" w:val="left"/>
        </w:tabs>
        <w:rPr>
          <w:sz w:val="20"/>
          <w:szCs w:val="20"/>
          <w:color w:val="auto"/>
        </w:rPr>
      </w:pPr>
      <w:r>
        <w:rPr>
          <w:rFonts w:ascii="Arial" w:cs="Arial" w:eastAsia="Arial" w:hAnsi="Arial"/>
          <w:sz w:val="18"/>
          <w:szCs w:val="18"/>
          <w:u w:val="single" w:color="auto"/>
          <w:color w:val="auto"/>
        </w:rPr>
        <w:t>$</w:t>
        <w:tab/>
        <w:t>12,884  $</w:t>
      </w:r>
      <w:r>
        <w:rPr>
          <w:sz w:val="20"/>
          <w:szCs w:val="20"/>
          <w:color w:val="auto"/>
        </w:rPr>
        <w:tab/>
      </w:r>
      <w:r>
        <w:rPr>
          <w:rFonts w:ascii="Arial" w:cs="Arial" w:eastAsia="Arial" w:hAnsi="Arial"/>
          <w:sz w:val="15"/>
          <w:szCs w:val="15"/>
          <w:u w:val="single" w:color="auto"/>
          <w:color w:val="auto"/>
        </w:rPr>
        <w:t>9,863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972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55" w:space="720"/>
            <w:col w:w="7965"/>
          </w:cols>
          <w:pgMar w:left="320" w:top="908" w:right="339" w:bottom="1440" w:gutter="0" w:footer="0" w:header="0"/>
          <w:type w:val="continuous"/>
        </w:sect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 entitled “Forward-Looking Statements” of this Quarterly Report and in the section entitled “Risk Factor Summary” and in Part I, Item IA. “Risk Factors” of our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 commercial-stage regenerative medicine company focused on creating the next generation of differentiated products and improving outcomes in patients undergoing surgery, concentrating on patients receiving implantable medical devices. From our proprietary tissue processing platforms, we have developed a portfolio of advanced regenerative medical products that are designed to be very similar to natural biological material. Our proprietary products, which we refer to as our Core Products, are designed to address the implantable electronic device/cardiovascular, orthopedic/spinal repair and soft tissue reconstruction markets, which represented a combined $3 billion market opportunity in the United States in 2020. To expand our commercial reach, we have commercial relationships with major medical device companies, such as Boston Scientific and Medtronic, to promote and sell some of our Core Products. We believe our focus on our unique regenerative medicine platforms and our Core Products will ultimately maximize our probability of continued clinical and commercial success and will create a long-term competitive advantage for us.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estimate that, over the past two years, approximately two million patients per year in the United States are implanted with either medical devices, such as pacemakers, defibrillators, neuro-stimulators, spinal fusion and trauma fracture hardware or tissue expanders for breast reconstruction. This number is driven by advances in medical device technologies and an aging population with a growing incidence of comorbidities, including diabetes, obesity and cardiovascular and peripheral vascular diseases. These comorbidities can exacerbate various immune responses and other complications that can be triggered by a device implant.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Core Products are targeted to address unmet clinical needs with the goal of promoting healthy tissue formation and avoiding complications associated with medical device implants, such as scar-tissue formation, capsular contraction, erosion, migration, non-union of implants and implant rejection. We believe that we have developed the only biological envelope, which is covered by a number of patents that forms a natural, systemically vascularized pocket for holding implanted electronic devices. We have a proprietary processing technology for manufacturing bone regenerative products for use in orthopedic/spinal repair that preserves a cell’s ability to regenerate bone and decelerates cell apoptosis or programmed cell death. We have a patented cell removal technology that produces undamaged extracellular matrices for use in soft tissue reconstruction. In pre-clinical and clinical studies, our products have supported and, in some cases, accelerated tissue healing, and thereby improved patient outcomes.</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Non-Core Products are those fulfilled through tissue processing contracts at our Richmond, California facility. These contracts serve to utilize as much as possible of the starting human biological material from which we produce our orthopedic/spinal repair and soft tissue reconstruction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selected customers.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process all of our products at our two manufacturing facilities in Roswell, Georgia and Richmond, California, and stock inventory of raw materials, components and finished goods at those locations. We rely on a single or limited number of suppliers for certain raw materials and components. Except for the porcine tissue supplier of our raw materials for our CanGaroo and cardiovascular products, which is Cook Biotech, we generally have no long-term supply agreements with our suppliers, as we obtain supplies on a purchase order basis. Specifically, we acquire donated human tissue directly through tissue procurement firms engaged by us. We primarily ship our Core Products from our facilities directly to hospital customers.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inception, we have financed our operations primarily through private placements of our convertible preferred stock, amounts borrowed under our credit facilities, sales of our products and registered sales of our common stock. We have devoted the majority of our resources to acquisitions and integration, manufacturing and administrative costs, research and development, clinical activity and investing in our commercial infrastructure through our direct sales force and our commercial partners in order to expand our presence and to promote awareness and adoption of our products. As of March 31, 2021, we had 171 employees, of which 33 were direct sales representatives.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3" w:lineRule="auto"/>
        <w:rPr>
          <w:sz w:val="20"/>
          <w:szCs w:val="20"/>
          <w:color w:val="auto"/>
        </w:rPr>
      </w:pPr>
      <w:r>
        <w:rPr>
          <w:rFonts w:ascii="Arial" w:cs="Arial" w:eastAsia="Arial" w:hAnsi="Arial"/>
          <w:sz w:val="18"/>
          <w:szCs w:val="18"/>
          <w:color w:val="auto"/>
        </w:rPr>
        <w:t>We have incurred significant operating losses since our inception. We incurred a net loss of $21.8 million for the year ended December 31, 2020, and incurred net losses of $5.1 million and $4.6 million for the three months ended March 31, 2021 and 2020, respectively. Our accumulated deficit as of March 31, 2021 was $85.3 million.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seek to grow our sales organization and expand our product development and clinical and research activities. In addition, we expect to continue to incur additional costs and expenses associated with operating as a public company.</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we are unable to predict with any certainty whether we will be able to increase sales of our products or the timing or amount of ongoing expenditures we will be required to incur. Accordingly, even if we are able to increase sales of our products, we may not become profitable. As a result, we anticipate that we will need additional funding to support our continuing operations and pursue our growth strategy. Until such time as we are able to generate sufficient sales from our products, we expect to finance our operations through equity offerings, debt financings or other capital sources, which may include collaborations or license agreements with other companies or other strategic transactions. We may not be able to raise additional funds or enter into such other agreements or arrangements when needed on favorable terms or at all. If we fail to raise capital or enter into such agreements as and when needed, we will be unable to execute our growth strategy and may be forced to reduce or terminate some or all of our operations.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net proceeds from our initial public offering consummated on October 13, 2020 (“IPO”), together with our existing cash, our availability under our Revolving Credit Facility (as defined below) and cash generated from expected future sales, will be sufficient to fund our operating expenses and capital expenditure requirements through 2022. We have based this estimate on assumptions that may prove to be wrong, and we could exhaust our available capital resources sooner than we expect.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closely monitoring the impact of the COVID-19 pandemic on our business. In March 2020, the World Health Organization declared COVID-19 a global pandemic and recommended various containment and mitigation measures worldwide. Since that time, the number of procedures performed using our products has decreased significantly,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our products have been postponed or cancelled, which has negatively impacted sales of our products. These measures and challenges will likely continue for the duration of the pandemic, which is uncertain, and will likely continue to reduce our net sales and negatively impact our business, financial condition and results of operations while the pandemic continues.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numerous state and local jurisdictions, including those where our facilities are located, have imposed, and others in the future may impose or re-impose, “shelter-in-place” orders, quarantines, executive orders and similar government orders and restrictions for their residents to control the spread of COVID-19. Such orders or restrictions have resulted in reduced operations at our manufacturing facilities, travel restrictions and cancellation of events, and have restricted the ability of our sales representatives and those of our commercial partners and independent sales agents to attend procedures in which our products are used, among other effects, thereby significantly and negatively impacting our operations.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extent to which the COVID-19 pandemic impacts our future financial condition and results of operations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it is difficult to predict the degree to which this disease will ultimately have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recognize revenue on the sale of our Core Products and our Non-Core Products. With respect to our Core Products, CanGaroo and our cardiovascular products are sold to hospitals and other healthcare facilities primarily through our direct sales force, commercial partners or independent sales agents. Our orthopedic/spinal repair products are sold through commercial partners. Our soft tissue reconstruction product SimpliDerm is sold directly to hospitals and other healthcare facilities through direct sales and independent sales agents. Our contract manufacturing products are sold directly to corporate customers. Gross to net sales adjustments include sales returns and prompt payment and volume discounts.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recent years, we have incurred significant costs in the operation of our business. We expect our expenses to continue to increase for the foreseeable future as we grow our sales and marketing organization, expand our product development and clinical activities and increase our administrative infrastructure. As a result, we will need to generate significant net sales in order to achieve profitability. Below is a breakdown of our main expense categories and the related expenses incurred in each category: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Goods Sold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Sales and marketing expenses are primarily related to our direct sales force, consisting of salaries, commission compensation, fringe benefits, meals and other expenses. Auto and travel costs have also historically contributed to sales and marketing expenses, albeit to a lesser extent due to the COVID-19 pandemic.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and customer service expenses. We expect sales and marketing expenses to grow commensurate with sales increases, and to an even larger degree in the near-term due to a continued focus on growing our direct sales force and increasing marketing activities, particularly with respect to our CanGaroo and SimpliDerm product lines.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General and administrative (“G&amp;A”) expenses consist of compensation, consulting, legal, human resources, information technology, accounting, insurance and general business expenses. We expect our G&amp;A expenses to increase as a result of operating as a public company, especially as a result of hiring additional personnel and incurring greater director and officer insurance premiums, greater investor and public relations costs, and additional costs associated with accounting, legal, tax-related and other services associated with maintaining compliance with exchange listing and SEC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(“R&amp;D”) expenses consist primarily of salaries and fringe benefits, laboratory supplies, clinical trials and outside service costs. Our product development efforts primarily relate to new offerings in support of the orthopedic/spinal repair market and activities associated with the development of a CanGaroo Envelope with anti-infective properties. We also conduct clinical trials to validate the performance characteristics of our products and to capture patient data necessary to support our commercial efforts.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reclassifications have been made to prior year amounts to conform with current year financial statement presentation. The reclassifications relate to certain executive compensation costs and technical operations expenses at the Company’s Richmond, California plant. As follows are the total amounts reclassified for the three months ended March 31, 2020 along with the line items in the condensed consolidated statement of operations that were impacted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3140" w:type="dxa"/>
            <w:vAlign w:val="bottom"/>
            <w:gridSpan w:val="3"/>
          </w:tcPr>
          <w:p>
            <w:pPr>
              <w:jc w:val="center"/>
              <w:ind w:left="1510"/>
              <w:spacing w:after="0"/>
              <w:rPr>
                <w:sz w:val="20"/>
                <w:szCs w:val="20"/>
                <w:color w:val="auto"/>
              </w:rPr>
            </w:pPr>
            <w:r>
              <w:rPr>
                <w:rFonts w:ascii="Arial" w:cs="Arial" w:eastAsia="Arial" w:hAnsi="Arial"/>
                <w:sz w:val="18"/>
                <w:szCs w:val="18"/>
                <w:color w:val="auto"/>
                <w:w w:val="87"/>
              </w:rPr>
              <w:t>Increase (Decrease)</w:t>
            </w:r>
          </w:p>
        </w:tc>
        <w:tc>
          <w:tcPr>
            <w:tcW w:w="45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3"/>
              </w:rPr>
              <w:t>From Previously</w:t>
            </w:r>
          </w:p>
        </w:tc>
        <w:tc>
          <w:tcPr>
            <w:tcW w:w="450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1"/>
              </w:rPr>
              <w:t>Reported Amounts</w:t>
            </w:r>
          </w:p>
        </w:tc>
        <w:tc>
          <w:tcPr>
            <w:tcW w:w="4500" w:type="dxa"/>
            <w:vAlign w:val="bottom"/>
          </w:tcPr>
          <w:p>
            <w:pPr>
              <w:spacing w:after="0"/>
              <w:rPr>
                <w:sz w:val="20"/>
                <w:szCs w:val="20"/>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50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(575)</w:t>
            </w:r>
          </w:p>
        </w:tc>
        <w:tc>
          <w:tcPr>
            <w:tcW w:w="45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500" w:type="dxa"/>
            <w:vAlign w:val="bottom"/>
          </w:tcPr>
          <w:p>
            <w:pPr>
              <w:spacing w:after="0"/>
              <w:rPr>
                <w:sz w:val="18"/>
                <w:szCs w:val="18"/>
                <w:color w:val="auto"/>
              </w:rPr>
            </w:pPr>
          </w:p>
        </w:tc>
      </w:tr>
      <w:tr>
        <w:trPr>
          <w:trHeight w:val="648"/>
        </w:trPr>
        <w:tc>
          <w:tcPr>
            <w:tcW w:w="36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22</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These reclassifications did not impact our consolidated earnings or assets for the three months ended March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8"/>
                <w:szCs w:val="18"/>
                <w:b w:val="1"/>
                <w:bCs w:val="1"/>
                <w:color w:val="auto"/>
                <w:w w:val="95"/>
              </w:rPr>
              <w:t>Three Months Ended March 31,</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9"/>
              </w:rPr>
              <w:t>Change 2020 / 2021</w:t>
            </w: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 of Net</w:t>
            </w: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 of Net</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6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Sales</w:t>
            </w:r>
          </w:p>
        </w:tc>
        <w:tc>
          <w:tcPr>
            <w:tcW w:w="180" w:type="dxa"/>
            <w:vAlign w:val="bottom"/>
          </w:tcPr>
          <w:p>
            <w:pPr>
              <w:spacing w:after="0"/>
              <w:rPr>
                <w:sz w:val="20"/>
                <w:szCs w:val="20"/>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Sales</w:t>
            </w:r>
          </w:p>
        </w:tc>
        <w:tc>
          <w:tcPr>
            <w:tcW w:w="280" w:type="dxa"/>
            <w:vAlign w:val="bottom"/>
          </w:tcPr>
          <w:p>
            <w:pPr>
              <w:spacing w:after="0"/>
              <w:rPr>
                <w:sz w:val="20"/>
                <w:szCs w:val="20"/>
                <w:color w:val="auto"/>
              </w:rPr>
            </w:pPr>
          </w:p>
        </w:tc>
        <w:tc>
          <w:tcPr>
            <w:tcW w:w="8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6,555</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4,648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1,907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4,703</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4,482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45.4%</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3,605</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1,720</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1,309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1,355</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1,373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before provision of income taxes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
        </w:trPr>
        <w:tc>
          <w:tcPr>
            <w:tcW w:w="3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(5,067)</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(4,560)</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grew $3.0 million, or 30.6%, to $12.9 million in the three months ended March 31, 2021 compared to $9.9 million in the three months ended March 31, 2020. The increase in net sales was due to the significant growth of our Core Products net sales, which grew $2.4 million, and an increase of $0.6 million in net sales of our Non-Core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information for our Core Products and Non-Core Products is summarized as follows: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8"/>
                <w:szCs w:val="18"/>
                <w:b w:val="1"/>
                <w:bCs w:val="1"/>
                <w:color w:val="auto"/>
              </w:rPr>
              <w:t>Three Months Ended March 31,</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9"/>
              </w:rPr>
              <w:t>Change 2020 / 2021</w:t>
            </w: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 of Net</w:t>
            </w: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 of Net</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60" w:type="dxa"/>
            <w:vAlign w:val="bottom"/>
          </w:tcPr>
          <w:p>
            <w:pPr>
              <w:spacing w:after="0"/>
              <w:rPr>
                <w:sz w:val="20"/>
                <w:szCs w:val="20"/>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Sales</w:t>
            </w:r>
          </w:p>
        </w:tc>
        <w:tc>
          <w:tcPr>
            <w:tcW w:w="180" w:type="dxa"/>
            <w:vAlign w:val="bottom"/>
          </w:tcPr>
          <w:p>
            <w:pPr>
              <w:spacing w:after="0"/>
              <w:rPr>
                <w:sz w:val="20"/>
                <w:szCs w:val="20"/>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Sales</w:t>
            </w:r>
          </w:p>
        </w:tc>
        <w:tc>
          <w:tcPr>
            <w:tcW w:w="280" w:type="dxa"/>
            <w:vAlign w:val="bottom"/>
          </w:tcPr>
          <w:p>
            <w:pPr>
              <w:spacing w:after="0"/>
              <w:rPr>
                <w:sz w:val="20"/>
                <w:szCs w:val="20"/>
                <w:color w:val="auto"/>
              </w:rPr>
            </w:pPr>
          </w:p>
        </w:tc>
        <w:tc>
          <w:tcPr>
            <w:tcW w:w="8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Core Products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10,664</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8,236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2,428</w:t>
            </w:r>
          </w:p>
        </w:tc>
        <w:tc>
          <w:tcPr>
            <w:tcW w:w="11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Non-Core Products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2,220</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Net Sales</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gridSpan w:val="2"/>
            <w:vMerge w:val="continue"/>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12,884</w:t>
            </w:r>
          </w:p>
        </w:tc>
        <w:tc>
          <w:tcPr>
            <w:tcW w:w="14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9,863</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3,021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sales generated by our Core Products grew $2.4 million, or 29.5%, to $10.7 million in the three months ended March 31, 2021 compared to $8.2 million in the three months ended March 31, 2020. The Core Products net sales growth can be largely attributed to the volume growth of our orthopedic/spinal repair products and of our SimpliDerm product. The growth in our orthopedic/spinal repair products was primarily due to a broadening of our commercial relationships.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generated by our Non-Core Products increased $0.6 million, or 36.4%, to $2.2 million in the three months ended March 31, 2021 compared to $1.6 million in the three months ended March 31, 2020. The Non-Core Products net sales increase was primarily due to revenues associated with new contracts signed in the latter half of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Cost of goods sold was $6.6 million and $4.6 million in the three months ended March 31, 2021 and 2020, respectively, and included, in each case, $0.8 million of intangible asset amortization expenses. Gross margin in the three months ended March 31, 2021 was 49.1%, a decline from 52.9% in the corresponding prior year period. Gross margin, excluding intangible asset amortization, in the three months ended March 31, 2021 was 55.7%, a decline from 61.5% in the corresponding prior year period. Gross margin, excluding intangible asset amortization, is a non-GAAP financial measure. See "Non-GAAP Financial Measures” for a discussion regarding our use of gross margin, excluding intangible asset amortization, including its limitations and a reconciliation to the most directly comparable GAAP financial measure. The decline in gross margin was due mainly to product mix (higher Non-Core revenues in 2021 with lower gross margins) and product cost benefits in the first quarter of 2020 from significant SimpliDerm production in late 2019 and early 2020 to meet projected demand of the recently-launched product.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increased $0.2 million, or 4.9%, to $4.7 million in the three months ended March 31, 2021 compared to $4.5 million in the three months ended March 31, 2020. As a percentage of sales, sales and marketing expenses fell to 36.5% in the three months ended March 31, 2021 from 45.4% in the three months ended March 31, 2020. Along with declines in salesperson travel costs due to hospital restrictions caused by the COVID-19 pandemic, the decrease as a percentage of sales is the result of the growth in our orthopedic/spinal repair revenues during the first quarter of 2021, as such revenues have limited associated selling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G&amp;A expenses increased $1.0 million, or 38.3%, to $3.6 million in the year three months ended March 31, 2021 compared to $2.6 million in the three months ended March 31, 2020. As a percentage of net sales, G&amp;A expenses increased to 28.0% in the three months ended March 31, 2021 from 26.4% in the three months ended March 31, 2020. The dollar increase was primarily due to costs of being a public company, most notably increases in directors and officers insurance, legal fees and stock-based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R&amp;D expenses increased to $1.7 million incurred in the three months ended March 31, 2021 compared to $1.3 million in the three months ended March 31, 2020. We continue to focus our R&amp;D efforts on the development of our pipeline products with the growth in R&amp;D expenses in the three months ended March 31, 2021 largely attributable to the work performed on the development of our CanGaroo anti-infective product. With respect to the costs of the individual development projects, the majority of our costs are internal salaries and benefits as well as laboratory supplies. These costs represent shared resources amongst all projects.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was approximately $1.4 million in both the three months ended March 31, 2021 and 2020. These expenses relate primarily to the debt agreements noted below and the Revenue Interest Obligation defined and described in Note 7 to the condensed consolidated financial statements shown elsewhere in this Quarterly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Quarterly Report presents our gross margin, excluding intangible asset amortization, for the three months ended March 31, 2021 and 2020.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 operating performance, and we believe investors’ understanding of our operating performance is similarly enhanced by our presentation of this metric.</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use gross margin, excluding intangible asset amortization, as described above, this metric has limitations as an analytical tool and should not be considered in isolation or as a substitute for financial information presented in accordance with GAAP. In addition, other companies, including companies in our industry, may use other measures to evaluate their performance, which could reduce the usefulness of this non-GAAP financial measure as a tool for comparison.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4" w:name="page25"/>
    <w:bookmarkEnd w:id="24"/>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a reconciliation of our gross margin, excluding intangible asset amortization, for the three months ended March 31, 2021 and 2020 to the most directly comparable GAAP financial measure, which is our GAAP gross margin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800" w:type="dxa"/>
            <w:vAlign w:val="bottom"/>
            <w:gridSpan w:val="7"/>
          </w:tcPr>
          <w:p>
            <w:pPr>
              <w:ind w:left="130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Cost of Goods Sold</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6,555</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Intangible asset amortization expense</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excluding intangible asset amortization</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49.1%</w:t>
            </w:r>
          </w:p>
        </w:tc>
        <w:tc>
          <w:tcPr>
            <w:tcW w:w="1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52.9%</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margin, excluding intangible asset amortization</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we have experienced seasonality, with lower sales in our first quarter and higher sales in our fourth quarter,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March 31, 2021, we had cash and restricted cash of approximately $30.5 million and availability under our Revolving Credit Facility of $4.5 million. We have historically financed our operations primarily through private placements of our convertible preferred stock, amounts borrowed under our credit facilities and sales of our products and, more recently, with proceeds from our IPO. Our historical cash outflows have primarily been associated with acquisition and integration, manufacturing costs, general and marketing,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March 31, 2021, our accumulated deficit was $85.3 million.</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13, 2020, in connection with our IPO, we issued and sold 2,941,176 shares of common stock, consisting of 2,205,882 shares of Class A common stock and 735,294 shares of Class B common stock, at a price to the public of $17.00 per share, resulting in net proceeds to us of approximately $43.0 million, after deducting the underwriting discount of approximately $3.5 million and offering expenses of approximately $3.5 million.</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 As discussed below under “— Funding Requirements,” we may need additional funding to support our continuing operations and pursue our growth strategy.</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believe that the net proceeds from our IPO, together with our existing cash, availability under our Revolving Credit Facility and cash generated from expected future commercial sales will be sufficient to fund our operating expenses and capital expenditure requirements through 2022. We have based this estimate on assumptions that may prove to be wrong, and we could exhaust our available capital resources sooner than we expect.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94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4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8"/>
                <w:szCs w:val="18"/>
                <w:color w:val="auto"/>
              </w:rPr>
            </w:pPr>
          </w:p>
        </w:tc>
        <w:tc>
          <w:tcPr>
            <w:tcW w:w="4500" w:type="dxa"/>
            <w:vAlign w:val="bottom"/>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Net cash (used in) provided by:</w:t>
            </w:r>
          </w:p>
        </w:tc>
        <w:tc>
          <w:tcPr>
            <w:tcW w:w="220" w:type="dxa"/>
            <w:vAlign w:val="bottom"/>
          </w:tcPr>
          <w:p>
            <w:pPr>
              <w:spacing w:after="0"/>
              <w:rPr>
                <w:sz w:val="19"/>
                <w:szCs w:val="19"/>
                <w:color w:val="auto"/>
              </w:rPr>
            </w:pPr>
          </w:p>
        </w:tc>
        <w:tc>
          <w:tcPr>
            <w:tcW w:w="212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(in thousands)</w:t>
            </w:r>
          </w:p>
        </w:tc>
        <w:tc>
          <w:tcPr>
            <w:tcW w:w="4600" w:type="dxa"/>
            <w:vAlign w:val="bottom"/>
            <w:gridSpan w:val="2"/>
          </w:tcPr>
          <w:p>
            <w:pPr>
              <w:spacing w:after="0"/>
              <w:rPr>
                <w:sz w:val="19"/>
                <w:szCs w:val="19"/>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4500" w:type="dxa"/>
            <w:vAlign w:val="bottom"/>
          </w:tcPr>
          <w:p>
            <w:pPr>
              <w:spacing w:after="0"/>
              <w:rPr>
                <w:sz w:val="18"/>
                <w:szCs w:val="18"/>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500" w:type="dxa"/>
            <w:vAlign w:val="bottom"/>
          </w:tcPr>
          <w:p>
            <w:pPr>
              <w:spacing w:after="0"/>
              <w:rPr>
                <w:sz w:val="18"/>
                <w:szCs w:val="18"/>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4500" w:type="dxa"/>
            <w:vAlign w:val="bottom"/>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b w:val="1"/>
                <w:bCs w:val="1"/>
                <w:color w:val="auto"/>
              </w:rPr>
              <w:t>Net decrease in cash</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45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628"/>
        </w:trPr>
        <w:tc>
          <w:tcPr>
            <w:tcW w:w="4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25</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during the three months ended March 31, 2021 totaled $5.2 million, primarily driven by a $5.1 million net loss reduced by non-cash related items, including $0.9 million in depreciation on fixed assets and amortization of intangible assets, $0.7 million in interest expense recorded as additional revenue interest obligation and $0.7 million of expense related to stock-based compensation. Working capital changes of $2.4 million also contributed to the net cash used for operations.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during the three months ended March 31, 2020 totaled $3.0 million primarily driven by a $4.6 million net loss reduced by non-cash related items, including $1.0 million in depreciation on fixed assets and amortization of intangible assets as well as $0.7 million in interest expense recorded as additional revenue interest obligation. Working capital changes of $0.2 million also contributed to the net cash used for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during both the three months ended March 31, 2021 and 2020 totaled approximately $0.1 million and were, in each case, related to the purchase of property and equipment, the majority of which are used in the production activities of our Richmond, California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in the three months ended March 31, 2021 totaled $3.7 million, which includes $3.1 million of net repayments from the Revolving Credit Facility and $0.7 million in payments on the revenue interest obligation.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financing activities in the three months ended March 31, 2020 totaled $1.1 million, which was generated primarily from the $1.6 million of net borrowings from the Revolving Credit Facility and $0.4 of proceeds from the issuance of convertible preferred stock offset by approximately $0.6 million in payments on revenue interest obligation and $0.3 million of repayments on our long-term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15, 2019, Aziyo and Aziyo Med, LLC, which we refer to collectively as the Borrowers, entered into an amended and restated term loan credit agreement (the “Term Loan Credit Agreement”), with Midcap Financial Trust, as agent and lender, and the other lenders party thereto, which provided for the conversion of our existing term loans into borrowing under the Term Loan Credit Agreement (consisting of a $8.5 million tranche (Term Loan Tranche 1), a $5.0 million tranche (Term Loan Tranche 2) and a $3.0 million tranche (Term Loan Tranche 3)), and established a new $3.5 million tranche (Term Loan Tranche 4) and a new $5.0 million tranche (Term Loan Tranche 5). Commitments in respect of Term Loan Tranche 5 terminated without being borrowed on June 30, 2020. We refer to Term Loan Tranche 1, Term Loan Tranche 2, Term Loan Tranche 3 and Term Loan Tranche 4 collectively as the Term Loan Facility.</w:t>
      </w:r>
    </w:p>
    <w:p>
      <w:pPr>
        <w:spacing w:after="0" w:line="19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July 15, 2019, the Borrowers also entered into an amended and restated revolving credit agreement (the “Revolving Credit Agreement”), with Midcap Funding IV Trust, as agent and lender, and the other lenders party thereto, which provided for an $8.0 million asset-based revolving credit facility (the “Revolving Credit Facility”).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2021, we had $19.8 million of indebtedness outstanding under our Term Loan Facility (net of $0.2 million of unamortized discount and deferred financing costs) and $3.5 million outstanding under our Revolving Credit Facility (with $4.5 million of additional borrowings available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 and Fees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Borrowings under the Term Loan Facility accrue interest at a rate per year equal to the LIBOR Rate (as defined below) plus a margin of 7.25%. Borrowings under the Revolving Credit Facility bear interest at the per annum rate equal to the LIBOR Rate plus a margin of 4.95%. The LIBOR Rate is defined as the greater of 2.25% and the applicable London Interbank Offered Rate for U.S. dollar deposits divided by 1.00 minus the maximum effective reserve percentage for Eurocurrency funding.</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terms of the Revolving Credit Facility, we can borrow up to an amount (the “Borrowing Base”), equal to (1) 85.0% of the aggregate net amount at such time of the Eligible Accounts (as defined in the Revolving Credit Agreement), plus (2) 50% of the value of the Eligible Inventory (as defined in the Revolving Credit Agreement), valued at the lower of first-in-first-out cost or market cost, and after factoring in all rebates, discounts and other incentives or rewards associated with the purchase of the applicable Eligible Inventory (provided that the Borrowing Base will be automatically adjusted down, if necessary, such that the aggregate availability from Eligible Inventory shall never exceed the lesser of (x) an amount equal to 40.0% of the Borrowing Base and (y) $2,000,000). The amount available for borrowing under the Revolving Credit Facility may also be reduced by certain reserve amounts that may be established by the administrative agent from time to time</w:t>
      </w:r>
      <w:r>
        <w:rPr>
          <w:rFonts w:ascii="Arial" w:cs="Arial" w:eastAsia="Arial" w:hAnsi="Arial"/>
          <w:sz w:val="17"/>
          <w:szCs w:val="17"/>
          <w:i w:val="1"/>
          <w:iCs w:val="1"/>
          <w:color w:val="auto"/>
        </w:rPr>
        <w:t>.</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63" w:lineRule="auto"/>
        <w:rPr>
          <w:sz w:val="20"/>
          <w:szCs w:val="20"/>
          <w:color w:val="auto"/>
        </w:rPr>
      </w:pPr>
      <w:r>
        <w:rPr>
          <w:rFonts w:ascii="Arial" w:cs="Arial" w:eastAsia="Arial" w:hAnsi="Arial"/>
          <w:sz w:val="18"/>
          <w:szCs w:val="18"/>
          <w:color w:val="auto"/>
        </w:rPr>
        <w:t>In addition to paying interest on the principal amounts outstanding under the Revolving Credit Facility, we are required to pay an unused line fee to the lenders under the Revolving Credit Facility in respect of the unutilized commitments thereunder equal to 0.50% multiplied by the lesser of (1) the unutilized commitments and (2) $8,000,000 minus 40% of the Borrowing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Term Loan Credit Agreement requires the Borrowers to prepay amounts outstanding under the Term Loan Facility,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is calculated. In addition, the Borrowers are required to prepay all outstanding obligations under the Term Loan Facility upon the termination of all commitments under the Revolving Credit Facility and the repayment of the outstanding borrowings thereunder. No such mandatory prepayments were required during the three months ended March 31, 2021 and 2020.</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Revolving Credit Agreement requires the Borrowers to prepay amounts outstanding under the Revolving Credit Facility (or provide cash collateral up to the amount of any outstanding letter of credit obligations) to the extent outstanding borrowings under the Revolving Credit Facility exceed the lesser of (1) $8,000,000 and (2) the Borrowing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Prepayment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Borrowers may prepay the Term Loan Facility in whole but not in part at any time with at least 10 business days’ prior written notice, provided, however, that such prepayment shall be accompanied by a portion of the Exit Fee (as defined below) equal to the amount prepaid divided by the then-outstanding principal amount of borrowings outstanding under the Term Loan Facility, and a prepayment fee equal to the amount prepaid multiplied by, in the case of Term Loan Tranche 1, Term Loan Tranche 2 or Term Loan Tranche 3, 3.0% until July 15, 2021 and 2.0% thereafter, and, in the case of Term Loan Tranche 4, 4.0% until November 21, 2020, 3.0% until November 21, 2021 and 2.0% thereafter. The “Exit Fee” is defined as an amount equal to 6.50% multiplied by the aggregate principal amount of all borrowings advanced to the Borrowers under the Term Loan Facility.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Borrowers may prepay the Revolving Credit Facility in whole or in part at any time, provided, however, that any such partial prepayment shall be in an amount equal to $100,000 or a higher integral multiple of $25,000.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and Final Maturity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Borrowers are required to make interest-only payments prior to the principal amortization start date. The Term Loan Facility provided that if certain conditions were satisfied prior to December 1, 2020 (including our completion of a qualified initial public offering and no continuing default or event of default), the principal amortization start date may, upon our request, be extended to August 1, 2021 (from the previous principal amortization start date of February 1, 2021). Based on the completion of our IPO, in January 2021, we exercised this interest-only period extension right and as such, the principal payments in respect of borrowings under the Term Loan Facility will commence on August 1, 2021. Such principal payments shall be in an amount equal to the total principal amount of borrowings under the Term Loan Facility divided by 36, for a 36-month straight-line amortization of equal monthly principal payments. The remaining unpaid balance on the Term Loan Facility, together with all accrued and unpaid interest thereon and any remaining unpaid amount of the Exit Fee, is due and payable on July 15, 2024.</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Outstanding borrowings under the Revolving Credit Facility do not amortize and are due and payable on July 15,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obligations under the Term Loan Facility and the Revolving Credit Facility are, and any future guarantees of those obligations will be, secured by, among other things, and in each case subject to certain exceptions, a first priority lien on and security interest in, upon, and to all of each Borrower’s assets, including all goods, equipment, inventory, contract rights or rights to payment of money, leases, license agreements, franchise agreements, general intangibles, commercial tort claims, documents, instruments (including any promissory notes), chattel paper (whether tangible or electronic),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Covenants and Other Matters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Term Loan Credit Agreement and the Revolving Credit Agreement each contain a number of covenants that, among other things and subject to certain exceptions, restrict the ability of the Borrowers to:</w:t>
      </w:r>
    </w:p>
    <w:p>
      <w:pPr>
        <w:spacing w:after="0" w:line="170" w:lineRule="exact"/>
        <w:rPr>
          <w:sz w:val="20"/>
          <w:szCs w:val="20"/>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225"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225"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agreements restricting their subsidiaries’ ability to pay dividends;</w:t>
      </w:r>
    </w:p>
    <w:p>
      <w:pPr>
        <w:spacing w:after="0" w:line="225"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225"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225"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225"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225"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225"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 and</w:t>
      </w:r>
    </w:p>
    <w:p>
      <w:pPr>
        <w:spacing w:after="0" w:line="225" w:lineRule="exact"/>
        <w:rPr>
          <w:rFonts w:ascii="Arial" w:cs="Arial" w:eastAsia="Arial" w:hAnsi="Arial"/>
          <w:sz w:val="18"/>
          <w:szCs w:val="18"/>
          <w:color w:val="auto"/>
        </w:rPr>
      </w:pPr>
    </w:p>
    <w:p>
      <w:pPr>
        <w:ind w:left="1120" w:hanging="545"/>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Term Loan Credit Agreement and the Revolving Credit Agreement contain a financial covenant, which is tested on a monthly basis, and requires us to achieve a specified Minimum Net Product Revenue (as defined in the applicable credit agreement) for the preceding 12-month period.</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Term Loan Credit Agreement and the Revolving Credit Agreement each contains events of default, including, most significantly, a failure to timely pay interest or principal, insolvency, or an action by the FDA or such other material adverse event impacting the operations of Aziyo.</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Term Loan Credit Agreement and the Revolving Credit Agreement also contain certain customary representations and warranties and affirmative covenants, and certain reporting obligations. In addition, the lenders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2020, we entered into a promissory note with Silicon Valley Bank, or SVB, under the Paycheck Protection Program of the CARES Act pursuant to which SVB agreed to make a loan to us in the amount of approximately $3.0 million. The PPP Loan bears interest at a rate of 1.0% per annum with monthly principal and interest payments beginning in March 2021 and ending on the maturity date of May 7, 2022; however such repayment commencement has been deferred by the U.S. Small Business Administration while they are evaluating the Company’s forgiveness application. The PPP Loan is unsecured and guaranteed by the Small Business Administration, or the SBA.</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terms of the PPP Loan, the principal amount of the loan may be forgiven to the extent it is used for qualifying expenses as described in the CARES Act and we otherwise request forgiveness in accordance with the terms of the PPP Loan and the requirements of the SBA. The agreement governing the PPP Loan also provides that if we knowingly use the proceeds of such loan for unauthorized purposes, we may be subject to liability, including charges of fraud. We will be required to repay any principal amount of the PPP Loan that is not forgiven, together with accrued and unpaid interest, in equal monthly installments prior to the maturity date of the loan. In addition, we are permitted to prepay the PPP Loan at any time without penalty or premium. SVB will be permitted to accelerate all outstanding borrowings and other obligations and exercise other specified remedies upon the occurrence of certain events of default, which include, among other things, payment defaults, breaches of representations and warranties, covenant defaults, certain cross-defaults and cross-accelerations to other indebtedness, certain events of bankruptcy and insolvency, certain judgments and changes to our ownership or business structure.</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2020 Bridge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2020, we entered into a bridge note purchase agreement pursuant to which we issued approximately $2.0 million in aggregate principal amount of convertible promissory notes (the “2020 Bridge Notes”), to HighCape Partners QP, HighCape Partners and Deerfield. The 2020 Bridge Notes had a maturity date of April 1, 2025 and accrued interest at a rate of 5.0% per year. The aggregate principal amount of, and accrued interest on, the 2020 Bridge Notes automatically converted into an aggregate of 2,039,427 shares of our Series A convertible preferred stock upon the closing of our Series A convertible preferred stock financing in September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grow our sales organization and expand our product development and clinical and research activities. In addition, we expect to incur additional costs and expenses associated with operating as a public company.</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Based on our current and planned business operations, we believe that the net proceeds from the IPO, together with our existing cash, our availability under our Revolving Credit Facility, and cash generated from expected future sales will be sufficient to fund our operating expenses and capital expenditure requirements through 2022. We have based this estimate on assumptions that may prove to be wrong, and we could exhaust our available capital resources sooner than we expect. If our available cash balances and cash flow from operations, if any, are insufficient to satisfy our liquidity requirements, we may seek to raise additional capital through equity offerings, debt financings, collaborations or licensing arrangements.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7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studies and clinical trials;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and timing of commercializing new products or technologies;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 of filing and prosecuting patent applications and maintaining, defending and enforcing our patent or other intellectual property rights;</w:t>
      </w:r>
    </w:p>
    <w:p>
      <w:pPr>
        <w:spacing w:after="0" w:line="10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9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effects on any of the above of the current COVID-19 pandemic or any other pandemic, epidemic or outbreak of infectious disease.</w:t>
      </w:r>
    </w:p>
    <w:p>
      <w:pPr>
        <w:spacing w:after="0" w:line="2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Annual Report, Part I, Item 1A. “Risk Factors — Risks Related to our Business — Our future capital needs are uncertain and we may need to raise funds in the future, and such funds may not be available on acceptable terms or at all.”</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we did not have any off-balance sheet arrangements, as defined under SEC Regulation S-K Item 303(a)(4)(ii).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 applicable as permitted based on our classification as a “smaller reporting company” as defined in Rule 12b-2 of the Exchange Act.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Refer to Note 2, “Summary of Significant Accounting Policies,” to our condensed consolidated financial statements included elsewhere in this Quarterly Report for information regarding our critical accounting estimates and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 to Note 3, “Recently Issued Accounting Standards,” to our condensed consolidated financial statements appearing elsewhere in this Quarterly Report for information regarding recently issued accounting pronouncements.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exposure to market risk relates to changes in interest rates. Borrowings under our Term Loan Facility and Revolving Credit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on our variable rate indebtedness outstanding at March 31, 2021 would not have had a material effect on our financial statements. We do not currently engage in hedging transactions to manage our exposure to interest rate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2021, our cash and cash equivalents were maintained with one financial institution in the United States. While our deposit accounts are insured up to the legal limit, the balances we maintain may, at times, exceed this insured limit. We believe this financial institution has sufficient assets and liquidity to conduct its operations in the ordinary course of business with little or no credit risk to us.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accounts receivable relate to sales to customers. To minimize credit risk, ongoing credit evaluations of all customers’ financial condition are performed. One customer represented 10% or more of our accounts receivable as of March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three months ended March 31, 2021 and 2020.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are $1.07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management concluded that the Company’s disclosure controls and procedures were effective as of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March 31, 2021 that have materially affected, or are reasonably likely to materially affect, our internal control over financial reporting.</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financial condition and operating results can be affected by a number of factors, whether current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For a discussion of these potential risks and uncertainties, see Part I, Item 1A. “Risk Factors” of our Annual Report. Any of these factors, in whole or in part, could materially and adversely affect our business, financial condition, operating results and the price of our common stock. There have been no material changes in our risk factors to those included in our Annual Report.</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4820" w:type="dxa"/>
            <w:vAlign w:val="bottom"/>
            <w:gridSpan w:val="13"/>
          </w:tcPr>
          <w:p>
            <w:pPr>
              <w:ind w:left="38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820" w:type="dxa"/>
            <w:vAlign w:val="bottom"/>
            <w:gridSpan w:val="13"/>
          </w:tcPr>
          <w:p>
            <w:pPr>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4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20" w:type="dxa"/>
            <w:vAlign w:val="bottom"/>
            <w:tcBorders>
              <w:bottom w:val="single" w:sz="8" w:color="0000EE"/>
            </w:tcBorders>
            <w:gridSpan w:val="8"/>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Restated Certificate of Incorporation of Aziyo Biologics, Inc.</w:t>
              </w:r>
            </w:hyperlink>
          </w:p>
        </w:tc>
        <w:tc>
          <w:tcPr>
            <w:tcW w:w="400" w:type="dxa"/>
            <w:vAlign w:val="bottom"/>
            <w:gridSpan w:val="5"/>
          </w:tcPr>
          <w:p>
            <w:pPr>
              <w:spacing w:after="0"/>
              <w:rPr>
                <w:sz w:val="24"/>
                <w:szCs w:val="24"/>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4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20" w:type="dxa"/>
            <w:vAlign w:val="bottom"/>
            <w:gridSpan w:val="13"/>
          </w:tcPr>
          <w:p>
            <w:pPr>
              <w:spacing w:after="0"/>
              <w:rPr>
                <w:rFonts w:ascii="Arial" w:cs="Arial" w:eastAsia="Arial" w:hAnsi="Arial"/>
                <w:sz w:val="18"/>
                <w:szCs w:val="18"/>
                <w:color w:val="0000EE"/>
              </w:rPr>
            </w:pPr>
            <w:hyperlink r:id="rId49">
              <w:r>
                <w:rPr>
                  <w:rFonts w:ascii="Arial" w:cs="Arial" w:eastAsia="Arial" w:hAnsi="Arial"/>
                  <w:sz w:val="18"/>
                  <w:szCs w:val="18"/>
                  <w:color w:val="0000EE"/>
                </w:rPr>
                <w:t>Amended and Restated Bylaws of Aziyo Biologics, Inc.</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5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20" w:type="dxa"/>
            <w:vAlign w:val="bottom"/>
            <w:gridSpan w:val="13"/>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Second Amended and Restated Investor Rights Agreement, dated</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as of September 14, 2020, among the Registrant and the investors</w:t>
              </w:r>
            </w:hyperlink>
          </w:p>
        </w:tc>
        <w:tc>
          <w:tcPr>
            <w:tcW w:w="10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50">
              <w:r>
                <w:rPr>
                  <w:rFonts w:ascii="Arial" w:cs="Arial" w:eastAsia="Arial" w:hAnsi="Arial"/>
                  <w:sz w:val="18"/>
                  <w:szCs w:val="18"/>
                  <w:color w:val="0000EE"/>
                  <w:w w:val="86"/>
                </w:rPr>
                <w:t>named therein</w:t>
              </w:r>
            </w:hyperlink>
          </w:p>
        </w:tc>
        <w:tc>
          <w:tcPr>
            <w:tcW w:w="3800" w:type="dxa"/>
            <w:vAlign w:val="bottom"/>
            <w:gridSpan w:val="11"/>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5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00" w:type="dxa"/>
            <w:vAlign w:val="bottom"/>
            <w:tcBorders>
              <w:bottom w:val="single" w:sz="8" w:color="0000EE"/>
            </w:tcBorders>
            <w:gridSpan w:val="7"/>
          </w:tcPr>
          <w:p>
            <w:pPr>
              <w:spacing w:after="0"/>
              <w:rPr>
                <w:rFonts w:ascii="Arial" w:cs="Arial" w:eastAsia="Arial" w:hAnsi="Arial"/>
                <w:sz w:val="18"/>
                <w:szCs w:val="18"/>
                <w:color w:val="0000EE"/>
                <w:w w:val="89"/>
              </w:rPr>
            </w:pPr>
            <w:hyperlink r:id="rId51">
              <w:r>
                <w:rPr>
                  <w:rFonts w:ascii="Arial" w:cs="Arial" w:eastAsia="Arial" w:hAnsi="Arial"/>
                  <w:sz w:val="18"/>
                  <w:szCs w:val="18"/>
                  <w:color w:val="0000EE"/>
                  <w:w w:val="89"/>
                </w:rPr>
                <w:t>Specimen stock certificate evidencing the shares of Class A</w:t>
              </w:r>
            </w:hyperlink>
          </w:p>
        </w:tc>
        <w:tc>
          <w:tcPr>
            <w:tcW w:w="520" w:type="dxa"/>
            <w:vAlign w:val="bottom"/>
            <w:gridSpan w:val="6"/>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20" w:type="dxa"/>
            <w:vAlign w:val="bottom"/>
            <w:gridSpan w:val="13"/>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common stock</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5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80" w:type="dxa"/>
            <w:vAlign w:val="bottom"/>
            <w:tcBorders>
              <w:bottom w:val="single" w:sz="8" w:color="0000EE"/>
            </w:tcBorders>
            <w:gridSpan w:val="6"/>
          </w:tcPr>
          <w:p>
            <w:pP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Specimen stock certificate evidencing the shares of Class B</w:t>
              </w:r>
            </w:hyperlink>
          </w:p>
        </w:tc>
        <w:tc>
          <w:tcPr>
            <w:tcW w:w="540" w:type="dxa"/>
            <w:vAlign w:val="bottom"/>
            <w:gridSpan w:val="7"/>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20" w:type="dxa"/>
            <w:vAlign w:val="bottom"/>
            <w:gridSpan w:val="13"/>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common stock</w:t>
              </w:r>
            </w:hyperlink>
          </w:p>
        </w:tc>
      </w:tr>
      <w:tr>
        <w:trPr>
          <w:trHeight w:val="20"/>
        </w:trPr>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4820" w:type="dxa"/>
            <w:vAlign w:val="bottom"/>
            <w:gridSpan w:val="1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Principal Executive Officer Pursuant to Rules 13a-</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20" w:type="dxa"/>
            <w:vAlign w:val="bottom"/>
            <w:gridSpan w:val="13"/>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14(a) and 15d-14(a) under the Securities Exchange Act of 1934, as</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4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Adopted Pursuant to Section 302 of the Sarbanes-Oxley Act of</w:t>
              </w:r>
            </w:hyperlink>
          </w:p>
        </w:tc>
        <w:tc>
          <w:tcPr>
            <w:tcW w:w="8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5">
              <w:r>
                <w:rPr>
                  <w:rFonts w:ascii="Arial" w:cs="Arial" w:eastAsia="Arial" w:hAnsi="Arial"/>
                  <w:sz w:val="18"/>
                  <w:szCs w:val="18"/>
                  <w:color w:val="0000EE"/>
                  <w:w w:val="84"/>
                </w:rPr>
                <w:t>2002.</w:t>
              </w:r>
            </w:hyperlink>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820" w:type="dxa"/>
            <w:vAlign w:val="bottom"/>
            <w:gridSpan w:val="13"/>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of Principal Financial Officer Pursuant to Rules 13a-</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20" w:type="dxa"/>
            <w:vAlign w:val="bottom"/>
            <w:gridSpan w:val="13"/>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14(a) and 15d-14(a) under the Securities Exchange Act of 1934, as</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4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Adopted Pursuant to Section 302 of the Sarbanes-Oxley Act of</w:t>
              </w:r>
            </w:hyperlink>
          </w:p>
        </w:tc>
        <w:tc>
          <w:tcPr>
            <w:tcW w:w="8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2002.</w:t>
              </w:r>
            </w:hyperlink>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4820" w:type="dxa"/>
            <w:vAlign w:val="bottom"/>
            <w:gridSpan w:val="13"/>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Certification of Principal Executive Officer Pursuant to 18 U.S.C.</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Section 1350, as Adopted Pursuant to Section 906 of the Sarbanes-</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20" w:type="dxa"/>
            <w:vAlign w:val="bottom"/>
            <w:gridSpan w:val="1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Oxley Act of 2002.</w:t>
              </w:r>
            </w:hyperlink>
          </w:p>
        </w:tc>
      </w:tr>
      <w:tr>
        <w:trPr>
          <w:trHeight w:val="20"/>
        </w:trPr>
        <w:tc>
          <w:tcPr>
            <w:tcW w:w="920" w:type="dxa"/>
            <w:vAlign w:val="bottom"/>
            <w:gridSpan w:val="3"/>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12"/>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4820" w:type="dxa"/>
            <w:vAlign w:val="bottom"/>
            <w:gridSpan w:val="13"/>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Certification of Principal Financial Officer Pursuant to 18 U.S.C.</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80" w:type="dxa"/>
            <w:vAlign w:val="bottom"/>
            <w:gridSpan w:val="10"/>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Section 1350, as Adopted Pursuant to Section 906 of the Sarbanes-</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20" w:type="dxa"/>
            <w:vAlign w:val="bottom"/>
            <w:gridSpan w:val="1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Oxley Act of 2002.</w:t>
              </w:r>
            </w:hyperlink>
          </w:p>
        </w:tc>
      </w:tr>
      <w:tr>
        <w:trPr>
          <w:trHeight w:val="20"/>
        </w:trPr>
        <w:tc>
          <w:tcPr>
            <w:tcW w:w="920" w:type="dxa"/>
            <w:vAlign w:val="bottom"/>
            <w:gridSpan w:val="3"/>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r>
      <w:tr>
        <w:trPr>
          <w:trHeight w:val="453"/>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82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82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8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8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8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820" w:type="dxa"/>
            <w:vAlign w:val="bottom"/>
            <w:gridSpan w:val="13"/>
          </w:tcPr>
          <w:p>
            <w:pPr>
              <w:spacing w:after="0"/>
              <w:rPr>
                <w:sz w:val="20"/>
                <w:szCs w:val="20"/>
                <w:color w:val="auto"/>
              </w:rPr>
            </w:pPr>
            <w:r>
              <w:rPr>
                <w:rFonts w:ascii="Arial" w:cs="Arial" w:eastAsia="Arial" w:hAnsi="Arial"/>
                <w:sz w:val="18"/>
                <w:szCs w:val="18"/>
                <w:color w:val="auto"/>
                <w:w w:val="97"/>
              </w:rPr>
              <w:t>XBRL Taxonomy Extension Presentation Linkbase Document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216"/>
        </w:trPr>
        <w:tc>
          <w:tcPr>
            <w:tcW w:w="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Form</w:t>
            </w:r>
          </w:p>
        </w:tc>
        <w:tc>
          <w:tcPr>
            <w:tcW w:w="5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File No.</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180" w:type="dxa"/>
            <w:vAlign w:val="bottom"/>
            <w:gridSpan w:val="3"/>
          </w:tcPr>
          <w:p>
            <w:pPr>
              <w:ind w:left="140"/>
              <w:spacing w:after="0"/>
              <w:rPr>
                <w:sz w:val="20"/>
                <w:szCs w:val="20"/>
                <w:color w:val="auto"/>
              </w:rPr>
            </w:pPr>
            <w:r>
              <w:rPr>
                <w:rFonts w:ascii="Arial" w:cs="Arial" w:eastAsia="Arial" w:hAnsi="Arial"/>
                <w:sz w:val="18"/>
                <w:szCs w:val="18"/>
                <w:b w:val="1"/>
                <w:bCs w:val="1"/>
                <w:color w:val="auto"/>
              </w:rPr>
              <w:t>Filing Date</w:t>
            </w:r>
          </w:p>
        </w:tc>
        <w:tc>
          <w:tcPr>
            <w:tcW w:w="96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Furnished</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40" w:type="dxa"/>
            <w:vAlign w:val="bottom"/>
            <w:vMerge w:val="restart"/>
          </w:tcPr>
          <w:p>
            <w:pPr>
              <w:jc w:val="cente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8-K</w:t>
              </w:r>
            </w:hyperlink>
          </w:p>
        </w:tc>
        <w:tc>
          <w:tcPr>
            <w:tcW w:w="80" w:type="dxa"/>
            <w:vAlign w:val="bottom"/>
            <w:vMerge w:val="restart"/>
          </w:tcPr>
          <w:p>
            <w:pPr>
              <w:spacing w:after="0"/>
              <w:rPr>
                <w:sz w:val="20"/>
                <w:szCs w:val="20"/>
                <w:color w:val="auto"/>
              </w:rPr>
            </w:pPr>
          </w:p>
        </w:tc>
        <w:tc>
          <w:tcPr>
            <w:tcW w:w="520" w:type="dxa"/>
            <w:vAlign w:val="bottom"/>
            <w:vMerge w:val="restart"/>
          </w:tcPr>
          <w:p>
            <w:pPr>
              <w:spacing w:after="0"/>
              <w:rPr>
                <w:sz w:val="20"/>
                <w:szCs w:val="20"/>
                <w:color w:val="auto"/>
              </w:rPr>
            </w:pPr>
          </w:p>
        </w:tc>
        <w:tc>
          <w:tcPr>
            <w:tcW w:w="780" w:type="dxa"/>
            <w:vAlign w:val="bottom"/>
            <w:vMerge w:val="restart"/>
          </w:tcPr>
          <w:p>
            <w:pPr>
              <w:jc w:val="cente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001-39577</w:t>
              </w:r>
            </w:hyperlink>
          </w:p>
        </w:tc>
        <w:tc>
          <w:tcPr>
            <w:tcW w:w="220" w:type="dxa"/>
            <w:vAlign w:val="bottom"/>
          </w:tcPr>
          <w:p>
            <w:pPr>
              <w:spacing w:after="0"/>
              <w:rPr>
                <w:sz w:val="20"/>
                <w:szCs w:val="20"/>
                <w:color w:val="auto"/>
              </w:rPr>
            </w:pPr>
          </w:p>
        </w:tc>
        <w:tc>
          <w:tcPr>
            <w:tcW w:w="900" w:type="dxa"/>
            <w:vAlign w:val="bottom"/>
            <w:gridSpan w:val="3"/>
            <w:vMerge w:val="restart"/>
          </w:tcPr>
          <w:p>
            <w:pPr>
              <w:jc w:val="center"/>
              <w:spacing w:after="0"/>
              <w:rPr>
                <w:rFonts w:ascii="Arial" w:cs="Arial" w:eastAsia="Arial" w:hAnsi="Arial"/>
                <w:sz w:val="18"/>
                <w:szCs w:val="18"/>
                <w:color w:val="0000EE"/>
                <w:w w:val="87"/>
              </w:rPr>
            </w:pPr>
            <w:hyperlink r:id="rId4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180" w:type="dxa"/>
            <w:vAlign w:val="bottom"/>
            <w:gridSpan w:val="3"/>
            <w:vMerge w:val="restart"/>
          </w:tcPr>
          <w:p>
            <w:pPr>
              <w:ind w:left="160"/>
              <w:spacing w:after="0"/>
              <w:rPr>
                <w:rFonts w:ascii="Arial" w:cs="Arial" w:eastAsia="Arial" w:hAnsi="Arial"/>
                <w:sz w:val="18"/>
                <w:szCs w:val="18"/>
                <w:color w:val="0000EE"/>
              </w:rPr>
            </w:pPr>
            <w:hyperlink r:id="rId48">
              <w:r>
                <w:rPr>
                  <w:rFonts w:ascii="Arial" w:cs="Arial" w:eastAsia="Arial" w:hAnsi="Arial"/>
                  <w:sz w:val="18"/>
                  <w:szCs w:val="18"/>
                  <w:color w:val="0000EE"/>
                </w:rPr>
                <w:t>10/13/2020</w:t>
              </w:r>
            </w:hyperlink>
          </w:p>
        </w:tc>
        <w:tc>
          <w:tcPr>
            <w:tcW w:w="96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8-K</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001-39577</w:t>
              </w:r>
            </w:hyperlink>
          </w:p>
        </w:tc>
        <w:tc>
          <w:tcPr>
            <w:tcW w:w="220" w:type="dxa"/>
            <w:vAlign w:val="bottom"/>
          </w:tcPr>
          <w:p>
            <w:pPr>
              <w:spacing w:after="0"/>
              <w:rPr>
                <w:sz w:val="24"/>
                <w:szCs w:val="24"/>
                <w:color w:val="auto"/>
              </w:rPr>
            </w:pPr>
          </w:p>
        </w:tc>
        <w:tc>
          <w:tcPr>
            <w:tcW w:w="900" w:type="dxa"/>
            <w:vAlign w:val="bottom"/>
            <w:gridSpan w:val="3"/>
          </w:tcPr>
          <w:p>
            <w:pPr>
              <w:jc w:val="center"/>
              <w:spacing w:after="0"/>
              <w:rPr>
                <w:rFonts w:ascii="Arial" w:cs="Arial" w:eastAsia="Arial" w:hAnsi="Arial"/>
                <w:sz w:val="18"/>
                <w:szCs w:val="18"/>
                <w:color w:val="0000EE"/>
                <w:w w:val="87"/>
              </w:rPr>
            </w:pPr>
            <w:hyperlink r:id="rId4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180" w:type="dxa"/>
            <w:vAlign w:val="bottom"/>
            <w:gridSpan w:val="3"/>
          </w:tcPr>
          <w:p>
            <w:pPr>
              <w:ind w:left="160"/>
              <w:spacing w:after="0"/>
              <w:rPr>
                <w:rFonts w:ascii="Arial" w:cs="Arial" w:eastAsia="Arial" w:hAnsi="Arial"/>
                <w:sz w:val="18"/>
                <w:szCs w:val="18"/>
                <w:color w:val="0000EE"/>
              </w:rPr>
            </w:pPr>
            <w:hyperlink r:id="rId49">
              <w:r>
                <w:rPr>
                  <w:rFonts w:ascii="Arial" w:cs="Arial" w:eastAsia="Arial" w:hAnsi="Arial"/>
                  <w:sz w:val="18"/>
                  <w:szCs w:val="18"/>
                  <w:color w:val="0000EE"/>
                </w:rPr>
                <w:t>10/13/2020</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85"/>
              </w:rPr>
            </w:pPr>
            <w:hyperlink r:id="rId50">
              <w:r>
                <w:rPr>
                  <w:rFonts w:ascii="Arial" w:cs="Arial" w:eastAsia="Arial" w:hAnsi="Arial"/>
                  <w:sz w:val="18"/>
                  <w:szCs w:val="18"/>
                  <w:color w:val="0000EE"/>
                  <w:w w:val="85"/>
                </w:rPr>
                <w:t>S-1</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0000EE"/>
                <w:w w:val="87"/>
              </w:rPr>
            </w:pPr>
            <w:hyperlink r:id="rId50">
              <w:r>
                <w:rPr>
                  <w:rFonts w:ascii="Arial" w:cs="Arial" w:eastAsia="Arial" w:hAnsi="Arial"/>
                  <w:sz w:val="18"/>
                  <w:szCs w:val="18"/>
                  <w:color w:val="0000EE"/>
                  <w:w w:val="87"/>
                </w:rPr>
                <w:t>333-248788</w:t>
              </w:r>
            </w:hyperlink>
          </w:p>
        </w:tc>
        <w:tc>
          <w:tcPr>
            <w:tcW w:w="220" w:type="dxa"/>
            <w:vAlign w:val="bottom"/>
          </w:tcPr>
          <w:p>
            <w:pPr>
              <w:spacing w:after="0"/>
              <w:rPr>
                <w:sz w:val="24"/>
                <w:szCs w:val="24"/>
                <w:color w:val="auto"/>
              </w:rPr>
            </w:pPr>
          </w:p>
        </w:tc>
        <w:tc>
          <w:tcPr>
            <w:tcW w:w="900" w:type="dxa"/>
            <w:vAlign w:val="bottom"/>
            <w:gridSpan w:val="3"/>
          </w:tcPr>
          <w:p>
            <w:pPr>
              <w:jc w:val="center"/>
              <w:spacing w:after="0"/>
              <w:rPr>
                <w:rFonts w:ascii="Arial" w:cs="Arial" w:eastAsia="Arial" w:hAnsi="Arial"/>
                <w:sz w:val="18"/>
                <w:szCs w:val="18"/>
                <w:color w:val="0000EE"/>
                <w:w w:val="87"/>
              </w:rPr>
            </w:pPr>
            <w:hyperlink r:id="rId5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180" w:type="dxa"/>
            <w:vAlign w:val="bottom"/>
            <w:gridSpan w:val="3"/>
          </w:tcPr>
          <w:p>
            <w:pPr>
              <w:ind w:left="160"/>
              <w:spacing w:after="0"/>
              <w:rPr>
                <w:rFonts w:ascii="Arial" w:cs="Arial" w:eastAsia="Arial" w:hAnsi="Arial"/>
                <w:sz w:val="18"/>
                <w:szCs w:val="18"/>
                <w:color w:val="0000EE"/>
              </w:rPr>
            </w:pPr>
            <w:hyperlink r:id="rId50">
              <w:r>
                <w:rPr>
                  <w:rFonts w:ascii="Arial" w:cs="Arial" w:eastAsia="Arial" w:hAnsi="Arial"/>
                  <w:sz w:val="18"/>
                  <w:szCs w:val="18"/>
                  <w:color w:val="0000EE"/>
                </w:rPr>
                <w:t>09/14/2020</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10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85"/>
              </w:rPr>
            </w:pPr>
            <w:hyperlink r:id="rId51">
              <w:r>
                <w:rPr>
                  <w:rFonts w:ascii="Arial" w:cs="Arial" w:eastAsia="Arial" w:hAnsi="Arial"/>
                  <w:sz w:val="18"/>
                  <w:szCs w:val="18"/>
                  <w:color w:val="0000EE"/>
                  <w:w w:val="85"/>
                </w:rPr>
                <w:t>S-1</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0000EE"/>
                <w:w w:val="87"/>
              </w:rPr>
            </w:pPr>
            <w:hyperlink r:id="rId51">
              <w:r>
                <w:rPr>
                  <w:rFonts w:ascii="Arial" w:cs="Arial" w:eastAsia="Arial" w:hAnsi="Arial"/>
                  <w:sz w:val="18"/>
                  <w:szCs w:val="18"/>
                  <w:color w:val="0000EE"/>
                  <w:w w:val="87"/>
                </w:rPr>
                <w:t>333-248788</w:t>
              </w:r>
            </w:hyperlink>
          </w:p>
        </w:tc>
        <w:tc>
          <w:tcPr>
            <w:tcW w:w="220" w:type="dxa"/>
            <w:vAlign w:val="bottom"/>
          </w:tcPr>
          <w:p>
            <w:pPr>
              <w:spacing w:after="0"/>
              <w:rPr>
                <w:sz w:val="24"/>
                <w:szCs w:val="24"/>
                <w:color w:val="auto"/>
              </w:rPr>
            </w:pPr>
          </w:p>
        </w:tc>
        <w:tc>
          <w:tcPr>
            <w:tcW w:w="900" w:type="dxa"/>
            <w:vAlign w:val="bottom"/>
            <w:gridSpan w:val="3"/>
          </w:tcPr>
          <w:p>
            <w:pPr>
              <w:jc w:val="center"/>
              <w:spacing w:after="0"/>
              <w:rPr>
                <w:rFonts w:ascii="Arial" w:cs="Arial" w:eastAsia="Arial" w:hAnsi="Arial"/>
                <w:sz w:val="18"/>
                <w:szCs w:val="18"/>
                <w:color w:val="0000EE"/>
                <w:w w:val="87"/>
              </w:rPr>
            </w:pPr>
            <w:hyperlink r:id="rId5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180" w:type="dxa"/>
            <w:vAlign w:val="bottom"/>
            <w:gridSpan w:val="3"/>
          </w:tcPr>
          <w:p>
            <w:pPr>
              <w:ind w:left="160"/>
              <w:spacing w:after="0"/>
              <w:rPr>
                <w:rFonts w:ascii="Arial" w:cs="Arial" w:eastAsia="Arial" w:hAnsi="Arial"/>
                <w:sz w:val="18"/>
                <w:szCs w:val="18"/>
                <w:color w:val="0000EE"/>
              </w:rPr>
            </w:pPr>
            <w:hyperlink r:id="rId51">
              <w:r>
                <w:rPr>
                  <w:rFonts w:ascii="Arial" w:cs="Arial" w:eastAsia="Arial" w:hAnsi="Arial"/>
                  <w:sz w:val="18"/>
                  <w:szCs w:val="18"/>
                  <w:color w:val="0000EE"/>
                </w:rPr>
                <w:t>09/14/2020</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0" w:type="dxa"/>
            <w:vAlign w:val="bottom"/>
            <w:gridSpan w:val="3"/>
          </w:tcPr>
          <w:p>
            <w:pPr>
              <w:jc w:val="center"/>
              <w:spacing w:after="0"/>
              <w:rPr>
                <w:rFonts w:ascii="Arial" w:cs="Arial" w:eastAsia="Arial" w:hAnsi="Arial"/>
                <w:sz w:val="18"/>
                <w:szCs w:val="18"/>
                <w:color w:val="0000EE"/>
                <w:w w:val="93"/>
              </w:rPr>
            </w:pPr>
            <w:hyperlink r:id="rId52">
              <w:r>
                <w:rPr>
                  <w:rFonts w:ascii="Arial" w:cs="Arial" w:eastAsia="Arial" w:hAnsi="Arial"/>
                  <w:sz w:val="18"/>
                  <w:szCs w:val="18"/>
                  <w:color w:val="0000EE"/>
                  <w:w w:val="93"/>
                </w:rPr>
                <w:t>S-1/A</w:t>
              </w:r>
            </w:hyperlink>
          </w:p>
        </w:tc>
        <w:tc>
          <w:tcPr>
            <w:tcW w:w="520" w:type="dxa"/>
            <w:vAlign w:val="bottom"/>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0000EE"/>
                <w:w w:val="87"/>
              </w:rPr>
            </w:pPr>
            <w:hyperlink r:id="rId52">
              <w:r>
                <w:rPr>
                  <w:rFonts w:ascii="Arial" w:cs="Arial" w:eastAsia="Arial" w:hAnsi="Arial"/>
                  <w:sz w:val="18"/>
                  <w:szCs w:val="18"/>
                  <w:color w:val="0000EE"/>
                  <w:w w:val="87"/>
                </w:rPr>
                <w:t>333-248788</w:t>
              </w:r>
            </w:hyperlink>
          </w:p>
        </w:tc>
        <w:tc>
          <w:tcPr>
            <w:tcW w:w="220" w:type="dxa"/>
            <w:vAlign w:val="bottom"/>
          </w:tcPr>
          <w:p>
            <w:pPr>
              <w:spacing w:after="0"/>
              <w:rPr>
                <w:sz w:val="24"/>
                <w:szCs w:val="24"/>
                <w:color w:val="auto"/>
              </w:rPr>
            </w:pPr>
          </w:p>
        </w:tc>
        <w:tc>
          <w:tcPr>
            <w:tcW w:w="900" w:type="dxa"/>
            <w:vAlign w:val="bottom"/>
            <w:gridSpan w:val="3"/>
          </w:tcPr>
          <w:p>
            <w:pPr>
              <w:jc w:val="center"/>
              <w:spacing w:after="0"/>
              <w:rPr>
                <w:rFonts w:ascii="Arial" w:cs="Arial" w:eastAsia="Arial" w:hAnsi="Arial"/>
                <w:sz w:val="18"/>
                <w:szCs w:val="18"/>
                <w:color w:val="0000EE"/>
                <w:w w:val="87"/>
              </w:rPr>
            </w:pPr>
            <w:hyperlink r:id="rId5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180" w:type="dxa"/>
            <w:vAlign w:val="bottom"/>
            <w:gridSpan w:val="3"/>
          </w:tcPr>
          <w:p>
            <w:pPr>
              <w:ind w:left="160"/>
              <w:spacing w:after="0"/>
              <w:rPr>
                <w:rFonts w:ascii="Arial" w:cs="Arial" w:eastAsia="Arial" w:hAnsi="Arial"/>
                <w:sz w:val="18"/>
                <w:szCs w:val="18"/>
                <w:color w:val="0000EE"/>
              </w:rPr>
            </w:pPr>
            <w:hyperlink r:id="rId52">
              <w:r>
                <w:rPr>
                  <w:rFonts w:ascii="Arial" w:cs="Arial" w:eastAsia="Arial" w:hAnsi="Arial"/>
                  <w:sz w:val="18"/>
                  <w:szCs w:val="18"/>
                  <w:color w:val="0000EE"/>
                </w:rPr>
                <w:t>09/30/2020</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w:t>
        </w:r>
      </w:hyperlink>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740" w:space="300"/>
            <w:col w:w="4980"/>
          </w:cols>
          <w:pgMar w:left="320" w:top="904" w:right="5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ind w:left="1480"/>
              <w:spacing w:after="0"/>
              <w:rPr>
                <w:sz w:val="20"/>
                <w:szCs w:val="20"/>
                <w:color w:val="auto"/>
              </w:rPr>
            </w:pPr>
            <w:r>
              <w:rPr>
                <w:rFonts w:ascii="Arial" w:cs="Arial" w:eastAsia="Arial" w:hAnsi="Arial"/>
                <w:sz w:val="18"/>
                <w:szCs w:val="18"/>
                <w:color w:val="auto"/>
              </w:rPr>
              <w:t>AZIYO BIOLOGICS,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7, 2021</w:t>
            </w:r>
          </w:p>
        </w:tc>
        <w:tc>
          <w:tcPr>
            <w:tcW w:w="2520" w:type="dxa"/>
            <w:vAlign w:val="bottom"/>
          </w:tcPr>
          <w:p>
            <w:pPr>
              <w:ind w:left="22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Ronald Lloyd</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ind w:left="320"/>
              <w:spacing w:after="0" w:line="195" w:lineRule="exact"/>
              <w:rPr>
                <w:sz w:val="20"/>
                <w:szCs w:val="20"/>
                <w:color w:val="auto"/>
              </w:rPr>
            </w:pPr>
            <w:r>
              <w:rPr>
                <w:rFonts w:ascii="Arial" w:cs="Arial" w:eastAsia="Arial" w:hAnsi="Arial"/>
                <w:sz w:val="18"/>
                <w:szCs w:val="18"/>
                <w:color w:val="auto"/>
              </w:rPr>
              <w:t>Ronald Lloyd</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ind w:left="32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7, 2021</w:t>
            </w:r>
          </w:p>
        </w:tc>
        <w:tc>
          <w:tcPr>
            <w:tcW w:w="2520" w:type="dxa"/>
            <w:vAlign w:val="bottom"/>
          </w:tcPr>
          <w:p>
            <w:pPr>
              <w:ind w:left="22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Matthew Ferguson</w:t>
            </w:r>
          </w:p>
        </w:tc>
      </w:tr>
      <w:tr>
        <w:trPr>
          <w:trHeight w:val="195"/>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tcPr>
          <w:p>
            <w:pPr>
              <w:ind w:left="320"/>
              <w:spacing w:after="0" w:line="195" w:lineRule="exact"/>
              <w:rPr>
                <w:sz w:val="20"/>
                <w:szCs w:val="20"/>
                <w:color w:val="auto"/>
              </w:rPr>
            </w:pPr>
            <w:r>
              <w:rPr>
                <w:rFonts w:ascii="Arial" w:cs="Arial" w:eastAsia="Arial" w:hAnsi="Arial"/>
                <w:sz w:val="18"/>
                <w:szCs w:val="18"/>
                <w:color w:val="auto"/>
              </w:rPr>
              <w:t>Matthew Ferguson</w:t>
            </w: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30"/>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80" w:type="dxa"/>
            <w:vAlign w:val="bottom"/>
          </w:tcPr>
          <w:p>
            <w:pPr>
              <w:ind w:left="3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648"/>
        </w:trPr>
        <w:tc>
          <w:tcPr>
            <w:tcW w:w="3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34</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Lloyd, certify that:</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2021 of Aziyo Biologics,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7, 2021</w:t>
            </w:r>
          </w:p>
        </w:tc>
        <w:tc>
          <w:tcPr>
            <w:tcW w:w="2460" w:type="dxa"/>
            <w:vAlign w:val="bottom"/>
          </w:tcPr>
          <w:p>
            <w:pPr>
              <w:ind w:left="214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Ronald Lloyd</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Pr>
          <w:p>
            <w:pPr>
              <w:jc w:val="center"/>
              <w:spacing w:after="0" w:line="195" w:lineRule="exact"/>
              <w:rPr>
                <w:sz w:val="20"/>
                <w:szCs w:val="20"/>
                <w:color w:val="auto"/>
              </w:rPr>
            </w:pPr>
            <w:r>
              <w:rPr>
                <w:rFonts w:ascii="Arial" w:cs="Arial" w:eastAsia="Arial" w:hAnsi="Arial"/>
                <w:sz w:val="18"/>
                <w:szCs w:val="18"/>
                <w:color w:val="auto"/>
                <w:w w:val="95"/>
              </w:rPr>
              <w:t>Ronald Lloyd</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Ferguson, certify that:</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2021 of Aziyo Biologics,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7, 2021</w:t>
            </w:r>
          </w:p>
        </w:tc>
        <w:tc>
          <w:tcPr>
            <w:tcW w:w="2460" w:type="dxa"/>
            <w:vAlign w:val="bottom"/>
          </w:tcPr>
          <w:p>
            <w:pPr>
              <w:ind w:left="214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Matthew Ferguson</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Ferguson</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Aziyo Biologics, Inc. (the “Company”) on Form 10-Q for the quarterly period ended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right="66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7, 2021</w:t>
            </w:r>
          </w:p>
        </w:tc>
        <w:tc>
          <w:tcPr>
            <w:tcW w:w="2460" w:type="dxa"/>
            <w:vAlign w:val="bottom"/>
          </w:tcPr>
          <w:p>
            <w:pPr>
              <w:ind w:left="214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Ronald Lloyd</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Pr>
          <w:p>
            <w:pPr>
              <w:jc w:val="center"/>
              <w:spacing w:after="0" w:line="195" w:lineRule="exact"/>
              <w:rPr>
                <w:sz w:val="20"/>
                <w:szCs w:val="20"/>
                <w:color w:val="auto"/>
              </w:rPr>
            </w:pPr>
            <w:r>
              <w:rPr>
                <w:rFonts w:ascii="Arial" w:cs="Arial" w:eastAsia="Arial" w:hAnsi="Arial"/>
                <w:sz w:val="18"/>
                <w:szCs w:val="18"/>
                <w:color w:val="auto"/>
                <w:w w:val="95"/>
              </w:rPr>
              <w:t>Ronald Lloyd</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ind w:left="126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pacing w:after="0" w:line="202"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In connection with the Quarterly Report of Aziyo Biologics, Inc. (the “Company”) on Form 10-Q for the quarterly period ended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right="66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spacing w:after="0"/>
        <w:tabs>
          <w:tab w:leader="none" w:pos="5620" w:val="left"/>
          <w:tab w:leader="none" w:pos="780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Matthew Ferguson</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48" Type="http://schemas.openxmlformats.org/officeDocument/2006/relationships/hyperlink" Target="http://www.sec.gov/Archives/edgar/data/1708527/000110465920114535/tm2023171d18_ex3-1.htm" TargetMode="External"/><Relationship Id="rId49" Type="http://schemas.openxmlformats.org/officeDocument/2006/relationships/hyperlink" Target="http://www.sec.gov/Archives/edgar/data/1708527/000110465920114535/tm2023171d18_ex3-2.htm" TargetMode="External"/><Relationship Id="rId50" Type="http://schemas.openxmlformats.org/officeDocument/2006/relationships/hyperlink" Target="http://www.sec.gov/Archives/edgar/data/1708527/000110465920104884/tm2023171d8_ex4-1.htm" TargetMode="External"/><Relationship Id="rId51" Type="http://schemas.openxmlformats.org/officeDocument/2006/relationships/hyperlink" Target="http://www.sec.gov/Archives/edgar/data/1708527/000110465920104884/tm2023171d8_ex4-2.htm" TargetMode="External"/><Relationship Id="rId52" Type="http://schemas.openxmlformats.org/officeDocument/2006/relationships/hyperlink" Target="http://www.sec.gov/Archives/edgar/data/1708527/000110465920110107/tm2023171d11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2021-05-07T15:54:59Z</dcterms:created>
  <dcterms:modified xsi:type="dcterms:W3CDTF">2021-05-07T15:54:59Z</dcterms:modified>
</cp:coreProperties>
</file>