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50604.xml.htm"/>
      <w:bookmarkStart w:id="1" w:name="ksform406122026_0506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Mills C Randal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ELUTIA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FIRSTFIELD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ELUTIA INC.</w:t>
              </w:r>
            </w:hyperlink>
            <w:r>
              <w:rPr/>
              <w:t xml:space="preserve"> [ </w:t>
            </w:r>
            <w:r>
              <w:rPr>
                <w:rFonts w:ascii="Times;serif" w:hAnsi="Times;serif"/>
                <w:color w:val="0000FF"/>
                <w:sz w:val="24"/>
                <w:shd w:fill="FFFFFF" w:val="clear"/>
              </w:rPr>
              <w:t>ELUT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27,083</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436,489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9,718</w:t>
            </w:r>
            <w:r>
              <w:rPr>
                <w:rFonts w:ascii="Times;serif" w:hAnsi="Times;serif"/>
                <w:color w:val="008000"/>
                <w:position w:val="7"/>
                <w:sz w:val="16"/>
                <w:sz w:val="20"/>
                <w:shd w:fill="FFFFFF" w:val="clear"/>
              </w:rPr>
              <w:t>(3)</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426,771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27,083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216,666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represents shares of the Issuer's Class A Common Stock received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withheld by the Issuer to satisfy tax withholding requirements 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31, 2024, the Reporting Person was granted 487,500 restricted stock units. Restricted stock units as to 162,500 shares vest in four equal installments upon the Issuer's achievement of a per share price equal to or greater than $6.00, $10.00, $14.00 and $18.00 in each case determined based on twenty consecutive days of trading at or above the applicable threshold subject to the Reporting Person's continuous employment with the Issuer through the vesting date; provided, however, if the vesting date for any restricted stock units that vest on stock performance is not during one of the Company's open trading windows, the vesting shall be delayed until the first business day of the next open trading window.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as to 325,000 shares vest as follows: 1/6 on June 10, 2024, and 1/12 quarterly on each of the following dates: September 10, 2024, December 10, 2024, March 10, 2025, June 10, 2025, September 10, 2025, December 10, 2025, March 10, 2026, June 10, 2026, September 10, 2026, and December 10,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Hamet, Attorney-in-Fact for C. Randal Mills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0939" TargetMode="External"/><Relationship Id="rId5" Type="http://schemas.openxmlformats.org/officeDocument/2006/relationships/hyperlink" Target="http://www.sec.gov/cgi-bin/browse-edgar?action=getcompany&amp;CIK=0001708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4377</Characters>
  <CharactersWithSpaces>5123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