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186055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69850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75"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136" w:lineRule="exact"/>
        <w:rPr>
          <w:sz w:val="24"/>
          <w:szCs w:val="24"/>
          <w:color w:val="auto"/>
        </w:rPr>
      </w:pPr>
    </w:p>
    <w:p>
      <w:pPr>
        <w:ind w:left="3500" w:right="1720" w:hanging="3490"/>
        <w:spacing w:after="0" w:line="269" w:lineRule="auto"/>
        <w:tabs>
          <w:tab w:leader="none" w:pos="34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2023</w:t>
      </w:r>
    </w:p>
    <w:p>
      <w:pPr>
        <w:jc w:val="center"/>
        <w:spacing w:after="0"/>
        <w:rPr>
          <w:sz w:val="20"/>
          <w:szCs w:val="20"/>
          <w:color w:val="auto"/>
        </w:rPr>
      </w:pPr>
      <w:r>
        <w:rPr>
          <w:rFonts w:ascii="Arial" w:cs="Arial" w:eastAsia="Arial" w:hAnsi="Arial"/>
          <w:sz w:val="16"/>
          <w:szCs w:val="16"/>
          <w:b w:val="1"/>
          <w:bCs w:val="1"/>
          <w:color w:val="auto"/>
        </w:rPr>
        <w:t>or</w:t>
      </w:r>
    </w:p>
    <w:p>
      <w:pPr>
        <w:spacing w:after="0" w:line="132" w:lineRule="exact"/>
        <w:rPr>
          <w:sz w:val="24"/>
          <w:szCs w:val="24"/>
          <w:color w:val="auto"/>
        </w:rPr>
      </w:pPr>
    </w:p>
    <w:p>
      <w:pPr>
        <w:ind w:left="340" w:hanging="330"/>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1040" w:type="dxa"/>
        <w:tblCellMar>
          <w:top w:w="0" w:type="dxa"/>
          <w:left w:w="0" w:type="dxa"/>
          <w:bottom w:w="0" w:type="dxa"/>
          <w:right w:w="0" w:type="dxa"/>
        </w:tblCellMar>
      </w:tblPr>
      <w:tr>
        <w:trPr>
          <w:trHeight w:val="210"/>
        </w:trPr>
        <w:tc>
          <w:tcPr>
            <w:tcW w:w="5360" w:type="dxa"/>
            <w:vAlign w:val="bottom"/>
            <w:gridSpan w:val="2"/>
          </w:tcPr>
          <w:p>
            <w:pPr>
              <w:ind w:left="2640"/>
              <w:spacing w:after="0"/>
              <w:rPr>
                <w:sz w:val="20"/>
                <w:szCs w:val="20"/>
                <w:color w:val="auto"/>
              </w:rPr>
            </w:pPr>
            <w:r>
              <w:rPr>
                <w:rFonts w:ascii="Arial" w:cs="Arial" w:eastAsia="Arial" w:hAnsi="Arial"/>
                <w:sz w:val="16"/>
                <w:szCs w:val="16"/>
                <w:b w:val="1"/>
                <w:bCs w:val="1"/>
                <w:color w:val="auto"/>
              </w:rPr>
              <w:t>For the transition period from</w:t>
            </w:r>
          </w:p>
        </w:tc>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9"/>
        </w:trPr>
        <w:tc>
          <w:tcPr>
            <w:tcW w:w="28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1"/>
              </w:rPr>
              <w:t>Commission file number: 001-39577</w:t>
            </w:r>
          </w:p>
        </w:tc>
        <w:tc>
          <w:tcPr>
            <w:tcW w:w="2500" w:type="dxa"/>
            <w:vAlign w:val="bottom"/>
          </w:tcPr>
          <w:p>
            <w:pPr>
              <w:spacing w:after="0"/>
              <w:rPr>
                <w:sz w:val="24"/>
                <w:szCs w:val="24"/>
                <w:color w:val="auto"/>
              </w:rPr>
            </w:pPr>
          </w:p>
        </w:tc>
      </w:tr>
      <w:tr>
        <w:trPr>
          <w:trHeight w:val="134"/>
        </w:trPr>
        <w:tc>
          <w:tcPr>
            <w:tcW w:w="280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r>
      <w:tr>
        <w:trPr>
          <w:trHeight w:val="382"/>
        </w:trPr>
        <w:tc>
          <w:tcPr>
            <w:tcW w:w="28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9"/>
                <w:szCs w:val="29"/>
                <w:b w:val="1"/>
                <w:bCs w:val="1"/>
                <w:color w:val="auto"/>
                <w:w w:val="88"/>
              </w:rPr>
              <w:t>Aziyo Biologics, Inc.</w:t>
            </w:r>
          </w:p>
        </w:tc>
        <w:tc>
          <w:tcPr>
            <w:tcW w:w="2500" w:type="dxa"/>
            <w:vAlign w:val="bottom"/>
          </w:tcPr>
          <w:p>
            <w:pPr>
              <w:spacing w:after="0"/>
              <w:rPr>
                <w:sz w:val="24"/>
                <w:szCs w:val="24"/>
                <w:color w:val="auto"/>
              </w:rPr>
            </w:pPr>
          </w:p>
        </w:tc>
      </w:tr>
      <w:tr>
        <w:trPr>
          <w:trHeight w:val="206"/>
        </w:trPr>
        <w:tc>
          <w:tcPr>
            <w:tcW w:w="7860" w:type="dxa"/>
            <w:vAlign w:val="bottom"/>
            <w:gridSpan w:val="3"/>
          </w:tcPr>
          <w:p>
            <w:pPr>
              <w:jc w:val="center"/>
              <w:ind w:left="23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73"/>
        </w:trPr>
        <w:tc>
          <w:tcPr>
            <w:tcW w:w="280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500" w:type="dxa"/>
            <w:vAlign w:val="bottom"/>
          </w:tcPr>
          <w:p>
            <w:pPr>
              <w:spacing w:after="0"/>
              <w:rPr>
                <w:sz w:val="6"/>
                <w:szCs w:val="6"/>
                <w:color w:val="auto"/>
              </w:rPr>
            </w:pPr>
          </w:p>
        </w:tc>
      </w:tr>
      <w:tr>
        <w:trPr>
          <w:trHeight w:val="389"/>
        </w:trPr>
        <w:tc>
          <w:tcPr>
            <w:tcW w:w="5360" w:type="dxa"/>
            <w:vAlign w:val="bottom"/>
            <w:gridSpan w:val="2"/>
          </w:tcPr>
          <w:p>
            <w:pPr>
              <w:jc w:val="center"/>
              <w:ind w:right="2308"/>
              <w:spacing w:after="0"/>
              <w:rPr>
                <w:sz w:val="20"/>
                <w:szCs w:val="20"/>
                <w:color w:val="auto"/>
              </w:rPr>
            </w:pPr>
            <w:r>
              <w:rPr>
                <w:rFonts w:ascii="Arial" w:cs="Arial" w:eastAsia="Arial" w:hAnsi="Arial"/>
                <w:sz w:val="16"/>
                <w:szCs w:val="16"/>
                <w:b w:val="1"/>
                <w:bCs w:val="1"/>
                <w:color w:val="auto"/>
                <w:w w:val="93"/>
              </w:rPr>
              <w:t>Delaware</w:t>
            </w:r>
          </w:p>
        </w:tc>
        <w:tc>
          <w:tcPr>
            <w:tcW w:w="2500" w:type="dxa"/>
            <w:vAlign w:val="bottom"/>
          </w:tcPr>
          <w:p>
            <w:pPr>
              <w:jc w:val="right"/>
              <w:ind w:right="699"/>
              <w:spacing w:after="0"/>
              <w:rPr>
                <w:sz w:val="20"/>
                <w:szCs w:val="20"/>
                <w:color w:val="auto"/>
              </w:rPr>
            </w:pPr>
            <w:r>
              <w:rPr>
                <w:rFonts w:ascii="Arial" w:cs="Arial" w:eastAsia="Arial" w:hAnsi="Arial"/>
                <w:sz w:val="16"/>
                <w:szCs w:val="16"/>
                <w:b w:val="1"/>
                <w:bCs w:val="1"/>
                <w:color w:val="auto"/>
              </w:rPr>
              <w:t>47-4790334</w:t>
            </w:r>
          </w:p>
        </w:tc>
      </w:tr>
      <w:tr>
        <w:trPr>
          <w:trHeight w:val="203"/>
        </w:trPr>
        <w:tc>
          <w:tcPr>
            <w:tcW w:w="5360" w:type="dxa"/>
            <w:vAlign w:val="bottom"/>
            <w:gridSpan w:val="2"/>
          </w:tcPr>
          <w:p>
            <w:pPr>
              <w:jc w:val="center"/>
              <w:ind w:right="2288"/>
              <w:spacing w:after="0"/>
              <w:rPr>
                <w:sz w:val="20"/>
                <w:szCs w:val="20"/>
                <w:color w:val="auto"/>
              </w:rPr>
            </w:pPr>
            <w:r>
              <w:rPr>
                <w:rFonts w:ascii="Arial" w:cs="Arial" w:eastAsia="Arial" w:hAnsi="Arial"/>
                <w:sz w:val="16"/>
                <w:szCs w:val="16"/>
                <w:color w:val="auto"/>
                <w:w w:val="93"/>
              </w:rPr>
              <w:t>(State or other jurisdiction of incorporation or</w:t>
            </w:r>
          </w:p>
        </w:tc>
        <w:tc>
          <w:tcPr>
            <w:tcW w:w="2500" w:type="dxa"/>
            <w:vAlign w:val="bottom"/>
          </w:tcPr>
          <w:p>
            <w:pPr>
              <w:jc w:val="center"/>
              <w:ind w:left="7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5360" w:type="dxa"/>
            <w:vAlign w:val="bottom"/>
            <w:gridSpan w:val="2"/>
          </w:tcPr>
          <w:p>
            <w:pPr>
              <w:jc w:val="center"/>
              <w:ind w:right="2308"/>
              <w:spacing w:after="0"/>
              <w:rPr>
                <w:sz w:val="20"/>
                <w:szCs w:val="20"/>
                <w:color w:val="auto"/>
              </w:rPr>
            </w:pPr>
            <w:r>
              <w:rPr>
                <w:rFonts w:ascii="Arial" w:cs="Arial" w:eastAsia="Arial" w:hAnsi="Arial"/>
                <w:sz w:val="16"/>
                <w:szCs w:val="16"/>
                <w:color w:val="auto"/>
                <w:w w:val="92"/>
              </w:rPr>
              <w:t>organization)</w:t>
            </w:r>
          </w:p>
        </w:tc>
        <w:tc>
          <w:tcPr>
            <w:tcW w:w="2500" w:type="dxa"/>
            <w:vAlign w:val="bottom"/>
          </w:tcPr>
          <w:p>
            <w:pPr>
              <w:spacing w:after="0"/>
              <w:rPr>
                <w:sz w:val="17"/>
                <w:szCs w:val="17"/>
                <w:color w:val="auto"/>
              </w:rPr>
            </w:pPr>
          </w:p>
        </w:tc>
      </w:tr>
    </w:tbl>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12510 Prosperity Drive, Suite 370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Silver Spring, MD 20904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and Zip Code)</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(240) 247-1170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20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9"/>
        </w:trPr>
        <w:tc>
          <w:tcPr>
            <w:tcW w:w="3280" w:type="dxa"/>
            <w:vAlign w:val="bottom"/>
          </w:tcPr>
          <w:p>
            <w:pPr>
              <w:jc w:val="center"/>
              <w:spacing w:after="0"/>
              <w:rPr>
                <w:sz w:val="20"/>
                <w:szCs w:val="20"/>
                <w:color w:val="auto"/>
              </w:rPr>
            </w:pPr>
            <w:r>
              <w:rPr>
                <w:rFonts w:ascii="Arial" w:cs="Arial" w:eastAsia="Arial" w:hAnsi="Arial"/>
                <w:sz w:val="16"/>
                <w:szCs w:val="16"/>
                <w:color w:val="auto"/>
                <w:w w:val="91"/>
              </w:rPr>
              <w:t>Class A Common Stock, par value $0.001 per</w:t>
            </w:r>
          </w:p>
        </w:tc>
        <w:tc>
          <w:tcPr>
            <w:tcW w:w="22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AZYO</w:t>
            </w:r>
          </w:p>
        </w:tc>
        <w:tc>
          <w:tcPr>
            <w:tcW w:w="20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w w:val="92"/>
              </w:rPr>
              <w:t>The Nasdaq Capital Market</w:t>
            </w:r>
          </w:p>
        </w:tc>
      </w:tr>
      <w:tr>
        <w:trPr>
          <w:trHeight w:val="206"/>
        </w:trPr>
        <w:tc>
          <w:tcPr>
            <w:tcW w:w="3280" w:type="dxa"/>
            <w:vAlign w:val="bottom"/>
          </w:tcPr>
          <w:p>
            <w:pPr>
              <w:jc w:val="center"/>
              <w:spacing w:after="0"/>
              <w:rPr>
                <w:sz w:val="20"/>
                <w:szCs w:val="20"/>
                <w:color w:val="auto"/>
              </w:rPr>
            </w:pPr>
            <w:r>
              <w:rPr>
                <w:rFonts w:ascii="Arial" w:cs="Arial" w:eastAsia="Arial" w:hAnsi="Arial"/>
                <w:sz w:val="16"/>
                <w:szCs w:val="16"/>
                <w:color w:val="auto"/>
                <w:w w:val="84"/>
              </w:rPr>
              <w:t>share</w:t>
            </w:r>
          </w:p>
        </w:tc>
        <w:tc>
          <w:tcPr>
            <w:tcW w:w="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106680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6" w:lineRule="exact"/>
        <w:rPr>
          <w:sz w:val="24"/>
          <w:szCs w:val="24"/>
          <w:color w:val="auto"/>
        </w:rPr>
      </w:pPr>
    </w:p>
    <w:p>
      <w:pPr>
        <w:jc w:val="both"/>
        <w:ind w:left="2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jc w:val="both"/>
        <w:ind w:left="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5" w:lineRule="exact"/>
        <w:rPr>
          <w:sz w:val="24"/>
          <w:szCs w:val="24"/>
          <w:color w:val="auto"/>
        </w:rPr>
      </w:pPr>
    </w:p>
    <w:p>
      <w:pPr>
        <w:jc w:val="both"/>
        <w:ind w:lef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78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Arial" w:cs="Arial" w:eastAsia="Arial" w:hAnsi="Arial"/>
                <w:sz w:val="16"/>
                <w:szCs w:val="16"/>
                <w:color w:val="auto"/>
                <w:w w:val="98"/>
              </w:rPr>
              <w:t>Large accelerated filer</w:t>
            </w:r>
          </w:p>
        </w:tc>
        <w:tc>
          <w:tcPr>
            <w:tcW w:w="186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580" w:type="dxa"/>
            <w:vAlign w:val="bottom"/>
          </w:tcPr>
          <w:p>
            <w:pPr>
              <w:spacing w:after="0"/>
              <w:rPr>
                <w:sz w:val="20"/>
                <w:szCs w:val="20"/>
                <w:color w:val="auto"/>
              </w:rPr>
            </w:pPr>
            <w:r>
              <w:rPr>
                <w:rFonts w:ascii="Arial" w:cs="Arial" w:eastAsia="Arial" w:hAnsi="Arial"/>
                <w:sz w:val="16"/>
                <w:szCs w:val="16"/>
                <w:color w:val="auto"/>
              </w:rPr>
              <w:t>Non-accelerated filer</w:t>
            </w:r>
          </w:p>
        </w:tc>
        <w:tc>
          <w:tcPr>
            <w:tcW w:w="186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56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5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600" w:type="dxa"/>
            <w:vAlign w:val="bottom"/>
          </w:tcPr>
          <w:p>
            <w:pPr>
              <w:ind w:left="160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left="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0" w:lineRule="exact"/>
        <w:rPr>
          <w:sz w:val="24"/>
          <w:szCs w:val="24"/>
          <w:color w:val="auto"/>
        </w:rPr>
      </w:pPr>
    </w:p>
    <w:p>
      <w:pPr>
        <w:ind w:left="20" w:firstLine="648"/>
        <w:spacing w:after="0" w:line="293" w:lineRule="auto"/>
        <w:rPr>
          <w:sz w:val="20"/>
          <w:szCs w:val="20"/>
          <w:color w:val="auto"/>
        </w:rPr>
      </w:pPr>
      <w:r>
        <w:rPr>
          <w:rFonts w:ascii="Arial" w:cs="Arial" w:eastAsia="Arial" w:hAnsi="Arial"/>
          <w:sz w:val="16"/>
          <w:szCs w:val="16"/>
          <w:color w:val="auto"/>
        </w:rPr>
        <w:t>As of May 8, 2023, there were 11,921,739 shares of the registrant’s Class A common stock and 4,313,406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501015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81280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results of operations, financial position, and business strategy; expectations regarding our products and their targeted effects; plans for our sales and marketing growth; our anticipated expansion of our product development and research activities; increases in expenses and seasonality; expectations regarding our competitive advantages, and overall clinical and commercial success; expectations regarding the pending lawsuits and claims related to our recall of a single lot of Fiber Viable Bone Matrix (“FiberCel”), amounts recoverable under insurance, indemnity and contribution agreements and the impact of such lawsuits and claims on our future financial position; our expectations and plans regarding pursuit of any strategic transactions; and our expectations relating to the FDA regulatory process for the CanGaroo RM Antibacterial Envelope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Without limiting the foregoing, the words “aim,” “believe,” “may,” “will,” “should,” “expect,” “exploring,” “plan,” “anticipate,” “could,” “intend,” “target,” “project,” “contemplate,” “believe,” “estimate,” “predict,” “potential,” “seeks,” or “continue” or the negative of these terms or other similar expressions, are intended to identify forward-looking statements, although not all forward-looking statements contain these words. These forward-looking statements are not a guarantee of future results, performance, or achievements, and one should avoid placing undue reliance on such statements.</w:t>
      </w:r>
    </w:p>
    <w:p>
      <w:pPr>
        <w:spacing w:after="0" w:line="16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These 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following:</w:t>
      </w:r>
    </w:p>
    <w:p>
      <w:pPr>
        <w:spacing w:after="0" w:line="161" w:lineRule="exact"/>
        <w:rPr>
          <w:sz w:val="20"/>
          <w:szCs w:val="20"/>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225" w:lineRule="exact"/>
        <w:rPr>
          <w:rFonts w:ascii="Arial" w:cs="Arial" w:eastAsia="Arial" w:hAnsi="Arial"/>
          <w:sz w:val="18"/>
          <w:szCs w:val="18"/>
          <w:color w:val="auto"/>
        </w:rPr>
      </w:pPr>
    </w:p>
    <w:p>
      <w:pPr>
        <w:jc w:val="both"/>
        <w:ind w:left="720" w:right="979" w:hanging="319"/>
        <w:spacing w:after="0" w:line="342" w:lineRule="auto"/>
        <w:tabs>
          <w:tab w:leader="none" w:pos="720" w:val="left"/>
        </w:tabs>
        <w:numPr>
          <w:ilvl w:val="1"/>
          <w:numId w:val="3"/>
        </w:numPr>
        <w:rPr>
          <w:rFonts w:ascii="Arial" w:cs="Arial" w:eastAsia="Arial" w:hAnsi="Arial"/>
          <w:sz w:val="16"/>
          <w:szCs w:val="16"/>
          <w:color w:val="auto"/>
        </w:rPr>
      </w:pPr>
      <w:r>
        <w:rPr>
          <w:rFonts w:ascii="Arial" w:cs="Arial" w:eastAsia="Arial" w:hAnsi="Arial"/>
          <w:sz w:val="16"/>
          <w:szCs w:val="16"/>
          <w:color w:val="auto"/>
        </w:rPr>
        <w:t>our ability to obtain regulatory approval or other marketing authorizations by the U.S. Food and Drug Administration (“FDA”) and comparable foreign authorities for our products and product candidates;</w:t>
      </w:r>
    </w:p>
    <w:p>
      <w:pPr>
        <w:spacing w:after="0" w:line="123" w:lineRule="exact"/>
        <w:rPr>
          <w:rFonts w:ascii="Arial" w:cs="Arial" w:eastAsia="Arial" w:hAnsi="Arial"/>
          <w:sz w:val="16"/>
          <w:szCs w:val="16"/>
          <w:color w:val="auto"/>
        </w:rPr>
      </w:pPr>
    </w:p>
    <w:p>
      <w:pPr>
        <w:ind w:left="720" w:right="519" w:hanging="319"/>
        <w:spacing w:after="0" w:line="277"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ind w:left="700" w:right="19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170"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existing contract manufacturing customers and enter into agreements with new contract manufacturing customers, or if existing contract manufacturing customers reduce purchases of our products;</w:t>
      </w:r>
    </w:p>
    <w:p>
      <w:pPr>
        <w:spacing w:after="0" w:line="183" w:lineRule="exact"/>
        <w:rPr>
          <w:rFonts w:ascii="Arial" w:cs="Arial" w:eastAsia="Arial" w:hAnsi="Arial"/>
          <w:sz w:val="18"/>
          <w:szCs w:val="18"/>
          <w:color w:val="auto"/>
        </w:rPr>
      </w:pPr>
    </w:p>
    <w:p>
      <w:pPr>
        <w:ind w:left="700" w:right="43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or realize the anticipated benefits under our distribution arrangements with LeMaitre Vascular and Sientra;</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 limited number of third-party suppliers; and</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defend against the various lawsuits related to our recall of a single lot of FiberCel and avoid a material adverse financial consequence;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regain compliance with the listing standards of the Nasdaq Capital Market.</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 xml:space="preserve">These and other important factors discussed in Part I, Item 2. “Management’s Discussion and Analysis of Financial Condition and Results of Operations” and Part II, Item 1A. “Risk Factors” in this Quarterly Report, and in Part I, Item 1A. “Risk Factors” and Part II, Item 7. “Management’s Discussion and Analysis of Financial Condition and Results of Operations” in our Annual Report on Form 10-K for the fiscal year ended December 31, 2022 (the “Annual Report”) and in our other filings with the Securities and Exchange Commission (the “SEC”), each of which filings are accessible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the Investor Relations page of our website at https://investors.aziyo.com/financials/sec-filings, could cause actual results to differ materially from those indicated by the forward-looking statements made in this Quarterly Report.</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used in this Quarterly Report, unless otherwise specified or the context otherwise requires, references to “we,” “us,” “our,” the “Company” and “Aziyo” refer to the operations of Aziyo Biologics, Inc. and its consolidated subsidiaries.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WEBSITE DISCLOSURE</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www.aziyo.com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7"/>
          <w:szCs w:val="17"/>
          <w:i w:val="1"/>
          <w:iCs w:val="1"/>
          <w:color w:val="auto"/>
        </w:rPr>
        <w:t>www.aziyo.com</w:t>
      </w:r>
      <w:r>
        <w:rPr>
          <w:rFonts w:ascii="Arial" w:cs="Arial" w:eastAsia="Arial" w:hAnsi="Arial"/>
          <w:sz w:val="17"/>
          <w:szCs w:val="17"/>
          <w:color w:val="auto"/>
        </w:rPr>
        <w:t>. The reference to our website address does not constitute incorporation by reference of the information contained on or available through our website, and you should not consider such information to be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includes our trademarks, trade names and service marks, including, without limitation, “Aziyo®,” “CanGaroo®,” “ProxiCor®,” “Tyke®,” “VasCure®,” “ViBone®,” “OsteGro®,” “SimpliDerm®”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 Item 1A. “Risk Factors” in our Annual Report which can be found at https://investors.aziyo.com/financials/sec-filings.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ind w:left="1100"/>
              <w:spacing w:after="0"/>
              <w:rPr>
                <w:sz w:val="20"/>
                <w:szCs w:val="20"/>
                <w:color w:val="auto"/>
              </w:rPr>
            </w:pPr>
            <w:r>
              <w:rPr>
                <w:rFonts w:ascii="Arial" w:cs="Arial" w:eastAsia="Arial" w:hAnsi="Arial"/>
                <w:sz w:val="18"/>
                <w:szCs w:val="18"/>
                <w:color w:val="auto"/>
                <w:w w:val="95"/>
              </w:rPr>
              <w:t>Page</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0000EE"/>
            </w:tcBorders>
            <w:gridSpan w:val="13"/>
            <w:shd w:val="clear" w:color="auto" w:fill="CCEEFF"/>
          </w:tcPr>
          <w:p>
            <w:pPr>
              <w:spacing w:after="0" w:line="202" w:lineRule="exact"/>
              <w:rPr>
                <w:sz w:val="20"/>
                <w:szCs w:val="20"/>
                <w:color w:val="auto"/>
              </w:rPr>
            </w:pPr>
            <w:r>
              <w:rPr>
                <w:rFonts w:ascii="Arial" w:cs="Arial" w:eastAsia="Arial" w:hAnsi="Arial"/>
                <w:sz w:val="18"/>
                <w:szCs w:val="18"/>
                <w:color w:val="0000EE"/>
                <w:w w:val="95"/>
              </w:rPr>
              <w:t>FORWARD-LOOKING STATEMENTS</w:t>
            </w:r>
          </w:p>
        </w:tc>
        <w:tc>
          <w:tcPr>
            <w:tcW w:w="4300" w:type="dxa"/>
            <w:vAlign w:val="bottom"/>
            <w:tcBorders>
              <w:bottom w:val="single" w:sz="8" w:color="CCEEFF"/>
            </w:tcBorders>
            <w:gridSpan w:val="11"/>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left="950"/>
              <w:spacing w:after="0" w:line="202" w:lineRule="exact"/>
              <w:rPr>
                <w:sz w:val="20"/>
                <w:szCs w:val="20"/>
                <w:color w:val="auto"/>
              </w:rPr>
            </w:pPr>
            <w:r>
              <w:rPr>
                <w:rFonts w:ascii="Arial" w:cs="Arial" w:eastAsia="Arial" w:hAnsi="Arial"/>
                <w:sz w:val="18"/>
                <w:szCs w:val="18"/>
                <w:color w:val="auto"/>
                <w:w w:val="79"/>
              </w:rPr>
              <w:t>1</w:t>
            </w:r>
          </w:p>
        </w:tc>
      </w:tr>
      <w:tr>
        <w:trPr>
          <w:trHeight w:val="203"/>
        </w:trPr>
        <w:tc>
          <w:tcPr>
            <w:tcW w:w="7260" w:type="dxa"/>
            <w:vAlign w:val="bottom"/>
            <w:gridSpan w:val="25"/>
          </w:tcPr>
          <w:p>
            <w:pPr>
              <w:ind w:left="20"/>
              <w:spacing w:after="0" w:line="202" w:lineRule="exact"/>
              <w:rPr>
                <w:sz w:val="20"/>
                <w:szCs w:val="20"/>
                <w:color w:val="auto"/>
              </w:rPr>
            </w:pPr>
            <w:r>
              <w:rPr>
                <w:rFonts w:ascii="Arial" w:cs="Arial" w:eastAsia="Arial" w:hAnsi="Arial"/>
                <w:sz w:val="18"/>
                <w:szCs w:val="18"/>
                <w:color w:val="0000EE"/>
              </w:rPr>
              <w:t>WEBSITE DISCLOSURE</w:t>
            </w:r>
          </w:p>
        </w:tc>
        <w:tc>
          <w:tcPr>
            <w:tcW w:w="15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79"/>
              </w:rPr>
              <w:t>2</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0000EE"/>
            </w:tcBorders>
            <w:gridSpan w:val="20"/>
            <w:shd w:val="clear" w:color="auto" w:fill="CCEEFF"/>
          </w:tcPr>
          <w:p>
            <w:pPr>
              <w:spacing w:after="0" w:line="202" w:lineRule="exact"/>
              <w:rPr>
                <w:sz w:val="20"/>
                <w:szCs w:val="20"/>
                <w:color w:val="auto"/>
              </w:rPr>
            </w:pPr>
            <w:r>
              <w:rPr>
                <w:rFonts w:ascii="Arial" w:cs="Arial" w:eastAsia="Arial" w:hAnsi="Arial"/>
                <w:sz w:val="18"/>
                <w:szCs w:val="18"/>
                <w:color w:val="0000EE"/>
                <w:w w:val="97"/>
              </w:rPr>
              <w:t>TRADEMARKS, TRADE NAMES AND SERVICE MARKS</w:t>
            </w:r>
          </w:p>
        </w:tc>
        <w:tc>
          <w:tcPr>
            <w:tcW w:w="2740" w:type="dxa"/>
            <w:vAlign w:val="bottom"/>
            <w:tcBorders>
              <w:bottom w:val="single" w:sz="8" w:color="CCEEFF"/>
            </w:tcBorders>
            <w:gridSpan w:val="4"/>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left="950"/>
              <w:spacing w:after="0" w:line="202" w:lineRule="exact"/>
              <w:rPr>
                <w:sz w:val="20"/>
                <w:szCs w:val="20"/>
                <w:color w:val="auto"/>
              </w:rPr>
            </w:pPr>
            <w:r>
              <w:rPr>
                <w:rFonts w:ascii="Arial" w:cs="Arial" w:eastAsia="Arial" w:hAnsi="Arial"/>
                <w:sz w:val="18"/>
                <w:szCs w:val="18"/>
                <w:color w:val="auto"/>
                <w:w w:val="79"/>
              </w:rPr>
              <w:t>3</w:t>
            </w:r>
          </w:p>
        </w:tc>
      </w:tr>
      <w:tr>
        <w:trPr>
          <w:trHeight w:val="203"/>
        </w:trPr>
        <w:tc>
          <w:tcPr>
            <w:tcW w:w="7260" w:type="dxa"/>
            <w:vAlign w:val="bottom"/>
            <w:gridSpan w:val="25"/>
          </w:tcPr>
          <w:p>
            <w:pPr>
              <w:ind w:left="20"/>
              <w:spacing w:after="0" w:line="202" w:lineRule="exact"/>
              <w:rPr>
                <w:sz w:val="20"/>
                <w:szCs w:val="20"/>
                <w:color w:val="auto"/>
              </w:rPr>
            </w:pPr>
            <w:r>
              <w:rPr>
                <w:rFonts w:ascii="Arial" w:cs="Arial" w:eastAsia="Arial" w:hAnsi="Arial"/>
                <w:sz w:val="18"/>
                <w:szCs w:val="18"/>
                <w:color w:val="0000EE"/>
              </w:rPr>
              <w:t>INDUSTRY AND OTHER DATA</w:t>
            </w:r>
          </w:p>
        </w:tc>
        <w:tc>
          <w:tcPr>
            <w:tcW w:w="15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79"/>
              </w:rPr>
              <w:t>3</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0000EE"/>
            </w:tcBorders>
            <w:gridSpan w:val="14"/>
            <w:shd w:val="clear" w:color="auto" w:fill="CCEEFF"/>
          </w:tcPr>
          <w:p>
            <w:pPr>
              <w:spacing w:after="0" w:line="202" w:lineRule="exact"/>
              <w:rPr>
                <w:sz w:val="20"/>
                <w:szCs w:val="20"/>
                <w:color w:val="auto"/>
              </w:rPr>
            </w:pPr>
            <w:r>
              <w:rPr>
                <w:rFonts w:ascii="Arial" w:cs="Arial" w:eastAsia="Arial" w:hAnsi="Arial"/>
                <w:sz w:val="18"/>
                <w:szCs w:val="18"/>
                <w:color w:val="0000EE"/>
                <w:w w:val="97"/>
              </w:rPr>
              <w:t>PART I – FINANCIAL INFORMATION</w:t>
            </w:r>
          </w:p>
        </w:tc>
        <w:tc>
          <w:tcPr>
            <w:tcW w:w="4260" w:type="dxa"/>
            <w:vAlign w:val="bottom"/>
            <w:tcBorders>
              <w:bottom w:val="single" w:sz="8" w:color="CCEEFF"/>
            </w:tcBorders>
            <w:gridSpan w:val="10"/>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03"/>
        </w:trPr>
        <w:tc>
          <w:tcPr>
            <w:tcW w:w="660" w:type="dxa"/>
            <w:vAlign w:val="bottom"/>
            <w:gridSpan w:val="3"/>
          </w:tcPr>
          <w:p>
            <w:pPr>
              <w:ind w:left="20"/>
              <w:spacing w:after="0" w:line="202" w:lineRule="exact"/>
              <w:rPr>
                <w:sz w:val="20"/>
                <w:szCs w:val="20"/>
                <w:color w:val="auto"/>
              </w:rPr>
            </w:pPr>
            <w:r>
              <w:rPr>
                <w:rFonts w:ascii="Arial" w:cs="Arial" w:eastAsia="Arial" w:hAnsi="Arial"/>
                <w:sz w:val="18"/>
                <w:szCs w:val="18"/>
                <w:color w:val="0000EE"/>
              </w:rPr>
              <w:t>Item 1.</w:t>
            </w:r>
          </w:p>
        </w:tc>
        <w:tc>
          <w:tcPr>
            <w:tcW w:w="6600" w:type="dxa"/>
            <w:vAlign w:val="bottom"/>
            <w:gridSpan w:val="22"/>
          </w:tcPr>
          <w:p>
            <w:pPr>
              <w:ind w:left="100"/>
              <w:spacing w:after="0" w:line="202" w:lineRule="exact"/>
              <w:rPr>
                <w:sz w:val="20"/>
                <w:szCs w:val="20"/>
                <w:color w:val="auto"/>
              </w:rPr>
            </w:pPr>
            <w:r>
              <w:rPr>
                <w:rFonts w:ascii="Arial" w:cs="Arial" w:eastAsia="Arial" w:hAnsi="Arial"/>
                <w:sz w:val="18"/>
                <w:szCs w:val="18"/>
                <w:color w:val="0000EE"/>
              </w:rPr>
              <w:t>Financial Statements (Unaudited)</w:t>
            </w:r>
          </w:p>
        </w:tc>
        <w:tc>
          <w:tcPr>
            <w:tcW w:w="15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0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Condensed Consolidated Balance Sheets</w:t>
            </w:r>
          </w:p>
        </w:tc>
        <w:tc>
          <w:tcPr>
            <w:tcW w:w="1520" w:type="dxa"/>
            <w:vAlign w:val="bottom"/>
            <w:shd w:val="clear" w:color="auto" w:fill="CCEEFF"/>
          </w:tcPr>
          <w:p>
            <w:pPr>
              <w:jc w:val="center"/>
              <w:ind w:left="950"/>
              <w:spacing w:after="0" w:line="202" w:lineRule="exact"/>
              <w:rPr>
                <w:sz w:val="20"/>
                <w:szCs w:val="20"/>
                <w:color w:val="auto"/>
              </w:rPr>
            </w:pPr>
            <w:r>
              <w:rPr>
                <w:rFonts w:ascii="Arial" w:cs="Arial" w:eastAsia="Arial" w:hAnsi="Arial"/>
                <w:sz w:val="18"/>
                <w:szCs w:val="18"/>
                <w:color w:val="auto"/>
                <w:w w:val="79"/>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21"/>
          </w:tcPr>
          <w:p>
            <w:pPr>
              <w:spacing w:after="0" w:line="202" w:lineRule="exact"/>
              <w:rPr>
                <w:sz w:val="20"/>
                <w:szCs w:val="20"/>
                <w:color w:val="auto"/>
              </w:rPr>
            </w:pPr>
            <w:r>
              <w:rPr>
                <w:rFonts w:ascii="Arial" w:cs="Arial" w:eastAsia="Arial" w:hAnsi="Arial"/>
                <w:sz w:val="18"/>
                <w:szCs w:val="18"/>
                <w:color w:val="0000EE"/>
              </w:rPr>
              <w:t>Condensed Consolidated Statements of Operations</w:t>
            </w:r>
          </w:p>
        </w:tc>
        <w:tc>
          <w:tcPr>
            <w:tcW w:w="1520" w:type="dxa"/>
            <w:vAlign w:val="bottom"/>
          </w:tcPr>
          <w:p>
            <w:pPr>
              <w:jc w:val="center"/>
              <w:ind w:left="950"/>
              <w:spacing w:after="0" w:line="202" w:lineRule="exact"/>
              <w:rPr>
                <w:sz w:val="20"/>
                <w:szCs w:val="20"/>
                <w:color w:val="auto"/>
              </w:rPr>
            </w:pPr>
            <w:r>
              <w:rPr>
                <w:rFonts w:ascii="Arial" w:cs="Arial" w:eastAsia="Arial" w:hAnsi="Arial"/>
                <w:sz w:val="18"/>
                <w:szCs w:val="18"/>
                <w:color w:val="auto"/>
                <w:w w:val="79"/>
              </w:rPr>
              <w:t>6</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50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w w:val="99"/>
              </w:rPr>
              <w:t>Condensed Consolidated Statements of Changes in Stockholders’ Equity (Deficit)</w:t>
            </w:r>
          </w:p>
        </w:tc>
        <w:tc>
          <w:tcPr>
            <w:tcW w:w="1520" w:type="dxa"/>
            <w:vAlign w:val="bottom"/>
            <w:shd w:val="clear" w:color="auto" w:fill="CCEEFF"/>
          </w:tcPr>
          <w:p>
            <w:pPr>
              <w:jc w:val="center"/>
              <w:ind w:left="950"/>
              <w:spacing w:after="0" w:line="202" w:lineRule="exact"/>
              <w:rPr>
                <w:sz w:val="20"/>
                <w:szCs w:val="20"/>
                <w:color w:val="auto"/>
              </w:rPr>
            </w:pPr>
            <w:r>
              <w:rPr>
                <w:rFonts w:ascii="Arial" w:cs="Arial" w:eastAsia="Arial" w:hAnsi="Arial"/>
                <w:sz w:val="18"/>
                <w:szCs w:val="18"/>
                <w:color w:val="auto"/>
                <w:w w:val="79"/>
              </w:rPr>
              <w:t>7</w:t>
            </w: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900" w:type="dxa"/>
            <w:vAlign w:val="bottom"/>
            <w:tcBorders>
              <w:top w:val="single" w:sz="8" w:color="0000EE"/>
            </w:tcBorders>
            <w:gridSpan w:val="20"/>
          </w:tcPr>
          <w:p>
            <w:pPr>
              <w:spacing w:after="0" w:line="202" w:lineRule="exact"/>
              <w:rPr>
                <w:sz w:val="20"/>
                <w:szCs w:val="20"/>
                <w:color w:val="auto"/>
              </w:rPr>
            </w:pPr>
            <w:r>
              <w:rPr>
                <w:rFonts w:ascii="Arial" w:cs="Arial" w:eastAsia="Arial" w:hAnsi="Arial"/>
                <w:sz w:val="18"/>
                <w:szCs w:val="18"/>
                <w:color w:val="0000EE"/>
              </w:rPr>
              <w:t>Condensed Consolidated Statements of Cash Flows</w:t>
            </w:r>
          </w:p>
        </w:tc>
        <w:tc>
          <w:tcPr>
            <w:tcW w:w="60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jc w:val="center"/>
              <w:ind w:left="950"/>
              <w:spacing w:after="0" w:line="202" w:lineRule="exact"/>
              <w:rPr>
                <w:sz w:val="20"/>
                <w:szCs w:val="20"/>
                <w:color w:val="auto"/>
              </w:rPr>
            </w:pPr>
            <w:r>
              <w:rPr>
                <w:rFonts w:ascii="Arial" w:cs="Arial" w:eastAsia="Arial" w:hAnsi="Arial"/>
                <w:sz w:val="18"/>
                <w:szCs w:val="18"/>
                <w:color w:val="auto"/>
                <w:w w:val="79"/>
              </w:rPr>
              <w:t>8</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0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Notes to the Condensed Consolidated Financial Statements</w:t>
            </w:r>
          </w:p>
        </w:tc>
        <w:tc>
          <w:tcPr>
            <w:tcW w:w="1520" w:type="dxa"/>
            <w:vAlign w:val="bottom"/>
            <w:shd w:val="clear" w:color="auto" w:fill="CCEEFF"/>
          </w:tcPr>
          <w:p>
            <w:pPr>
              <w:jc w:val="center"/>
              <w:ind w:left="950"/>
              <w:spacing w:after="0" w:line="202" w:lineRule="exact"/>
              <w:rPr>
                <w:sz w:val="20"/>
                <w:szCs w:val="20"/>
                <w:color w:val="auto"/>
              </w:rPr>
            </w:pPr>
            <w:r>
              <w:rPr>
                <w:rFonts w:ascii="Arial" w:cs="Arial" w:eastAsia="Arial" w:hAnsi="Arial"/>
                <w:sz w:val="18"/>
                <w:szCs w:val="18"/>
                <w:color w:val="auto"/>
                <w:w w:val="79"/>
              </w:rPr>
              <w:t>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r>
      <w:tr>
        <w:trPr>
          <w:trHeight w:val="203"/>
        </w:trPr>
        <w:tc>
          <w:tcPr>
            <w:tcW w:w="660" w:type="dxa"/>
            <w:vAlign w:val="bottom"/>
            <w:gridSpan w:val="3"/>
          </w:tcPr>
          <w:p>
            <w:pPr>
              <w:ind w:left="20"/>
              <w:spacing w:after="0" w:line="202" w:lineRule="exact"/>
              <w:rPr>
                <w:sz w:val="20"/>
                <w:szCs w:val="20"/>
                <w:color w:val="auto"/>
              </w:rPr>
            </w:pPr>
            <w:r>
              <w:rPr>
                <w:rFonts w:ascii="Arial" w:cs="Arial" w:eastAsia="Arial" w:hAnsi="Arial"/>
                <w:sz w:val="18"/>
                <w:szCs w:val="18"/>
                <w:color w:val="0000EE"/>
              </w:rPr>
              <w:t>Item 2.</w:t>
            </w:r>
          </w:p>
        </w:tc>
        <w:tc>
          <w:tcPr>
            <w:tcW w:w="100" w:type="dxa"/>
            <w:vAlign w:val="bottom"/>
          </w:tcPr>
          <w:p>
            <w:pPr>
              <w:spacing w:after="0"/>
              <w:rPr>
                <w:sz w:val="17"/>
                <w:szCs w:val="17"/>
                <w:color w:val="auto"/>
              </w:rPr>
            </w:pPr>
          </w:p>
        </w:tc>
        <w:tc>
          <w:tcPr>
            <w:tcW w:w="6500" w:type="dxa"/>
            <w:vAlign w:val="bottom"/>
            <w:gridSpan w:val="21"/>
          </w:tcPr>
          <w:p>
            <w:pPr>
              <w:spacing w:after="0" w:line="202"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520" w:type="dxa"/>
            <w:vAlign w:val="bottom"/>
          </w:tcPr>
          <w:p>
            <w:pPr>
              <w:jc w:val="center"/>
              <w:ind w:left="970"/>
              <w:spacing w:after="0" w:line="202" w:lineRule="exact"/>
              <w:rPr>
                <w:sz w:val="20"/>
                <w:szCs w:val="20"/>
                <w:color w:val="auto"/>
              </w:rPr>
            </w:pPr>
            <w:r>
              <w:rPr>
                <w:rFonts w:ascii="Arial" w:cs="Arial" w:eastAsia="Arial" w:hAnsi="Arial"/>
                <w:sz w:val="18"/>
                <w:szCs w:val="18"/>
                <w:color w:val="auto"/>
                <w:w w:val="89"/>
              </w:rPr>
              <w:t>24</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sz w:val="20"/>
                <w:szCs w:val="20"/>
                <w:color w:val="auto"/>
              </w:rPr>
            </w:pPr>
            <w:r>
              <w:rPr>
                <w:rFonts w:ascii="Arial" w:cs="Arial" w:eastAsia="Arial" w:hAnsi="Arial"/>
                <w:sz w:val="18"/>
                <w:szCs w:val="18"/>
                <w:color w:val="0000EE"/>
                <w:w w:val="90"/>
              </w:rPr>
              <w:t>Item 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0000EE"/>
            </w:tcBorders>
            <w:gridSpan w:val="19"/>
            <w:shd w:val="clear" w:color="auto" w:fill="CCEEFF"/>
          </w:tcPr>
          <w:p>
            <w:pPr>
              <w:spacing w:after="0" w:line="202"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2140" w:type="dxa"/>
            <w:vAlign w:val="bottom"/>
            <w:tcBorders>
              <w:bottom w:val="single" w:sz="8" w:color="CCEEFF"/>
            </w:tcBorders>
            <w:gridSpan w:val="2"/>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left="970"/>
              <w:spacing w:after="0" w:line="202" w:lineRule="exact"/>
              <w:rPr>
                <w:sz w:val="20"/>
                <w:szCs w:val="20"/>
                <w:color w:val="auto"/>
              </w:rPr>
            </w:pPr>
            <w:r>
              <w:rPr>
                <w:rFonts w:ascii="Arial" w:cs="Arial" w:eastAsia="Arial" w:hAnsi="Arial"/>
                <w:sz w:val="18"/>
                <w:szCs w:val="18"/>
                <w:color w:val="auto"/>
                <w:w w:val="89"/>
              </w:rPr>
              <w:t>36</w:t>
            </w:r>
          </w:p>
        </w:tc>
      </w:tr>
      <w:tr>
        <w:trPr>
          <w:trHeight w:val="203"/>
        </w:trPr>
        <w:tc>
          <w:tcPr>
            <w:tcW w:w="660" w:type="dxa"/>
            <w:vAlign w:val="bottom"/>
            <w:gridSpan w:val="3"/>
          </w:tcPr>
          <w:p>
            <w:pPr>
              <w:ind w:left="20"/>
              <w:spacing w:after="0" w:line="202" w:lineRule="exact"/>
              <w:rPr>
                <w:sz w:val="20"/>
                <w:szCs w:val="20"/>
                <w:color w:val="auto"/>
              </w:rPr>
            </w:pPr>
            <w:r>
              <w:rPr>
                <w:rFonts w:ascii="Arial" w:cs="Arial" w:eastAsia="Arial" w:hAnsi="Arial"/>
                <w:sz w:val="18"/>
                <w:szCs w:val="18"/>
                <w:color w:val="0000EE"/>
              </w:rPr>
              <w:t>Item 4.</w:t>
            </w:r>
          </w:p>
        </w:tc>
        <w:tc>
          <w:tcPr>
            <w:tcW w:w="6600" w:type="dxa"/>
            <w:vAlign w:val="bottom"/>
            <w:gridSpan w:val="22"/>
          </w:tcPr>
          <w:p>
            <w:pPr>
              <w:ind w:left="100"/>
              <w:spacing w:after="0" w:line="202" w:lineRule="exact"/>
              <w:rPr>
                <w:sz w:val="20"/>
                <w:szCs w:val="20"/>
                <w:color w:val="auto"/>
              </w:rPr>
            </w:pPr>
            <w:r>
              <w:rPr>
                <w:rFonts w:ascii="Arial" w:cs="Arial" w:eastAsia="Arial" w:hAnsi="Arial"/>
                <w:sz w:val="18"/>
                <w:szCs w:val="18"/>
                <w:color w:val="0000EE"/>
              </w:rPr>
              <w:t>Controls and Procedures</w:t>
            </w:r>
          </w:p>
        </w:tc>
        <w:tc>
          <w:tcPr>
            <w:tcW w:w="1520" w:type="dxa"/>
            <w:vAlign w:val="bottom"/>
          </w:tcPr>
          <w:p>
            <w:pPr>
              <w:jc w:val="center"/>
              <w:ind w:left="970"/>
              <w:spacing w:after="0" w:line="202" w:lineRule="exact"/>
              <w:rPr>
                <w:sz w:val="20"/>
                <w:szCs w:val="20"/>
                <w:color w:val="auto"/>
              </w:rPr>
            </w:pPr>
            <w:r>
              <w:rPr>
                <w:rFonts w:ascii="Arial" w:cs="Arial" w:eastAsia="Arial" w:hAnsi="Arial"/>
                <w:sz w:val="18"/>
                <w:szCs w:val="18"/>
                <w:color w:val="auto"/>
                <w:w w:val="89"/>
              </w:rPr>
              <w:t>37</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7240" w:type="dxa"/>
            <w:vAlign w:val="bottom"/>
            <w:gridSpan w:val="24"/>
            <w:shd w:val="clear" w:color="auto" w:fill="CCEEFF"/>
          </w:tcPr>
          <w:p>
            <w:pPr>
              <w:spacing w:after="0" w:line="202" w:lineRule="exact"/>
              <w:rPr>
                <w:sz w:val="20"/>
                <w:szCs w:val="20"/>
                <w:color w:val="auto"/>
              </w:rPr>
            </w:pPr>
            <w:r>
              <w:rPr>
                <w:rFonts w:ascii="Arial" w:cs="Arial" w:eastAsia="Arial" w:hAnsi="Arial"/>
                <w:sz w:val="18"/>
                <w:szCs w:val="18"/>
                <w:color w:val="0000EE"/>
              </w:rPr>
              <w:t>PART II – OTHER INFORMATION</w:t>
            </w:r>
          </w:p>
        </w:tc>
        <w:tc>
          <w:tcPr>
            <w:tcW w:w="15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640" w:type="dxa"/>
            <w:vAlign w:val="bottom"/>
            <w:tcBorders>
              <w:top w:val="single" w:sz="8" w:color="0000EE"/>
            </w:tcBorders>
            <w:gridSpan w:val="2"/>
          </w:tcPr>
          <w:p>
            <w:pPr>
              <w:spacing w:after="0" w:line="202" w:lineRule="exact"/>
              <w:rPr>
                <w:sz w:val="20"/>
                <w:szCs w:val="20"/>
                <w:color w:val="auto"/>
              </w:rPr>
            </w:pPr>
            <w:r>
              <w:rPr>
                <w:rFonts w:ascii="Arial" w:cs="Arial" w:eastAsia="Arial" w:hAnsi="Arial"/>
                <w:sz w:val="18"/>
                <w:szCs w:val="18"/>
                <w:color w:val="0000EE"/>
              </w:rPr>
              <w:t>Item 1.</w:t>
            </w:r>
          </w:p>
        </w:tc>
        <w:tc>
          <w:tcPr>
            <w:tcW w:w="2020" w:type="dxa"/>
            <w:vAlign w:val="bottom"/>
            <w:tcBorders>
              <w:top w:val="single" w:sz="8" w:color="0000EE"/>
            </w:tcBorders>
            <w:gridSpan w:val="10"/>
          </w:tcPr>
          <w:p>
            <w:pPr>
              <w:ind w:left="100"/>
              <w:spacing w:after="0" w:line="202" w:lineRule="exact"/>
              <w:rPr>
                <w:sz w:val="20"/>
                <w:szCs w:val="20"/>
                <w:color w:val="auto"/>
              </w:rPr>
            </w:pPr>
            <w:r>
              <w:rPr>
                <w:rFonts w:ascii="Arial" w:cs="Arial" w:eastAsia="Arial" w:hAnsi="Arial"/>
                <w:sz w:val="18"/>
                <w:szCs w:val="18"/>
                <w:color w:val="0000EE"/>
              </w:rPr>
              <w:t>Legal Proceedings</w:t>
            </w:r>
          </w:p>
        </w:tc>
        <w:tc>
          <w:tcPr>
            <w:tcW w:w="4580" w:type="dxa"/>
            <w:vAlign w:val="bottom"/>
            <w:tcBorders>
              <w:top w:val="single" w:sz="8" w:color="CCEEFF"/>
            </w:tcBorders>
            <w:gridSpan w:val="12"/>
          </w:tcPr>
          <w:p>
            <w:pPr>
              <w:spacing w:after="0"/>
              <w:rPr>
                <w:sz w:val="17"/>
                <w:szCs w:val="17"/>
                <w:color w:val="auto"/>
              </w:rPr>
            </w:pPr>
          </w:p>
        </w:tc>
        <w:tc>
          <w:tcPr>
            <w:tcW w:w="1520" w:type="dxa"/>
            <w:vAlign w:val="bottom"/>
            <w:tcBorders>
              <w:top w:val="single" w:sz="8" w:color="CCEEFF"/>
            </w:tcBorders>
          </w:tcPr>
          <w:p>
            <w:pPr>
              <w:jc w:val="center"/>
              <w:ind w:left="970"/>
              <w:spacing w:after="0" w:line="202" w:lineRule="exact"/>
              <w:rPr>
                <w:sz w:val="20"/>
                <w:szCs w:val="20"/>
                <w:color w:val="auto"/>
              </w:rPr>
            </w:pPr>
            <w:r>
              <w:rPr>
                <w:rFonts w:ascii="Arial" w:cs="Arial" w:eastAsia="Arial" w:hAnsi="Arial"/>
                <w:sz w:val="18"/>
                <w:szCs w:val="18"/>
                <w:color w:val="auto"/>
                <w:w w:val="89"/>
              </w:rPr>
              <w:t>37</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0000EE"/>
            </w:tcBorders>
            <w:gridSpan w:val="2"/>
            <w:shd w:val="clear" w:color="auto" w:fill="CCEEFF"/>
          </w:tcPr>
          <w:p>
            <w:pPr>
              <w:spacing w:after="0" w:line="202" w:lineRule="exact"/>
              <w:rPr>
                <w:sz w:val="20"/>
                <w:szCs w:val="20"/>
                <w:color w:val="auto"/>
              </w:rPr>
            </w:pPr>
            <w:r>
              <w:rPr>
                <w:rFonts w:ascii="Arial" w:cs="Arial" w:eastAsia="Arial" w:hAnsi="Arial"/>
                <w:sz w:val="18"/>
                <w:szCs w:val="18"/>
                <w:color w:val="0000EE"/>
                <w:w w:val="92"/>
              </w:rPr>
              <w:t>Item 1A.</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0000EE"/>
            </w:tcBorders>
            <w:gridSpan w:val="3"/>
            <w:shd w:val="clear" w:color="auto" w:fill="CCEEFF"/>
          </w:tcPr>
          <w:p>
            <w:pPr>
              <w:spacing w:after="0" w:line="202" w:lineRule="exact"/>
              <w:rPr>
                <w:sz w:val="20"/>
                <w:szCs w:val="20"/>
                <w:color w:val="auto"/>
              </w:rPr>
            </w:pPr>
            <w:r>
              <w:rPr>
                <w:rFonts w:ascii="Arial" w:cs="Arial" w:eastAsia="Arial" w:hAnsi="Arial"/>
                <w:sz w:val="18"/>
                <w:szCs w:val="18"/>
                <w:color w:val="0000EE"/>
                <w:w w:val="89"/>
              </w:rPr>
              <w:t>Risk Factors</w:t>
            </w:r>
          </w:p>
        </w:tc>
        <w:tc>
          <w:tcPr>
            <w:tcW w:w="5580" w:type="dxa"/>
            <w:vAlign w:val="bottom"/>
            <w:tcBorders>
              <w:bottom w:val="single" w:sz="8" w:color="CCEEFF"/>
            </w:tcBorders>
            <w:gridSpan w:val="18"/>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left="970"/>
              <w:spacing w:after="0" w:line="202" w:lineRule="exact"/>
              <w:rPr>
                <w:sz w:val="20"/>
                <w:szCs w:val="20"/>
                <w:color w:val="auto"/>
              </w:rPr>
            </w:pPr>
            <w:r>
              <w:rPr>
                <w:rFonts w:ascii="Arial" w:cs="Arial" w:eastAsia="Arial" w:hAnsi="Arial"/>
                <w:sz w:val="18"/>
                <w:szCs w:val="18"/>
                <w:color w:val="auto"/>
                <w:w w:val="89"/>
              </w:rPr>
              <w:t>37</w:t>
            </w:r>
          </w:p>
        </w:tc>
      </w:tr>
      <w:tr>
        <w:trPr>
          <w:trHeight w:val="203"/>
        </w:trPr>
        <w:tc>
          <w:tcPr>
            <w:tcW w:w="660" w:type="dxa"/>
            <w:vAlign w:val="bottom"/>
            <w:gridSpan w:val="3"/>
          </w:tcPr>
          <w:p>
            <w:pPr>
              <w:ind w:left="20"/>
              <w:spacing w:after="0" w:line="202" w:lineRule="exact"/>
              <w:rPr>
                <w:sz w:val="20"/>
                <w:szCs w:val="20"/>
                <w:color w:val="auto"/>
              </w:rPr>
            </w:pPr>
            <w:r>
              <w:rPr>
                <w:rFonts w:ascii="Arial" w:cs="Arial" w:eastAsia="Arial" w:hAnsi="Arial"/>
                <w:sz w:val="18"/>
                <w:szCs w:val="18"/>
                <w:color w:val="0000EE"/>
              </w:rPr>
              <w:t>Item 2.</w:t>
            </w:r>
          </w:p>
        </w:tc>
        <w:tc>
          <w:tcPr>
            <w:tcW w:w="6600" w:type="dxa"/>
            <w:vAlign w:val="bottom"/>
            <w:gridSpan w:val="22"/>
          </w:tcPr>
          <w:p>
            <w:pPr>
              <w:ind w:left="100"/>
              <w:spacing w:after="0" w:line="202" w:lineRule="exact"/>
              <w:rPr>
                <w:sz w:val="20"/>
                <w:szCs w:val="20"/>
                <w:color w:val="auto"/>
              </w:rPr>
            </w:pPr>
            <w:r>
              <w:rPr>
                <w:rFonts w:ascii="Arial" w:cs="Arial" w:eastAsia="Arial" w:hAnsi="Arial"/>
                <w:sz w:val="18"/>
                <w:szCs w:val="18"/>
                <w:color w:val="0000EE"/>
              </w:rPr>
              <w:t>Unregistered Sales of Equity Securities and Use of Proceeds</w:t>
            </w:r>
          </w:p>
        </w:tc>
        <w:tc>
          <w:tcPr>
            <w:tcW w:w="1520" w:type="dxa"/>
            <w:vAlign w:val="bottom"/>
          </w:tcPr>
          <w:p>
            <w:pPr>
              <w:jc w:val="center"/>
              <w:ind w:left="970"/>
              <w:spacing w:after="0" w:line="202" w:lineRule="exact"/>
              <w:rPr>
                <w:sz w:val="20"/>
                <w:szCs w:val="20"/>
                <w:color w:val="auto"/>
              </w:rPr>
            </w:pPr>
            <w:r>
              <w:rPr>
                <w:rFonts w:ascii="Arial" w:cs="Arial" w:eastAsia="Arial" w:hAnsi="Arial"/>
                <w:sz w:val="18"/>
                <w:szCs w:val="18"/>
                <w:color w:val="auto"/>
                <w:w w:val="89"/>
              </w:rPr>
              <w:t>38</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sz w:val="20"/>
                <w:szCs w:val="20"/>
                <w:color w:val="auto"/>
              </w:rPr>
            </w:pPr>
            <w:r>
              <w:rPr>
                <w:rFonts w:ascii="Arial" w:cs="Arial" w:eastAsia="Arial" w:hAnsi="Arial"/>
                <w:sz w:val="18"/>
                <w:szCs w:val="18"/>
                <w:color w:val="0000EE"/>
                <w:w w:val="90"/>
              </w:rPr>
              <w:t>Item 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0000EE"/>
            </w:tcBorders>
            <w:gridSpan w:val="12"/>
            <w:shd w:val="clear" w:color="auto" w:fill="CCEEFF"/>
          </w:tcPr>
          <w:p>
            <w:pPr>
              <w:spacing w:after="0" w:line="202" w:lineRule="exact"/>
              <w:rPr>
                <w:sz w:val="20"/>
                <w:szCs w:val="20"/>
                <w:color w:val="auto"/>
              </w:rPr>
            </w:pPr>
            <w:r>
              <w:rPr>
                <w:rFonts w:ascii="Arial" w:cs="Arial" w:eastAsia="Arial" w:hAnsi="Arial"/>
                <w:sz w:val="18"/>
                <w:szCs w:val="18"/>
                <w:color w:val="0000EE"/>
                <w:w w:val="90"/>
              </w:rPr>
              <w:t>Defaults Upon Senior Securities</w:t>
            </w:r>
          </w:p>
        </w:tc>
        <w:tc>
          <w:tcPr>
            <w:tcW w:w="4160" w:type="dxa"/>
            <w:vAlign w:val="bottom"/>
            <w:tcBorders>
              <w:bottom w:val="single" w:sz="8" w:color="CCEEFF"/>
            </w:tcBorders>
            <w:gridSpan w:val="9"/>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left="970"/>
              <w:spacing w:after="0" w:line="202" w:lineRule="exact"/>
              <w:rPr>
                <w:sz w:val="20"/>
                <w:szCs w:val="20"/>
                <w:color w:val="auto"/>
              </w:rPr>
            </w:pPr>
            <w:r>
              <w:rPr>
                <w:rFonts w:ascii="Arial" w:cs="Arial" w:eastAsia="Arial" w:hAnsi="Arial"/>
                <w:sz w:val="18"/>
                <w:szCs w:val="18"/>
                <w:color w:val="auto"/>
                <w:w w:val="89"/>
              </w:rPr>
              <w:t>38</w:t>
            </w:r>
          </w:p>
        </w:tc>
      </w:tr>
      <w:tr>
        <w:trPr>
          <w:trHeight w:val="203"/>
        </w:trPr>
        <w:tc>
          <w:tcPr>
            <w:tcW w:w="660" w:type="dxa"/>
            <w:vAlign w:val="bottom"/>
            <w:gridSpan w:val="3"/>
          </w:tcPr>
          <w:p>
            <w:pPr>
              <w:ind w:left="20"/>
              <w:spacing w:after="0" w:line="202" w:lineRule="exact"/>
              <w:rPr>
                <w:sz w:val="20"/>
                <w:szCs w:val="20"/>
                <w:color w:val="auto"/>
              </w:rPr>
            </w:pPr>
            <w:r>
              <w:rPr>
                <w:rFonts w:ascii="Arial" w:cs="Arial" w:eastAsia="Arial" w:hAnsi="Arial"/>
                <w:sz w:val="18"/>
                <w:szCs w:val="18"/>
                <w:color w:val="0000EE"/>
              </w:rPr>
              <w:t>Item 4.</w:t>
            </w:r>
          </w:p>
        </w:tc>
        <w:tc>
          <w:tcPr>
            <w:tcW w:w="6600" w:type="dxa"/>
            <w:vAlign w:val="bottom"/>
            <w:gridSpan w:val="22"/>
          </w:tcPr>
          <w:p>
            <w:pPr>
              <w:ind w:left="100"/>
              <w:spacing w:after="0" w:line="202" w:lineRule="exact"/>
              <w:rPr>
                <w:sz w:val="20"/>
                <w:szCs w:val="20"/>
                <w:color w:val="auto"/>
              </w:rPr>
            </w:pPr>
            <w:r>
              <w:rPr>
                <w:rFonts w:ascii="Arial" w:cs="Arial" w:eastAsia="Arial" w:hAnsi="Arial"/>
                <w:sz w:val="18"/>
                <w:szCs w:val="18"/>
                <w:color w:val="0000EE"/>
              </w:rPr>
              <w:t>Mine Safety Disclosures</w:t>
            </w:r>
          </w:p>
        </w:tc>
        <w:tc>
          <w:tcPr>
            <w:tcW w:w="1520" w:type="dxa"/>
            <w:vAlign w:val="bottom"/>
          </w:tcPr>
          <w:p>
            <w:pPr>
              <w:jc w:val="center"/>
              <w:ind w:left="970"/>
              <w:spacing w:after="0" w:line="202" w:lineRule="exact"/>
              <w:rPr>
                <w:sz w:val="20"/>
                <w:szCs w:val="20"/>
                <w:color w:val="auto"/>
              </w:rPr>
            </w:pPr>
            <w:r>
              <w:rPr>
                <w:rFonts w:ascii="Arial" w:cs="Arial" w:eastAsia="Arial" w:hAnsi="Arial"/>
                <w:sz w:val="18"/>
                <w:szCs w:val="18"/>
                <w:color w:val="auto"/>
                <w:w w:val="89"/>
              </w:rPr>
              <w:t>38</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EE"/>
                <w:w w:val="90"/>
              </w:rPr>
              <w:t>Item 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50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Other Information</w:t>
            </w:r>
          </w:p>
        </w:tc>
        <w:tc>
          <w:tcPr>
            <w:tcW w:w="1520" w:type="dxa"/>
            <w:vAlign w:val="bottom"/>
            <w:shd w:val="clear" w:color="auto" w:fill="CCEEFF"/>
          </w:tcPr>
          <w:p>
            <w:pPr>
              <w:jc w:val="center"/>
              <w:ind w:left="970"/>
              <w:spacing w:after="0" w:line="202" w:lineRule="exact"/>
              <w:rPr>
                <w:sz w:val="20"/>
                <w:szCs w:val="20"/>
                <w:color w:val="auto"/>
              </w:rPr>
            </w:pPr>
            <w:r>
              <w:rPr>
                <w:rFonts w:ascii="Arial" w:cs="Arial" w:eastAsia="Arial" w:hAnsi="Arial"/>
                <w:sz w:val="18"/>
                <w:szCs w:val="18"/>
                <w:color w:val="auto"/>
                <w:w w:val="89"/>
              </w:rPr>
              <w:t>38</w:t>
            </w: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sz w:val="20"/>
                <w:szCs w:val="20"/>
                <w:color w:val="auto"/>
              </w:rPr>
            </w:pPr>
            <w:r>
              <w:rPr>
                <w:rFonts w:ascii="Arial" w:cs="Arial" w:eastAsia="Arial" w:hAnsi="Arial"/>
                <w:sz w:val="18"/>
                <w:szCs w:val="18"/>
                <w:color w:val="0000EE"/>
                <w:w w:val="90"/>
              </w:rPr>
              <w:t>Item 6.</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320" w:type="dxa"/>
            <w:vAlign w:val="bottom"/>
            <w:tcBorders>
              <w:top w:val="single" w:sz="8" w:color="0000EE"/>
            </w:tcBorders>
            <w:gridSpan w:val="5"/>
          </w:tcPr>
          <w:p>
            <w:pPr>
              <w:spacing w:after="0" w:line="202" w:lineRule="exact"/>
              <w:rPr>
                <w:sz w:val="20"/>
                <w:szCs w:val="20"/>
                <w:color w:val="auto"/>
              </w:rPr>
            </w:pPr>
            <w:r>
              <w:rPr>
                <w:rFonts w:ascii="Arial" w:cs="Arial" w:eastAsia="Arial" w:hAnsi="Arial"/>
                <w:sz w:val="18"/>
                <w:szCs w:val="18"/>
                <w:color w:val="0000EE"/>
              </w:rPr>
              <w:t>Exhibits</w:t>
            </w:r>
          </w:p>
        </w:tc>
        <w:tc>
          <w:tcPr>
            <w:tcW w:w="5180" w:type="dxa"/>
            <w:vAlign w:val="bottom"/>
            <w:tcBorders>
              <w:top w:val="single" w:sz="8" w:color="CCEEFF"/>
            </w:tcBorders>
            <w:gridSpan w:val="16"/>
          </w:tcPr>
          <w:p>
            <w:pPr>
              <w:spacing w:after="0"/>
              <w:rPr>
                <w:sz w:val="17"/>
                <w:szCs w:val="17"/>
                <w:color w:val="auto"/>
              </w:rPr>
            </w:pPr>
          </w:p>
        </w:tc>
        <w:tc>
          <w:tcPr>
            <w:tcW w:w="1520" w:type="dxa"/>
            <w:vAlign w:val="bottom"/>
            <w:tcBorders>
              <w:top w:val="single" w:sz="8" w:color="CCEEFF"/>
            </w:tcBorders>
          </w:tcPr>
          <w:p>
            <w:pPr>
              <w:jc w:val="center"/>
              <w:ind w:left="970"/>
              <w:spacing w:after="0" w:line="202" w:lineRule="exact"/>
              <w:rPr>
                <w:sz w:val="20"/>
                <w:szCs w:val="20"/>
                <w:color w:val="auto"/>
              </w:rPr>
            </w:pPr>
            <w:r>
              <w:rPr>
                <w:rFonts w:ascii="Arial" w:cs="Arial" w:eastAsia="Arial" w:hAnsi="Arial"/>
                <w:sz w:val="18"/>
                <w:szCs w:val="18"/>
                <w:color w:val="auto"/>
                <w:w w:val="89"/>
              </w:rPr>
              <w:t>39</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03"/>
        </w:trPr>
        <w:tc>
          <w:tcPr>
            <w:tcW w:w="7260" w:type="dxa"/>
            <w:vAlign w:val="bottom"/>
            <w:gridSpan w:val="25"/>
            <w:shd w:val="clear" w:color="auto" w:fill="CCEEFF"/>
          </w:tcPr>
          <w:p>
            <w:pPr>
              <w:ind w:left="20"/>
              <w:spacing w:after="0" w:line="202" w:lineRule="exact"/>
              <w:rPr>
                <w:sz w:val="20"/>
                <w:szCs w:val="20"/>
                <w:color w:val="auto"/>
              </w:rPr>
            </w:pPr>
            <w:r>
              <w:rPr>
                <w:rFonts w:ascii="Arial" w:cs="Arial" w:eastAsia="Arial" w:hAnsi="Arial"/>
                <w:sz w:val="18"/>
                <w:szCs w:val="18"/>
                <w:color w:val="0000EE"/>
              </w:rPr>
              <w:t>Signatures</w:t>
            </w:r>
          </w:p>
        </w:tc>
        <w:tc>
          <w:tcPr>
            <w:tcW w:w="1520" w:type="dxa"/>
            <w:vAlign w:val="bottom"/>
            <w:shd w:val="clear" w:color="auto" w:fill="CCEEFF"/>
          </w:tcPr>
          <w:p>
            <w:pPr>
              <w:jc w:val="center"/>
              <w:ind w:left="970"/>
              <w:spacing w:after="0" w:line="202" w:lineRule="exact"/>
              <w:rPr>
                <w:sz w:val="20"/>
                <w:szCs w:val="20"/>
                <w:color w:val="auto"/>
              </w:rPr>
            </w:pPr>
            <w:r>
              <w:rPr>
                <w:rFonts w:ascii="Arial" w:cs="Arial" w:eastAsia="Arial" w:hAnsi="Arial"/>
                <w:sz w:val="18"/>
                <w:szCs w:val="18"/>
                <w:color w:val="auto"/>
                <w:w w:val="89"/>
              </w:rPr>
              <w:t>41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r>
      <w:tr>
        <w:trPr>
          <w:trHeight w:val="142"/>
        </w:trPr>
        <w:tc>
          <w:tcPr>
            <w:tcW w:w="5500" w:type="dxa"/>
            <w:vAlign w:val="bottom"/>
            <w:shd w:val="clear" w:color="auto" w:fill="CCEEFF"/>
          </w:tcPr>
          <w:p>
            <w:pPr>
              <w:ind w:left="2440"/>
              <w:spacing w:after="0" w:line="142"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w:t>
            </w:r>
          </w:p>
        </w:tc>
        <w:tc>
          <w:tcPr>
            <w:tcW w:w="2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11,789</w:t>
            </w:r>
          </w:p>
        </w:tc>
        <w:tc>
          <w:tcPr>
            <w:tcW w:w="4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16,989</w:t>
            </w: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7,334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6,830</w:t>
            </w:r>
          </w:p>
        </w:tc>
        <w:tc>
          <w:tcPr>
            <w:tcW w:w="260" w:type="dxa"/>
            <w:vAlign w:val="bottom"/>
          </w:tcPr>
          <w:p>
            <w:pPr>
              <w:spacing w:after="0"/>
              <w:rPr>
                <w:sz w:val="12"/>
                <w:szCs w:val="12"/>
                <w:color w:val="auto"/>
              </w:rPr>
            </w:pPr>
          </w:p>
        </w:tc>
      </w:tr>
      <w:tr>
        <w:trPr>
          <w:trHeight w:val="162"/>
        </w:trPr>
        <w:tc>
          <w:tcPr>
            <w:tcW w:w="5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Inventory</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11,055</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10,052</w:t>
            </w:r>
          </w:p>
        </w:tc>
        <w:tc>
          <w:tcPr>
            <w:tcW w:w="260" w:type="dxa"/>
            <w:vAlign w:val="bottom"/>
            <w:shd w:val="clear" w:color="auto" w:fill="CCEEFF"/>
          </w:tcPr>
          <w:p>
            <w:pPr>
              <w:spacing w:after="0"/>
              <w:rPr>
                <w:sz w:val="14"/>
                <w:szCs w:val="14"/>
                <w:color w:val="auto"/>
              </w:rPr>
            </w:pP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Receivables of FiberCel litigation costs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10,921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13,813</w:t>
            </w:r>
          </w:p>
        </w:tc>
        <w:tc>
          <w:tcPr>
            <w:tcW w:w="260" w:type="dxa"/>
            <w:vAlign w:val="bottom"/>
          </w:tcPr>
          <w:p>
            <w:pPr>
              <w:spacing w:after="0"/>
              <w:rPr>
                <w:sz w:val="12"/>
                <w:szCs w:val="12"/>
                <w:color w:val="auto"/>
              </w:rPr>
            </w:pP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2,367</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3,015</w:t>
            </w:r>
          </w:p>
        </w:tc>
        <w:tc>
          <w:tcPr>
            <w:tcW w:w="260" w:type="dxa"/>
            <w:vAlign w:val="bottom"/>
            <w:shd w:val="clear" w:color="auto" w:fill="CCEEFF"/>
          </w:tcPr>
          <w:p>
            <w:pPr>
              <w:spacing w:after="0"/>
              <w:rPr>
                <w:sz w:val="12"/>
                <w:szCs w:val="12"/>
                <w:color w:val="auto"/>
              </w:rPr>
            </w:pPr>
          </w:p>
        </w:tc>
      </w:tr>
      <w:tr>
        <w:trPr>
          <w:trHeight w:val="142"/>
        </w:trPr>
        <w:tc>
          <w:tcPr>
            <w:tcW w:w="5500" w:type="dxa"/>
            <w:vAlign w:val="bottom"/>
          </w:tcPr>
          <w:p>
            <w:pPr>
              <w:ind w:left="340"/>
              <w:spacing w:after="0" w:line="142" w:lineRule="exact"/>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43,466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4"/>
                <w:szCs w:val="14"/>
                <w:color w:val="auto"/>
              </w:rPr>
              <w:t>50,699</w:t>
            </w:r>
          </w:p>
        </w:tc>
        <w:tc>
          <w:tcPr>
            <w:tcW w:w="260" w:type="dxa"/>
            <w:vAlign w:val="bottom"/>
          </w:tcPr>
          <w:p>
            <w:pPr>
              <w:spacing w:after="0"/>
              <w:rPr>
                <w:sz w:val="12"/>
                <w:szCs w:val="12"/>
                <w:color w:val="auto"/>
              </w:rPr>
            </w:pPr>
          </w:p>
        </w:tc>
      </w:tr>
      <w:tr>
        <w:trPr>
          <w:trHeight w:val="149"/>
        </w:trPr>
        <w:tc>
          <w:tcPr>
            <w:tcW w:w="5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1,488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1,403</w:t>
            </w:r>
          </w:p>
        </w:tc>
        <w:tc>
          <w:tcPr>
            <w:tcW w:w="260" w:type="dxa"/>
            <w:vAlign w:val="bottom"/>
          </w:tcPr>
          <w:p>
            <w:pPr>
              <w:spacing w:after="0"/>
              <w:rPr>
                <w:sz w:val="12"/>
                <w:szCs w:val="12"/>
                <w:color w:val="auto"/>
              </w:rPr>
            </w:pPr>
          </w:p>
        </w:tc>
      </w:tr>
      <w:tr>
        <w:trPr>
          <w:trHeight w:val="148"/>
        </w:trPr>
        <w:tc>
          <w:tcPr>
            <w:tcW w:w="5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14,220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15,069</w:t>
            </w: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Operating lease right-of-use assets and other</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1,456</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1,670</w:t>
            </w:r>
          </w:p>
        </w:tc>
        <w:tc>
          <w:tcPr>
            <w:tcW w:w="260" w:type="dxa"/>
            <w:vAlign w:val="bottom"/>
            <w:tcBorders>
              <w:bottom w:val="single" w:sz="8" w:color="CCEEFF"/>
            </w:tcBorders>
          </w:tcPr>
          <w:p>
            <w:pPr>
              <w:spacing w:after="0"/>
              <w:rPr>
                <w:sz w:val="12"/>
                <w:szCs w:val="12"/>
                <w:color w:val="auto"/>
              </w:rPr>
            </w:pPr>
          </w:p>
        </w:tc>
      </w:tr>
      <w:tr>
        <w:trPr>
          <w:trHeight w:val="182"/>
        </w:trPr>
        <w:tc>
          <w:tcPr>
            <w:tcW w:w="5500" w:type="dxa"/>
            <w:vAlign w:val="bottom"/>
            <w:tcBorders>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Total assets</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60,630</w:t>
            </w: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68,841</w:t>
            </w:r>
          </w:p>
        </w:tc>
        <w:tc>
          <w:tcPr>
            <w:tcW w:w="260" w:type="dxa"/>
            <w:vAlign w:val="bottom"/>
            <w:tcBorders>
              <w:bottom w:val="single" w:sz="8" w:color="CCEEFF"/>
            </w:tcBorders>
            <w:shd w:val="clear" w:color="auto" w:fill="CCEEFF"/>
          </w:tcPr>
          <w:p>
            <w:pPr>
              <w:spacing w:after="0"/>
              <w:rPr>
                <w:sz w:val="15"/>
                <w:szCs w:val="15"/>
                <w:color w:val="auto"/>
              </w:rPr>
            </w:pPr>
          </w:p>
        </w:tc>
      </w:tr>
      <w:tr>
        <w:trPr>
          <w:trHeight w:val="129"/>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9"/>
        </w:trPr>
        <w:tc>
          <w:tcPr>
            <w:tcW w:w="5500" w:type="dxa"/>
            <w:vAlign w:val="bottom"/>
            <w:shd w:val="clear" w:color="auto" w:fill="CCEEFF"/>
          </w:tcPr>
          <w:p>
            <w:pPr>
              <w:ind w:left="1520"/>
              <w:spacing w:after="0" w:line="149" w:lineRule="exact"/>
              <w:rPr>
                <w:sz w:val="20"/>
                <w:szCs w:val="20"/>
                <w:color w:val="auto"/>
              </w:rPr>
            </w:pPr>
            <w:r>
              <w:rPr>
                <w:rFonts w:ascii="Arial" w:cs="Arial" w:eastAsia="Arial" w:hAnsi="Arial"/>
                <w:sz w:val="14"/>
                <w:szCs w:val="14"/>
                <w:b w:val="1"/>
                <w:bCs w:val="1"/>
                <w:color w:val="auto"/>
              </w:rPr>
              <w:t>Liabilities and Stockholders’ Deficit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8"/>
        </w:trPr>
        <w:tc>
          <w:tcPr>
            <w:tcW w:w="5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3,498</w:t>
            </w:r>
          </w:p>
        </w:tc>
        <w:tc>
          <w:tcPr>
            <w:tcW w:w="4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2,328</w:t>
            </w:r>
          </w:p>
        </w:tc>
        <w:tc>
          <w:tcPr>
            <w:tcW w:w="260" w:type="dxa"/>
            <w:vAlign w:val="bottom"/>
          </w:tcPr>
          <w:p>
            <w:pPr>
              <w:spacing w:after="0"/>
              <w:rPr>
                <w:sz w:val="12"/>
                <w:szCs w:val="12"/>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10,103</w:t>
            </w: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Payables to tissue suppliers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2,687</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3,152</w:t>
            </w:r>
          </w:p>
        </w:tc>
        <w:tc>
          <w:tcPr>
            <w:tcW w:w="260" w:type="dxa"/>
            <w:vAlign w:val="bottom"/>
          </w:tcPr>
          <w:p>
            <w:pPr>
              <w:spacing w:after="0"/>
              <w:rPr>
                <w:sz w:val="12"/>
                <w:szCs w:val="12"/>
                <w:color w:val="auto"/>
              </w:rPr>
            </w:pPr>
          </w:p>
        </w:tc>
      </w:tr>
      <w:tr>
        <w:trPr>
          <w:trHeight w:val="162"/>
        </w:trPr>
        <w:tc>
          <w:tcPr>
            <w:tcW w:w="5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revenue interest obligation</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9,678</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w:t>
            </w:r>
          </w:p>
        </w:tc>
        <w:tc>
          <w:tcPr>
            <w:tcW w:w="260" w:type="dxa"/>
            <w:vAlign w:val="bottom"/>
            <w:shd w:val="clear" w:color="auto" w:fill="CCEEFF"/>
          </w:tcPr>
          <w:p>
            <w:pPr>
              <w:spacing w:after="0"/>
              <w:rPr>
                <w:sz w:val="14"/>
                <w:szCs w:val="14"/>
                <w:color w:val="auto"/>
              </w:rPr>
            </w:pP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Contingent liability for FiberCel litigation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15,631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17,360</w:t>
            </w:r>
          </w:p>
        </w:tc>
        <w:tc>
          <w:tcPr>
            <w:tcW w:w="260" w:type="dxa"/>
            <w:vAlign w:val="bottom"/>
          </w:tcPr>
          <w:p>
            <w:pPr>
              <w:spacing w:after="0"/>
              <w:rPr>
                <w:sz w:val="12"/>
                <w:szCs w:val="12"/>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operating lease liabilities and other</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588</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260" w:type="dxa"/>
            <w:vAlign w:val="bottom"/>
            <w:shd w:val="clear" w:color="auto" w:fill="CCEEFF"/>
          </w:tcPr>
          <w:p>
            <w:pPr>
              <w:spacing w:after="0"/>
              <w:rPr>
                <w:sz w:val="12"/>
                <w:szCs w:val="12"/>
                <w:color w:val="auto"/>
              </w:rPr>
            </w:pPr>
          </w:p>
        </w:tc>
      </w:tr>
      <w:tr>
        <w:trPr>
          <w:trHeight w:val="142"/>
        </w:trPr>
        <w:tc>
          <w:tcPr>
            <w:tcW w:w="5500" w:type="dxa"/>
            <w:vAlign w:val="bottom"/>
          </w:tcPr>
          <w:p>
            <w:pPr>
              <w:ind w:left="340"/>
              <w:spacing w:after="0" w:line="142" w:lineRule="exact"/>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41,424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4"/>
                <w:szCs w:val="14"/>
                <w:color w:val="auto"/>
              </w:rPr>
              <w:t>42,615</w:t>
            </w:r>
          </w:p>
        </w:tc>
        <w:tc>
          <w:tcPr>
            <w:tcW w:w="260" w:type="dxa"/>
            <w:vAlign w:val="bottom"/>
          </w:tcPr>
          <w:p>
            <w:pPr>
              <w:spacing w:after="0"/>
              <w:rPr>
                <w:sz w:val="12"/>
                <w:szCs w:val="12"/>
                <w:color w:val="auto"/>
              </w:rPr>
            </w:pPr>
          </w:p>
        </w:tc>
      </w:tr>
      <w:tr>
        <w:trPr>
          <w:trHeight w:val="148"/>
        </w:trPr>
        <w:tc>
          <w:tcPr>
            <w:tcW w:w="5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4"/>
                <w:szCs w:val="14"/>
                <w:color w:val="auto"/>
              </w:rPr>
              <w:t>Long-term debt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24,589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24,260</w:t>
            </w:r>
          </w:p>
        </w:tc>
        <w:tc>
          <w:tcPr>
            <w:tcW w:w="260" w:type="dxa"/>
            <w:vAlign w:val="bottom"/>
          </w:tcPr>
          <w:p>
            <w:pPr>
              <w:spacing w:after="0"/>
              <w:rPr>
                <w:sz w:val="12"/>
                <w:szCs w:val="12"/>
                <w:color w:val="auto"/>
              </w:rPr>
            </w:pPr>
          </w:p>
        </w:tc>
      </w:tr>
      <w:tr>
        <w:trPr>
          <w:trHeight w:val="149"/>
        </w:trPr>
        <w:tc>
          <w:tcPr>
            <w:tcW w:w="5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Long-term revenue interest obligation</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5,916</w:t>
            </w: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4"/>
                <w:szCs w:val="14"/>
                <w:color w:val="auto"/>
              </w:rPr>
              <w:t>Long-term operating lease liabilities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835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956</w:t>
            </w:r>
          </w:p>
        </w:tc>
        <w:tc>
          <w:tcPr>
            <w:tcW w:w="260" w:type="dxa"/>
            <w:vAlign w:val="bottom"/>
          </w:tcPr>
          <w:p>
            <w:pPr>
              <w:spacing w:after="0"/>
              <w:rPr>
                <w:sz w:val="12"/>
                <w:szCs w:val="12"/>
                <w:color w:val="auto"/>
              </w:rPr>
            </w:pPr>
          </w:p>
        </w:tc>
      </w:tr>
      <w:tr>
        <w:trPr>
          <w:trHeight w:val="148"/>
        </w:trPr>
        <w:tc>
          <w:tcPr>
            <w:tcW w:w="55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Other long-term liabilities</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2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60" w:type="dxa"/>
            <w:vAlign w:val="bottom"/>
            <w:tcBorders>
              <w:bottom w:val="single" w:sz="8" w:color="CCEEFF"/>
            </w:tcBorders>
            <w:shd w:val="clear" w:color="auto" w:fill="CCEEFF"/>
          </w:tcPr>
          <w:p>
            <w:pPr>
              <w:spacing w:after="0"/>
              <w:rPr>
                <w:sz w:val="12"/>
                <w:szCs w:val="12"/>
                <w:color w:val="auto"/>
              </w:rPr>
            </w:pPr>
          </w:p>
        </w:tc>
      </w:tr>
      <w:tr>
        <w:trPr>
          <w:trHeight w:val="142"/>
        </w:trPr>
        <w:tc>
          <w:tcPr>
            <w:tcW w:w="5500" w:type="dxa"/>
            <w:vAlign w:val="bottom"/>
          </w:tcPr>
          <w:p>
            <w:pPr>
              <w:ind w:left="340"/>
              <w:spacing w:after="0" w:line="142" w:lineRule="exact"/>
              <w:rPr>
                <w:sz w:val="20"/>
                <w:szCs w:val="20"/>
                <w:color w:val="auto"/>
              </w:rPr>
            </w:pPr>
            <w:r>
              <w:rPr>
                <w:rFonts w:ascii="Arial" w:cs="Arial" w:eastAsia="Arial" w:hAnsi="Arial"/>
                <w:sz w:val="14"/>
                <w:szCs w:val="14"/>
                <w:color w:val="auto"/>
              </w:rPr>
              <w:t>Total liabilities</w:t>
            </w: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72,805</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73,874</w:t>
            </w:r>
          </w:p>
        </w:tc>
        <w:tc>
          <w:tcPr>
            <w:tcW w:w="260" w:type="dxa"/>
            <w:vAlign w:val="bottom"/>
          </w:tcPr>
          <w:p>
            <w:pPr>
              <w:spacing w:after="0"/>
              <w:rPr>
                <w:sz w:val="12"/>
                <w:szCs w:val="12"/>
                <w:color w:val="auto"/>
              </w:rPr>
            </w:pPr>
          </w:p>
        </w:tc>
      </w:tr>
      <w:tr>
        <w:trPr>
          <w:trHeight w:val="142"/>
        </w:trPr>
        <w:tc>
          <w:tcPr>
            <w:tcW w:w="5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4"/>
                <w:szCs w:val="14"/>
                <w:color w:val="auto"/>
              </w:rPr>
              <w:t>Commitments and contingencies (Note 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9"/>
        </w:trPr>
        <w:tc>
          <w:tcPr>
            <w:tcW w:w="5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4"/>
                <w:szCs w:val="14"/>
                <w:color w:val="auto"/>
              </w:rPr>
              <w:t>Stockholders’ equity (deficit):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30"/>
        </w:trPr>
        <w:tc>
          <w:tcPr>
            <w:tcW w:w="5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 $0.001 par value, 200,000,000 shares authorized as of</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March 31, 2023 and December 31, 2022, and 11,876,792 and 11,823,445 shares issued</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67"/>
        </w:trPr>
        <w:tc>
          <w:tcPr>
            <w:tcW w:w="5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outstanding, as of March 31, 2023 and December 31, 2022, respectively</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4"/>
                <w:szCs w:val="14"/>
                <w:color w:val="auto"/>
              </w:rPr>
            </w:pPr>
          </w:p>
        </w:tc>
      </w:tr>
      <w:tr>
        <w:trPr>
          <w:trHeight w:val="130"/>
        </w:trPr>
        <w:tc>
          <w:tcPr>
            <w:tcW w:w="5500" w:type="dxa"/>
            <w:vAlign w:val="bottom"/>
          </w:tcPr>
          <w:p>
            <w:pPr>
              <w:ind w:left="120"/>
              <w:spacing w:after="0" w:line="130" w:lineRule="exact"/>
              <w:rPr>
                <w:sz w:val="20"/>
                <w:szCs w:val="20"/>
                <w:color w:val="auto"/>
              </w:rPr>
            </w:pPr>
            <w:r>
              <w:rPr>
                <w:rFonts w:ascii="Arial" w:cs="Arial" w:eastAsia="Arial" w:hAnsi="Arial"/>
                <w:sz w:val="14"/>
                <w:szCs w:val="14"/>
                <w:color w:val="auto"/>
              </w:rPr>
              <w:t>Class B Common stock, $0.001 par value, 20,000,000 shares authorized, as of</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8"/>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March 31, 2023 and December 31, 2022 and 4,313,406 issued and outstanding as of</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7"/>
        </w:trPr>
        <w:tc>
          <w:tcPr>
            <w:tcW w:w="5500" w:type="dxa"/>
            <w:vAlign w:val="bottom"/>
          </w:tcPr>
          <w:p>
            <w:pPr>
              <w:ind w:left="120"/>
              <w:spacing w:after="0"/>
              <w:rPr>
                <w:sz w:val="20"/>
                <w:szCs w:val="20"/>
                <w:color w:val="auto"/>
              </w:rPr>
            </w:pPr>
            <w:r>
              <w:rPr>
                <w:rFonts w:ascii="Arial" w:cs="Arial" w:eastAsia="Arial" w:hAnsi="Arial"/>
                <w:sz w:val="14"/>
                <w:szCs w:val="14"/>
                <w:color w:val="auto"/>
              </w:rPr>
              <w:t>March 31, 2023 and December 31, 2022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r>
      <w:tr>
        <w:trPr>
          <w:trHeight w:val="162"/>
        </w:trPr>
        <w:tc>
          <w:tcPr>
            <w:tcW w:w="5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133,771</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132,939</w:t>
            </w:r>
          </w:p>
        </w:tc>
        <w:tc>
          <w:tcPr>
            <w:tcW w:w="260" w:type="dxa"/>
            <w:vAlign w:val="bottom"/>
            <w:shd w:val="clear" w:color="auto" w:fill="CCEEFF"/>
          </w:tcPr>
          <w:p>
            <w:pPr>
              <w:spacing w:after="0"/>
              <w:rPr>
                <w:sz w:val="14"/>
                <w:szCs w:val="14"/>
                <w:color w:val="auto"/>
              </w:rPr>
            </w:pPr>
          </w:p>
        </w:tc>
      </w:tr>
      <w:tr>
        <w:trPr>
          <w:trHeight w:val="149"/>
        </w:trPr>
        <w:tc>
          <w:tcPr>
            <w:tcW w:w="55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(145,962)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(137,988)</w:t>
            </w:r>
          </w:p>
        </w:tc>
        <w:tc>
          <w:tcPr>
            <w:tcW w:w="260" w:type="dxa"/>
            <w:vAlign w:val="bottom"/>
            <w:tcBorders>
              <w:bottom w:val="single" w:sz="8" w:color="CCEEFF"/>
            </w:tcBorders>
          </w:tcPr>
          <w:p>
            <w:pPr>
              <w:spacing w:after="0"/>
              <w:rPr>
                <w:sz w:val="12"/>
                <w:szCs w:val="12"/>
                <w:color w:val="auto"/>
              </w:rPr>
            </w:pPr>
          </w:p>
        </w:tc>
      </w:tr>
      <w:tr>
        <w:trPr>
          <w:trHeight w:val="142"/>
        </w:trPr>
        <w:tc>
          <w:tcPr>
            <w:tcW w:w="550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stockholders’ deficit</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(12,175)</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(5,033)</w:t>
            </w:r>
          </w:p>
        </w:tc>
        <w:tc>
          <w:tcPr>
            <w:tcW w:w="260" w:type="dxa"/>
            <w:vAlign w:val="bottom"/>
            <w:shd w:val="clear" w:color="auto" w:fill="CCEEFF"/>
          </w:tcPr>
          <w:p>
            <w:pPr>
              <w:spacing w:after="0"/>
              <w:rPr>
                <w:sz w:val="12"/>
                <w:szCs w:val="12"/>
                <w:color w:val="auto"/>
              </w:rPr>
            </w:pPr>
          </w:p>
        </w:tc>
      </w:tr>
      <w:tr>
        <w:trPr>
          <w:trHeight w:val="142"/>
        </w:trPr>
        <w:tc>
          <w:tcPr>
            <w:tcW w:w="550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Total liabilities and stockholders' deficit</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60,630</w:t>
            </w:r>
          </w:p>
        </w:tc>
        <w:tc>
          <w:tcPr>
            <w:tcW w:w="26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68,841</w:t>
            </w:r>
          </w:p>
        </w:tc>
        <w:tc>
          <w:tcPr>
            <w:tcW w:w="260" w:type="dxa"/>
            <w:vAlign w:val="bottom"/>
          </w:tcPr>
          <w:p>
            <w:pPr>
              <w:spacing w:after="0"/>
              <w:rPr>
                <w:sz w:val="12"/>
                <w:szCs w:val="12"/>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auto"/>
        </w:rPr>
        <w:t>Three Months Ended</w:t>
      </w:r>
    </w:p>
    <w:p>
      <w:pPr>
        <w:ind w:left="66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6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CCEEFF"/>
            </w:tcBorders>
          </w:tcPr>
          <w:p>
            <w:pPr>
              <w:spacing w:after="0"/>
              <w:rPr>
                <w:sz w:val="18"/>
                <w:szCs w:val="18"/>
                <w:color w:val="auto"/>
              </w:rPr>
            </w:pPr>
          </w:p>
        </w:tc>
        <w:tc>
          <w:tcPr>
            <w:tcW w:w="420" w:type="dxa"/>
            <w:vAlign w:val="bottom"/>
            <w:tcBorders>
              <w:bottom w:val="single" w:sz="8" w:color="5B6F80"/>
            </w:tcBorders>
          </w:tcPr>
          <w:p>
            <w:pPr>
              <w:spacing w:after="0"/>
              <w:rPr>
                <w:sz w:val="18"/>
                <w:szCs w:val="18"/>
                <w:color w:val="auto"/>
              </w:rPr>
            </w:pPr>
          </w:p>
        </w:tc>
        <w:tc>
          <w:tcPr>
            <w:tcW w:w="136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6,719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5B6F80"/>
            </w:tcBorders>
          </w:tcPr>
          <w:p>
            <w:pPr>
              <w:spacing w:after="0"/>
              <w:rPr>
                <w:sz w:val="18"/>
                <w:szCs w:val="18"/>
                <w:color w:val="auto"/>
              </w:rPr>
            </w:pPr>
          </w:p>
        </w:tc>
        <w:tc>
          <w:tcPr>
            <w:tcW w:w="136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FiberCel litigation costs, net</w:t>
            </w: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11,203</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(8,149)</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loss per share - basic and diluted</w:t>
            </w:r>
          </w:p>
        </w:tc>
        <w:tc>
          <w:tcPr>
            <w:tcW w:w="4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(0.49)</w:t>
            </w: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(0.60)</w:t>
            </w: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tcPr>
          <w:p>
            <w:pPr>
              <w:ind w:left="20"/>
              <w:spacing w:after="0" w:line="201" w:lineRule="exact"/>
              <w:rPr>
                <w:sz w:val="20"/>
                <w:szCs w:val="20"/>
                <w:color w:val="auto"/>
              </w:rPr>
            </w:pPr>
            <w:r>
              <w:rPr>
                <w:rFonts w:ascii="Arial" w:cs="Arial" w:eastAsia="Arial" w:hAnsi="Arial"/>
                <w:sz w:val="18"/>
                <w:szCs w:val="18"/>
                <w:color w:val="auto"/>
                <w:w w:val="96"/>
              </w:rPr>
              <w:t>Weighted average common shares outstanding - basic and</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16,149,567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13,574,058</w:t>
            </w: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40" w:type="dxa"/>
            <w:vAlign w:val="bottom"/>
            <w:gridSpan w:val="3"/>
          </w:tcPr>
          <w:p>
            <w:pPr>
              <w:jc w:val="right"/>
              <w:ind w:right="11"/>
              <w:spacing w:after="0"/>
              <w:rPr>
                <w:sz w:val="20"/>
                <w:szCs w:val="20"/>
                <w:color w:val="auto"/>
              </w:rPr>
            </w:pPr>
            <w:r>
              <w:rPr>
                <w:rFonts w:ascii="Arial" w:cs="Arial" w:eastAsia="Arial" w:hAnsi="Arial"/>
                <w:sz w:val="11"/>
                <w:szCs w:val="11"/>
                <w:b w:val="1"/>
                <w:bCs w:val="1"/>
                <w:color w:val="auto"/>
              </w:rPr>
              <w:t>Class A</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3"/>
          </w:tcPr>
          <w:p>
            <w:pPr>
              <w:jc w:val="right"/>
              <w:ind w:right="11"/>
              <w:spacing w:after="0"/>
              <w:rPr>
                <w:sz w:val="20"/>
                <w:szCs w:val="20"/>
                <w:color w:val="auto"/>
              </w:rPr>
            </w:pPr>
            <w:r>
              <w:rPr>
                <w:rFonts w:ascii="Arial" w:cs="Arial" w:eastAsia="Arial" w:hAnsi="Arial"/>
                <w:sz w:val="11"/>
                <w:szCs w:val="11"/>
                <w:b w:val="1"/>
                <w:bCs w:val="1"/>
                <w:color w:val="auto"/>
              </w:rPr>
              <w:t>Class B</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1"/>
                <w:szCs w:val="11"/>
                <w:color w:val="auto"/>
              </w:rPr>
            </w:pPr>
          </w:p>
        </w:tc>
        <w:tc>
          <w:tcPr>
            <w:tcW w:w="1600" w:type="dxa"/>
            <w:vAlign w:val="bottom"/>
            <w:tcBorders>
              <w:bottom w:val="single" w:sz="8" w:color="auto"/>
            </w:tcBorders>
            <w:gridSpan w:val="4"/>
          </w:tcPr>
          <w:p>
            <w:pPr>
              <w:jc w:val="right"/>
              <w:ind w:right="40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78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80" w:type="dxa"/>
            <w:vAlign w:val="bottom"/>
          </w:tcPr>
          <w:p>
            <w:pPr>
              <w:spacing w:after="0"/>
              <w:rPr>
                <w:sz w:val="11"/>
                <w:szCs w:val="11"/>
                <w:color w:val="auto"/>
              </w:rPr>
            </w:pPr>
          </w:p>
        </w:tc>
        <w:tc>
          <w:tcPr>
            <w:tcW w:w="7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1"/>
                <w:szCs w:val="11"/>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7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11,823,445</w:t>
            </w:r>
          </w:p>
        </w:tc>
        <w:tc>
          <w:tcPr>
            <w:tcW w:w="2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w:t>
            </w:r>
          </w:p>
        </w:tc>
        <w:tc>
          <w:tcPr>
            <w:tcW w:w="9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2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4</w:t>
            </w:r>
          </w:p>
        </w:tc>
        <w:tc>
          <w:tcPr>
            <w:tcW w:w="2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132,939</w:t>
            </w:r>
          </w:p>
        </w:tc>
        <w:tc>
          <w:tcPr>
            <w:tcW w:w="1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(137,988)</w:t>
            </w:r>
          </w:p>
        </w:tc>
        <w:tc>
          <w:tcPr>
            <w:tcW w:w="2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(5,033)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w w:val="91"/>
              </w:rPr>
              <w:t>Proceeds from sale of common stock through Employee Stock Purchase Plan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41,277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148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12,070</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684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(7,974)</w:t>
            </w: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(7,974)</w:t>
            </w:r>
          </w:p>
        </w:tc>
        <w:tc>
          <w:tcPr>
            <w:tcW w:w="0" w:type="dxa"/>
            <w:vAlign w:val="bottom"/>
          </w:tcPr>
          <w:p>
            <w:pPr>
              <w:spacing w:after="0"/>
              <w:rPr>
                <w:sz w:val="1"/>
                <w:szCs w:val="1"/>
                <w:color w:val="auto"/>
              </w:rPr>
            </w:pPr>
          </w:p>
        </w:tc>
      </w:tr>
      <w:tr>
        <w:trPr>
          <w:trHeight w:val="115"/>
        </w:trPr>
        <w:tc>
          <w:tcPr>
            <w:tcW w:w="350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Balance, March 31, 2023</w:t>
            </w:r>
          </w:p>
        </w:tc>
        <w:tc>
          <w:tcPr>
            <w:tcW w:w="7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11,876,792</w:t>
            </w:r>
          </w:p>
        </w:tc>
        <w:tc>
          <w:tcPr>
            <w:tcW w:w="2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12</w:t>
            </w:r>
          </w:p>
        </w:tc>
        <w:tc>
          <w:tcPr>
            <w:tcW w:w="94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4,313,406</w:t>
            </w:r>
          </w:p>
        </w:tc>
        <w:tc>
          <w:tcPr>
            <w:tcW w:w="2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6"/>
              <w:spacing w:after="0" w:line="102" w:lineRule="exact"/>
              <w:rPr>
                <w:sz w:val="20"/>
                <w:szCs w:val="20"/>
                <w:color w:val="auto"/>
              </w:rPr>
            </w:pPr>
            <w:r>
              <w:rPr>
                <w:rFonts w:ascii="Arial" w:cs="Arial" w:eastAsia="Arial" w:hAnsi="Arial"/>
                <w:sz w:val="11"/>
                <w:szCs w:val="11"/>
                <w:b w:val="1"/>
                <w:bCs w:val="1"/>
                <w:color w:val="auto"/>
              </w:rPr>
              <w:t>4</w:t>
            </w:r>
          </w:p>
        </w:tc>
        <w:tc>
          <w:tcPr>
            <w:tcW w:w="20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133,771</w:t>
            </w:r>
          </w:p>
        </w:tc>
        <w:tc>
          <w:tcPr>
            <w:tcW w:w="18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7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(145,962)</w:t>
            </w:r>
          </w:p>
        </w:tc>
        <w:tc>
          <w:tcPr>
            <w:tcW w:w="20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7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(12,175)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34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b w:val="1"/>
                <w:bCs w:val="1"/>
                <w:color w:val="auto"/>
              </w:rPr>
              <w:t>Balance, December 31, 2021</w:t>
            </w:r>
          </w:p>
        </w:tc>
        <w:tc>
          <w:tcPr>
            <w:tcW w:w="7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9,245,146</w:t>
            </w:r>
          </w:p>
        </w:tc>
        <w:tc>
          <w:tcPr>
            <w:tcW w:w="2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4,313,406</w:t>
            </w:r>
          </w:p>
        </w:tc>
        <w:tc>
          <w:tcPr>
            <w:tcW w:w="2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4</w:t>
            </w:r>
          </w:p>
        </w:tc>
        <w:tc>
          <w:tcPr>
            <w:tcW w:w="2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118,599</w:t>
            </w:r>
          </w:p>
        </w:tc>
        <w:tc>
          <w:tcPr>
            <w:tcW w:w="18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(105,091)</w:t>
            </w:r>
          </w:p>
        </w:tc>
        <w:tc>
          <w:tcPr>
            <w:tcW w:w="2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13,521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Additional issuance costs in connection with Private Placement</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w w:val="91"/>
              </w:rPr>
              <w:t>Proceeds from sale of common stock through Employee Stock Purchase Plan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42,345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192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192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19,247</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1,105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(8,149)</w:t>
            </w:r>
          </w:p>
        </w:tc>
        <w:tc>
          <w:tcPr>
            <w:tcW w:w="1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(8,149)</w:t>
            </w:r>
          </w:p>
        </w:tc>
        <w:tc>
          <w:tcPr>
            <w:tcW w:w="0" w:type="dxa"/>
            <w:vAlign w:val="bottom"/>
          </w:tcPr>
          <w:p>
            <w:pPr>
              <w:spacing w:after="0"/>
              <w:rPr>
                <w:sz w:val="1"/>
                <w:szCs w:val="1"/>
                <w:color w:val="auto"/>
              </w:rPr>
            </w:pPr>
          </w:p>
        </w:tc>
      </w:tr>
      <w:tr>
        <w:trPr>
          <w:trHeight w:val="115"/>
        </w:trPr>
        <w:tc>
          <w:tcPr>
            <w:tcW w:w="35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March 31, 2022</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9,306,738</w:t>
            </w:r>
          </w:p>
        </w:tc>
        <w:tc>
          <w:tcPr>
            <w:tcW w:w="16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8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119,786</w:t>
            </w:r>
          </w:p>
        </w:tc>
        <w:tc>
          <w:tcPr>
            <w:tcW w:w="12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(113,240)</w:t>
            </w:r>
          </w:p>
        </w:tc>
        <w:tc>
          <w:tcPr>
            <w:tcW w:w="14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540"/>
          </w:cols>
          <w:pgMar w:left="1220" w:top="517" w:right="11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Three Months Ended</w:t>
      </w:r>
    </w:p>
    <w:p>
      <w:pPr>
        <w:ind w:left="7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16"/>
        </w:trPr>
        <w:tc>
          <w:tcPr>
            <w:tcW w:w="658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 and debt discount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Interest expense recorded as additional revenue interest obligation or long-term debt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65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16"/>
        </w:trPr>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Receivables of FiberCel litigation costs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Obligations to tissue suppliers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Contingent liability for FiberCel litigation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 and other liabilities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(7,350)</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issuance costs in connection with Private Placement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Net borrowings (repayments) under revolving line of credit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Payments on revenue interest obligation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common stock through Employee Stock Purchase Plan</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w:t>
            </w:r>
          </w:p>
        </w:tc>
      </w:tr>
      <w:tr>
        <w:trPr>
          <w:trHeight w:val="210"/>
        </w:trPr>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restricted 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(5,200)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(8,253)</w:t>
            </w:r>
          </w:p>
        </w:tc>
      </w:tr>
      <w:tr>
        <w:trPr>
          <w:trHeight w:val="216"/>
        </w:trPr>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restricted cash, beginning of period</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30,428</w:t>
            </w: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restricted cash,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22,175</w:t>
            </w: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Supplemental Cash Flow and Non-Cash Financing Activities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280" w:right="119" w:hanging="1232"/>
        <w:spacing w:after="0" w:line="511" w:lineRule="auto"/>
        <w:rPr>
          <w:sz w:val="20"/>
          <w:szCs w:val="20"/>
          <w:color w:val="auto"/>
        </w:rPr>
      </w:pPr>
      <w:r>
        <w:rPr>
          <w:rFonts w:ascii="Arial" w:cs="Arial" w:eastAsia="Arial" w:hAnsi="Arial"/>
          <w:sz w:val="18"/>
          <w:szCs w:val="18"/>
          <w:color w:val="auto"/>
        </w:rPr>
        <w:t>Cash paid for interest</w:t>
      </w:r>
      <w:r>
        <w:rPr>
          <w:sz w:val="20"/>
          <w:szCs w:val="20"/>
          <w:color w:val="auto"/>
        </w:rPr>
        <w:t xml:space="preserve"> </w:t>
      </w:r>
      <w:r>
        <w:rPr>
          <w:rFonts w:ascii="Arial" w:cs="Arial" w:eastAsia="Arial" w:hAnsi="Arial"/>
          <w:sz w:val="18"/>
          <w:szCs w:val="18"/>
          <w:color w:val="auto"/>
        </w:rPr>
        <w:t>$ 572 $ 1,162 The accompanying notes are an integral part of these condensed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products span the device protection, women’s health, orthobiologics and cardiovascular markets. These products are primarily sold to healthcare providers or commercial partners. The Company also sells human tissue products under contract manufacturing and certain other arrangements with corporate customers.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2022. The financial information as of March 31, 2023 and for the three months ended March 31, 2023 and 2022 is unaudited, but in the opinion of management, all adjustments considered necessary for a fair statement of the results for these interim periods have been included. The condensed consolidated balance sheet data as of December 31, 2022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18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Intercompany accounts and transactions have been eliminated in consolidation.</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Continue as a Going Concern (Subtopic 205-40)</w:t>
      </w:r>
      <w:r>
        <w:rPr>
          <w:rFonts w:ascii="Arial" w:cs="Arial" w:eastAsia="Arial" w:hAnsi="Arial"/>
          <w:sz w:val="16"/>
          <w:szCs w:val="16"/>
          <w:color w:val="auto"/>
        </w:rPr>
        <w:t>, the Company has evaluated whether there are conditions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events, considered in the aggregate, that raise substantial doubt about the Company’s ability to continue as a going concern within one year after the date that the consolidated financial statements are issued. For the three months ended March 31, 2023, the Company incurred a net loss of $8.0 million, and as of March 31, 2023, the Company had an accumulated deficit of $146.0 million. In addition, during the three months ended March 31, 2023, the Company used $5.2 million of cash in operating activities, and expects to continue to incur cash outflows during the remainder of 2023.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w:t>
      </w:r>
    </w:p>
    <w:p>
      <w:pPr>
        <w:spacing w:after="0" w:line="16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the Company may seek to raise capital through the issuance of common stock or debt, restructure its Revenue Interest Obligation (as such term is defined, and further described, in Note 7), or pursue asset sale or other transactions. However, such transactions may not be successful and the Company may not be able to raise additional equity or debt, restructure its Revenue Interest Obligation, or sell or license assets on acceptable terms, or at all. As such, based on its current operating plans, the Company believes there is uncertainty as to whether its future cash flows along with its existing cash, issuances of additional equity and cash generated from expected future sales will be sufficient to meet the Company’s anticipated operating needs through twelve months from the financial statement issuance date. Due to these factors, there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is substantial doubt about the Company’s ability to continue as a going concern within one year after the issuance of the financial statements.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That is, the accompanying financial statements have been prepared assuming that the Company will continue as a going concern, which contemplates continuity of operations, realization of assets, and satisfaction of liabilities in the ordinary course of business.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Certain reclassifications have been made to prior year amounts to conform to current year financial statement presentation. The reclassifications relate to the separate presentation of prior year costs related to the FiberCel Litigation. Such costs were formerly shown as a component of general and administrative expenses in the accompanying consolidated statements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revenue interest obligation, the contingent liability for the FiberCel Litigation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common stock has a dual class structure, consisting of Class A common stock, $0.001 par value per share (the “Class A common stock”) and Class B common stock, $0.001 par value per share (the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stock options, restricted stock units (“RSUs”) and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Valuations based on observable inputs other than quoted prices included in Level 1, such as quoted</w:t>
      </w:r>
      <w:r>
        <w:rPr>
          <w:rFonts w:ascii="Arial" w:cs="Arial" w:eastAsia="Arial" w:hAnsi="Arial"/>
          <w:sz w:val="17"/>
          <w:szCs w:val="17"/>
          <w:b w:val="1"/>
          <w:bCs w:val="1"/>
          <w:color w:val="auto"/>
        </w:rPr>
        <w:t xml:space="preserve"> </w:t>
      </w:r>
      <w:r>
        <w:rPr>
          <w:rFonts w:ascii="Arial" w:cs="Arial" w:eastAsia="Arial" w:hAnsi="Arial"/>
          <w:sz w:val="17"/>
          <w:szCs w:val="17"/>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pacing w:after="0" w:line="158" w:lineRule="exact"/>
        <w:rPr>
          <w:sz w:val="20"/>
          <w:szCs w:val="20"/>
          <w:color w:val="auto"/>
        </w:rPr>
      </w:pPr>
    </w:p>
    <w:p>
      <w:pPr>
        <w:jc w:val="both"/>
        <w:ind w:left="60" w:right="59" w:firstLine="648"/>
        <w:spacing w:after="0" w:line="347"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Valuations based on unobservable inputs reflecting the Company’s own assumptions,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available assumptions made by other market participants. These valuations require significant judgment.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credit losses.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credit losses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Inventory, consisting of purchased materials, direct labor and manufacturing overhead, is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inventory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276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8"/>
              </w:rPr>
              <w:t>5 to 10 years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760" w:type="dxa"/>
            <w:vAlign w:val="bottom"/>
          </w:tcPr>
          <w:p>
            <w:pPr>
              <w:jc w:val="center"/>
              <w:ind w:left="1710"/>
              <w:spacing w:after="0"/>
              <w:rPr>
                <w:sz w:val="20"/>
                <w:szCs w:val="20"/>
                <w:color w:val="auto"/>
              </w:rPr>
            </w:pPr>
            <w:r>
              <w:rPr>
                <w:rFonts w:ascii="Arial" w:cs="Arial" w:eastAsia="Arial" w:hAnsi="Arial"/>
                <w:sz w:val="18"/>
                <w:szCs w:val="18"/>
                <w:color w:val="auto"/>
                <w:w w:val="89"/>
              </w:rPr>
              <w:t>3 to 5 years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6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8"/>
              </w:rPr>
              <w:t>3 years</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Leasehold improvements are amortized on the straight-line method over the shorter of the lease term or the estimated useful life of the asset. Repairs and maintenance costs are expensed as incurred.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February 2016, the FASB issued ASU No 2016-02 “Leases” to increase the transparency and comparability about leases among entities. ASU 2016-02 and certain additional ASUs are now codified as Accounting Standards Codification Standard 842 - “Leases” (“ASC 842”). ASC 842 supersedes the lease accounting guidance in Accounting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Standards Codification 840 “Leases” (“ASC 840”) and requires lessees to recognize a lease liability and a corresponding lease asset for virtually all lease contracts.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including publicly available data for instruments with similar characteristics, to determine the present value of lease payments. The Company combines lease and non-lease elements for office leases.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Purchased intangible assets with finite lives are carried at acquired fair value, less accumulated amortization.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is computed over the estimated useful lives of the respective assets.</w:t>
      </w:r>
    </w:p>
    <w:p>
      <w:pPr>
        <w:spacing w:after="0" w:line="21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months ended March 31, 2023 or 2022.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9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noted above, the Company enters into contracts to primarily (i) sell and distribute products to healthcare providers or commercial partners, or (ii) produce and sell products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 portion of the Company’s product revenue is generated from consigned inventory maintained at hospitals and from inventory physically held by distributors and direct sales representatives. For these types of products sales, the Company retains control until the product has been used or implanted, at which time revenue is recognized.</w:t>
      </w:r>
    </w:p>
    <w:p>
      <w:pPr>
        <w:spacing w:after="0" w:line="16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Company elected to account for shipping and handling activities as a fulfillment cost rather than a separate performance obligation. Amounts billed to customers for shipping and handling are included as part of the transaction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price and recognized as revenue when control of the underlying products is transferred to the customer. The related shipping and freight charges incurred by the Company are included in sales and marketing costs.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 xml:space="preserve">The Company accounts for its stock-based compensation plans in accordance with FASB ASC 718,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Stock Compensation</w:t>
      </w:r>
      <w:r>
        <w:rPr>
          <w:rFonts w:ascii="Arial" w:cs="Arial" w:eastAsia="Arial" w:hAnsi="Arial"/>
          <w:sz w:val="17"/>
          <w:szCs w:val="17"/>
          <w:color w:val="auto"/>
        </w:rPr>
        <w:t>. FASB ASC 718 requires the measurement and recognition of compensation expense for all stock-based awards 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costs, which include mainly salaries, outside services and supplies, are expensed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At March 31, 2023, the Company maintained $11.7 million in bank deposit accounts that are in excess of the $0.25 million insurance provided by the Federal Deposit Insurance Corporation in one federally insured financial institution. Market conditions can impact the viability of these institutions. In the event of failure of any of the financial institutions where we maintain our cash, the Company could lose its deposits in excess of the federally insured or protected amounts and there can be no assurance that we will be able to access uninsured funds in a timely manner or at all. The Company has not experienced any losses in such accounts.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Comprehensive income (loss) comprises net income (loss) and other changes in equity that are excluded from net income (loss). For the three months ended March 31, 2023 and 2022, the Company’s net loss equaled its comprehensive loss and accordingly, no additional disclosure is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June 2016, the FASB issued ASU 2016-13, Financial Instruments – Credit Losses (Topic 326): Disclosure Framework – Measurement of Credit Losses on Financial Instruments, which requires financial assets measured at amortized cost, including trade receivables, be presented net of the amount expected to be collected. The measurement of all expected credit losses is based on relevant information about the credit quality of customers, past events, including historical experience, and reasonable and supportable forecasts that affect the collectability of the reported amount. In October 2019, the FASB voted to approve a proposal to defer the effective date of ASC 2016-13 for certain entities, including emerging growth companies that take advantage of the extended transition period, to fiscal years beginning after December 15, 2022. This ASU was effective for the Company beginning on January 1, 2023 and did not have a material impact on our condensed consolidated Financial Statements. The Company adopted this ASU using the modified retrospective transition method. Under this transition method, the new standard is applied from January 1, 2023 without restatement of comparative period amounts. The impact of transitioning to the new standard was immaterial and no adjustment was recorded to retained earnings for the cumulative effect of adopting this ASU on January 1, 2023. Results for reporting periods beginning after January 1, 2023 are presented under Topic 326 while prior period amounts continue to be reported in accordance with previously applicable GAAP.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2015, the Company established the Aziyo Biologics, Inc. 2015 Stock Option/Stock Issuance Plan, as amended (the “2015 Plan”) which provided for the granting of incentive and non-qualified stock options to employees, directors and consultants of the Company. On October 7, 2020, in connection with the Company’s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 under the 2015 Plan as well as an annual increase as set forth in the 2020 Plan. As of March 31, 2023, the Company had 1,630,411 shares of Class A common stock available for issuance under the 2020 Plan.</w:t>
      </w:r>
    </w:p>
    <w:p>
      <w:pPr>
        <w:spacing w:after="0" w:line="181"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 xml:space="preserve">On June 21, 2022, C. Randal Mills, Ph.D., a member of the Board of Directors (the “Board”) of the Company, was appointed as the Company’s Interim President and Chief Executive Officer, succeeding Ronald Lloyd, who stepped down as the Company’s President and Chief Executive Officer and as a member of the Board. In connection with his appointment as the Interim President and Chief Executive Officer, Dr. Mills and the Company entered into an employment agreement for an initial term of 90 days (such period, the “Interim Period”). On August 9, 2022, Dr. Mills was appointed to the role of President and Chief Executive Officer of the Company, thereby ending the Interim Period, and his employment agreement was extended pursuant to the terms thereof. In accordance with the terms of his employment agreement, Dr. Mills (1) received a stock option award to purchase 456,278 shares of Class A common stock of the Company (the “Option Grant”) on June 21, 2022; three-fifths of such Option Grant is subject to time-based vesting (the “Time-Based Options”) and two-fifths of such Option Grant is subject to performance-based vesting (the “Performance Based Options”) and (2) is eligible to receive 224,734 restricted stock units (the “RSU Grant”); three-fifths of such RSU Grant is subject to time-based vesting (the “Time-Based RSUs”) and two-fifths of such RSU Grant is subject to performance-based vesting (the “Performance-Based RSUs”). One-third of the Time-Based Options vested on August 9, 2022 (end of the Interim Period), and two-thirds of the Time-Based Options vest over a four-year vesting schedule with 25% vesting on the first anniversary of June 21, 2022 and the remaining portion vesting in twelve equal quarterly installments. One-third of the Time-Based RSUs vest on the grant date, and two-thirds of the Time-Based RSUs vest over a four-year vesting schedule in equal annual installments. The Performance-Based Options and Performance-Based RSUs each vest in equal installments upon the achievement of certain share price thresholds for twenty consecutive days of trading at each respective threshold. Pursuant to the terms of the employment agreement, all of these awards were deemed granted on June 21, 2022, for purposes of and in accordance with ASC 718,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however, the RSUs had not been legally granted as of March 31, 2023. Such RSUs were legally granted in April 2023 and the vested shares underlying the award were deemed outstanding as of such time.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generally have contractual terms of ten years and vest over a four-year period from the date of grant.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summary of stock option activity under the Company’s 2015 Plan and 2020 Plan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2023 is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1,864,739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(314,870)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1,569,869</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Vested and exercisable, March 31, 2023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weighted average grant date fair value of options granted during the three months ended March 31, 2023 was $2.79. As of March 31, 2023, there was approximately $3.4 million of total unrecognized compensation expense related to unvested stock options. These costs are expected to be recognized over a weighted-average period of 2.4 years.</w:t>
      </w:r>
    </w:p>
    <w:p>
      <w:pPr>
        <w:spacing w:after="0" w:line="14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Black-Scholes model to value its time-based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16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weighted-average assumptions were used to determine the fair value of options granted during the three months ended March 31, 2023 and 2022:</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94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9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9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Dividend yield</w:t>
            </w:r>
          </w:p>
        </w:tc>
        <w:tc>
          <w:tcPr>
            <w:tcW w:w="2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850"/>
        </w:trPr>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20" w:type="dxa"/>
            <w:vAlign w:val="bottom"/>
          </w:tcPr>
          <w:p>
            <w:pPr>
              <w:jc w:val="right"/>
              <w:ind w:right="1210"/>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For the Performance-Based Options granted as described above, the Company accounted for the awards as market condition awards and used an option pricing model, the Monte Carlo model, to determine the fair value of the respective equity instruments and an expense recognition term of approximately three years.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Restricted stock units (“RSUs”) represent rights to receive common shares at a future date. There is no exercise price and no monetary payment is required for receipt of restricted stock units or the shares issued in settlement of the award. The Company’s RSUs generally vest over a three to four year period from the date of grant.</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summary of the RSU activity under the Company’s 2020 Plan for the three months ended March 31, 2023 is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1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Number of Shares</w:t>
            </w:r>
          </w:p>
        </w:tc>
        <w:tc>
          <w:tcPr>
            <w:tcW w:w="100" w:type="dxa"/>
            <w:vAlign w:val="bottom"/>
          </w:tcPr>
          <w:p>
            <w:pPr>
              <w:spacing w:after="0"/>
              <w:rPr>
                <w:sz w:val="12"/>
                <w:szCs w:val="12"/>
                <w:color w:val="auto"/>
              </w:rPr>
            </w:pPr>
          </w:p>
        </w:tc>
        <w:tc>
          <w:tcPr>
            <w:tcW w:w="6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Underlying RSUs</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372,307</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(33,378)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9"/>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March 31,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326,859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For the Performance-Based RSUs, including those granted to Dr. Mills as described above, the Company accounted for the awards as market condition awards and used an option pricing model, the Monte Carlo model, to determine the fair value of the respective equity instruments and an expense recognition term of two to three years using the graded vesting method.</w:t>
      </w:r>
    </w:p>
    <w:p>
      <w:pPr>
        <w:spacing w:after="0" w:line="17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March 31, 2023, $1.1 million of unrecognized compensation costs related to RSUs is expected to be recognized over a weighted average period of approximately two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Company makes shares of its Class A common stock available for purchase under the Aziyo Biologics, Inc. 2020 Employee Stock Purchase Plan (the “ESPP”). The ESPP provides for separate six-month offering periods that begin in March and September of each year. Under the ESPP, employees may purchase a limited number of shares of Aziyo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as set forth in the ESPP. As of March 31, 2023, the total shares of Class A common stock authorized for issuance under the ESPP was 542,365, of which 399,436 remained available for future issuance. During the three months ended March 31, 2023, 41,277 shares of Class A common stock were issued under the ESPP.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Stock-based compensation expense recognized during the three months ended March 31, 2023 and 2022 was comprised of the following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-130175</wp:posOffset>
            </wp:positionV>
            <wp:extent cx="45262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26280" cy="145415"/>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5715</wp:posOffset>
            </wp:positionV>
            <wp:extent cx="452628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45262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26280" cy="154305"/>
                    </a:xfrm>
                    <a:prstGeom prst="rect">
                      <a:avLst/>
                    </a:prstGeom>
                    <a:noFill/>
                  </pic:spPr>
                </pic:pic>
              </a:graphicData>
            </a:graphic>
          </wp:anchor>
        </w:drawing>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Total stock-based compensation expense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Inventory</w:t>
      </w:r>
    </w:p>
    <w:p>
      <w:pPr>
        <w:spacing w:after="0" w:line="121"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Inventory was comprised of the following (in thousands):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-3175</wp:posOffset>
            </wp:positionV>
            <wp:extent cx="9601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380"/>
        <w:spacing w:after="0"/>
        <w:tabs>
          <w:tab w:leader="none" w:pos="12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9" w:lineRule="exact"/>
        <w:rPr>
          <w:sz w:val="20"/>
          <w:szCs w:val="20"/>
          <w:color w:val="auto"/>
        </w:rPr>
      </w:pPr>
    </w:p>
    <w:p>
      <w:pPr>
        <w:ind w:left="520" w:hanging="321"/>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144   $   195</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60" w:type="dxa"/>
            <w:vAlign w:val="bottom"/>
          </w:tcPr>
          <w:p>
            <w:pPr>
              <w:jc w:val="right"/>
              <w:ind w:right="190"/>
              <w:spacing w:after="0"/>
              <w:rPr>
                <w:sz w:val="20"/>
                <w:szCs w:val="20"/>
                <w:color w:val="auto"/>
              </w:rPr>
            </w:pPr>
            <w:r>
              <w:rPr>
                <w:rFonts w:ascii="Arial" w:cs="Arial" w:eastAsia="Arial" w:hAnsi="Arial"/>
                <w:sz w:val="18"/>
                <w:szCs w:val="18"/>
                <w:color w:val="auto"/>
                <w:w w:val="86"/>
              </w:rPr>
              <w:t>454</w:t>
            </w:r>
          </w:p>
        </w:tc>
        <w:tc>
          <w:tcPr>
            <w:tcW w:w="56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30"/>
        </w:trPr>
        <w:tc>
          <w:tcPr>
            <w:tcW w:w="560" w:type="dxa"/>
            <w:vAlign w:val="bottom"/>
          </w:tcPr>
          <w:p>
            <w:pPr>
              <w:jc w:val="right"/>
              <w:ind w:right="190"/>
              <w:spacing w:after="0"/>
              <w:rPr>
                <w:sz w:val="20"/>
                <w:szCs w:val="20"/>
                <w:color w:val="auto"/>
              </w:rPr>
            </w:pPr>
            <w:r>
              <w:rPr>
                <w:rFonts w:ascii="Arial" w:cs="Arial" w:eastAsia="Arial" w:hAnsi="Arial"/>
                <w:sz w:val="18"/>
                <w:szCs w:val="18"/>
                <w:color w:val="auto"/>
              </w:rPr>
              <w:t>46</w:t>
            </w: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r>
    </w:tbl>
    <w:p>
      <w:pPr>
        <w:jc w:val="right"/>
        <w:ind w:left="200" w:right="1179" w:firstLine="414"/>
        <w:spacing w:after="0" w:line="379" w:lineRule="auto"/>
        <w:tabs>
          <w:tab w:leader="none" w:pos="1471"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50 </w:t>
      </w:r>
      <w:r>
        <w:rPr>
          <w:rFonts w:ascii="Arial" w:cs="Arial" w:eastAsia="Arial" w:hAnsi="Arial"/>
          <w:sz w:val="15"/>
          <w:szCs w:val="15"/>
          <w:u w:val="single" w:color="auto"/>
          <w:color w:val="auto"/>
        </w:rPr>
        <w:t>$   684   $ 1,105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-208280</wp:posOffset>
            </wp:positionV>
            <wp:extent cx="9601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-45085</wp:posOffset>
            </wp:positionV>
            <wp:extent cx="9601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ind w:left="180"/>
        <w:spacing w:after="0" w:line="236" w:lineRule="auto"/>
        <w:tabs>
          <w:tab w:leader="none" w:pos="11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p>
    <w:p>
      <w:pPr>
        <w:sectPr>
          <w:pgSz w:w="11900" w:h="16838" w:orient="portrait"/>
          <w:cols w:equalWidth="0" w:num="2">
            <w:col w:w="5480" w:space="720"/>
            <w:col w:w="2819"/>
          </w:cols>
          <w:pgMar w:left="1440" w:top="517" w:right="1440" w:bottom="1440" w:gutter="0" w:footer="0" w:header="0"/>
          <w:type w:val="continuous"/>
        </w:sectPr>
      </w:pPr>
    </w:p>
    <w:tbl>
      <w:tblPr>
        <w:tblLayout w:type="fixed"/>
        <w:tblInd w:w="940" w:type="dxa"/>
        <w:tblCellMar>
          <w:top w:w="0" w:type="dxa"/>
          <w:left w:w="0" w:type="dxa"/>
          <w:bottom w:w="0" w:type="dxa"/>
          <w:right w:w="0" w:type="dxa"/>
        </w:tblCellMar>
      </w:tblPr>
      <w:tr>
        <w:trPr>
          <w:trHeight w:val="20"/>
        </w:trPr>
        <w:tc>
          <w:tcPr>
            <w:tcW w:w="5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0"/>
        </w:trPr>
        <w:tc>
          <w:tcPr>
            <w:tcW w:w="52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1,705</w:t>
            </w:r>
          </w:p>
        </w:tc>
        <w:tc>
          <w:tcPr>
            <w:tcW w:w="3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1,716</w:t>
            </w:r>
          </w:p>
        </w:tc>
        <w:tc>
          <w:tcPr>
            <w:tcW w:w="140" w:type="dxa"/>
            <w:vAlign w:val="bottom"/>
            <w:shd w:val="clear" w:color="auto" w:fill="CCEEFF"/>
          </w:tcPr>
          <w:p>
            <w:pPr>
              <w:spacing w:after="0"/>
              <w:rPr>
                <w:sz w:val="16"/>
                <w:szCs w:val="16"/>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r>
      <w:tr>
        <w:trPr>
          <w:trHeight w:val="216"/>
        </w:trPr>
        <w:tc>
          <w:tcPr>
            <w:tcW w:w="5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140" w:type="dxa"/>
            <w:vAlign w:val="bottom"/>
            <w:shd w:val="clear" w:color="auto" w:fill="CCEEFF"/>
          </w:tcPr>
          <w:p>
            <w:pPr>
              <w:spacing w:after="0"/>
              <w:rPr>
                <w:sz w:val="18"/>
                <w:szCs w:val="18"/>
                <w:color w:val="auto"/>
              </w:rPr>
            </w:pPr>
          </w:p>
        </w:tc>
      </w:tr>
      <w:tr>
        <w:trPr>
          <w:trHeight w:val="209"/>
        </w:trPr>
        <w:tc>
          <w:tcPr>
            <w:tcW w:w="5260" w:type="dxa"/>
            <w:vAlign w:val="bottom"/>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11,055</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10,052</w:t>
            </w:r>
          </w:p>
        </w:tc>
        <w:tc>
          <w:tcPr>
            <w:tcW w:w="14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Long-Term Debt</w:t>
      </w:r>
    </w:p>
    <w:p>
      <w:pPr>
        <w:spacing w:after="0" w:line="12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31, 2017, Aziyo entered into a $12 million term loan facility (the “MidCap Loan Facility”) and an $8.0 million asset-backed revolving line of credit (the “MidCap Credit Facility”), under which the Company’s borrowing capacity was limited by certain qualifying assets, with a financial institution (the “May 2017 Financing”). The MidCap Loan Facility was amended in December 2017, February 2018 and July 2019 (all amendments being considered modifications) such that an additional $1.5 million, $3.0 million, and $3.5 million, respectively were received by the Company bringing the total aggregate principal amount outstanding under the MidCap Loan Facility to $20 million. The borrowings under the MidCap Loan Facility and the MidCap Credit Facility were fully repaid with a portion of the proceeds from the SWK Loan Facility (as defined below) as more fully described below.</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On August 10, 2022 (the “Closing Date”), the Company entered into a senior secured term loan facility with SWK Funding LLC (“SWK”), as agent, and other lenders party thereto (the “SWK Loan Facility”) for an aggregate principal amount of $25 million. An initial draw of $21 million drawn was made on the Closing Date with the additional $4 million drawn on December 14, 2022 upon satisfaction of the amended terms enabling such receipt. The SWK Loan Facility also allows for the establishment of a separate, new asset-based revolving loan facility of up to $8 million, which had not been entered into as of March 31, 2023. The SWK Loan Facility matures on August 10, 2027 and accrues interest, payable quarterly in arrears. Principal amortization of the SWK Loan Facility starts on November 15, 2024, which amortization may be extended to November 17, 2025 if certain conditions have been satisfied. Principal payments during the amortization period will be limited based on revenue-based caps. As of March 31, 2023, quarterly principal payments are scheduled to begin on November 15, 2024, in an amount equal to 5% of the outstanding principal on such principal payment commencement date with the balance paid at maturity. The SWK Loan Facility also includes both revenue and liquidity covenants, restrictions as to payment of dividends, and is secured by all assets of the Company, subject to certain customary exceptions. As of March 31, 2023, Aziyo was in compliance with its financial covenants under the agreement governing the SWK Loan Facility (the “SWK Loan Facility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All of the SWK Loan Facility borrowings take the form of Secured Overnight Financing Rate (“SOFR”) loans and bear interest at a rate per annum equal to the sum of an applicable margin of (i) 7.75% and the “Term SOFR Rate” (based upon an interest period of 3 months), or (ii) if the Company has elected the PIK Interest option (as defined below), 3.75% and the “Term SOFR Rate.” The Company may elect a portion of the interest due, to be paid in-kind at a rate per annum of 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 The agreement governing the SWK Loan Facility also includes an exit fee equal to 6.5% of the aggregate principal amount funded prior to termination and prepayment penalties equal to: (i) if such prepayment occurs prior to the first anniversary of the Closing Date, 2% of the aggregate principal amount funded prior to the termination plus remaining unpaid interest payments scheduled to be paid during the first year of the loan or (ii) if such prepayment occurs after the first anniversary of the Closing Date but prior to the second anniversary of the Closing Date, 2% of the aggregate principal amount funded prior to the termination. The weighted average interest rate on the SWK Loan Facility was 13.7% for the three months ended March 31, 2023.</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August 10, 2022, the Company issued to SWK Funding LLC a warrant (the “Warrant”) to purchase, in the aggregate, up to 187,969 shares of Class A common stock of the Company, $0.001 par value per share at an exercise price of $6.65 per share. The Warrant is immediately exercisable for up to 187,969 shares of Class A common stock from time to time on or after the Closing Date. The exercise price and number of shares of Class A common stock issuable upon exercise of the Warrant are subject to adjustment in the event of stock dividends, stock splits and certain other events affecting the Class A common stock. Unless earlier exercised or terminated in accordance with its terms, the Warrant will expire on the seventh anniversary of the Closing Date. Upon issuance, the Company valued the Warrant at approximately $0.6 million using the Black-Scholes model. The recognition of the Warrant as well as deferred financing costs of approximately $0.5 million incurred in securing the SWK Loan Facility served to reduce the recorded value of the associated debt. The debt discount and deferred financing costs will be recognized as interest expense through the maturity of the loan.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SWK Loan Facility Agreement requires certain mandatory prepayments, subject to certain exceptions, with:</w:t>
      </w:r>
    </w:p>
    <w:p>
      <w:pPr>
        <w:spacing w:after="0" w:line="46" w:lineRule="exact"/>
        <w:rPr>
          <w:sz w:val="20"/>
          <w:szCs w:val="20"/>
          <w:color w:val="auto"/>
        </w:rPr>
      </w:pPr>
    </w:p>
    <w:p>
      <w:pPr>
        <w:jc w:val="both"/>
        <w:ind w:left="60" w:right="59" w:hanging="10"/>
        <w:spacing w:after="0" w:line="252" w:lineRule="auto"/>
        <w:tabs>
          <w:tab w:leader="none" w:pos="323"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three months ended March 31, 2023.</w:t>
      </w:r>
    </w:p>
    <w:p>
      <w:pPr>
        <w:spacing w:after="0" w:line="19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Company used $16 million of the proceeds of the SWK Loan Facility to repay all outstanding obligations on the MidCap Loan Facility and MidCap Credit Facility. Borrowings under the MidCap Loan Facility, as amended, bore interest at a rate per annum equal to the sum of   (x) the greater of   (i) 2.25% and (ii) the applicable London Interbank Offered Rate for U.S. dollar deposits divided by 1.00 minus the maximum effective reserve percentage for Eurocurrency funding (“LIBOR”) plus (y) 7.25%. The weighted average interest rate on MidCap Loan Facility was 9.5% for the three months ended March 31, 2022. Borrowings under the MidCap Credit Facility bore interest at a rate per annum equal to the sum of  (x) the greater of  (i) 2.25% and (ii) LIBOR plus (y) 4.95%. The weighted average interest rate on MidCap Credit Facility was 7.2% for the three months ended March 31, 2022.</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 May 12, 2023, the Company entered into a first amendment to the SWK Loan Facility Agreement with SWK and the other lenders party thereto. The amendment is described in further detail in Note 11 to these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was comprised of the following (in thousands):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 net of unamortized discount and deferred financing costs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r>
      <w:tr>
        <w:trPr>
          <w:trHeight w:val="216"/>
        </w:trPr>
        <w:tc>
          <w:tcPr>
            <w:tcW w:w="6240" w:type="dxa"/>
            <w:vAlign w:val="bottom"/>
          </w:tcPr>
          <w:p>
            <w:pPr>
              <w:jc w:val="center"/>
              <w:ind w:right="4730"/>
              <w:spacing w:after="0"/>
              <w:rPr>
                <w:sz w:val="20"/>
                <w:szCs w:val="20"/>
                <w:color w:val="auto"/>
              </w:rPr>
            </w:pPr>
            <w:r>
              <w:rPr>
                <w:rFonts w:ascii="Arial" w:cs="Arial" w:eastAsia="Arial" w:hAnsi="Arial"/>
                <w:sz w:val="18"/>
                <w:szCs w:val="18"/>
                <w:color w:val="auto"/>
                <w:w w:val="93"/>
              </w:rPr>
              <w:t>Current Portion</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jc w:val="center"/>
              <w:ind w:right="4690"/>
              <w:spacing w:after="0"/>
              <w:rPr>
                <w:sz w:val="20"/>
                <w:szCs w:val="20"/>
                <w:color w:val="auto"/>
              </w:rPr>
            </w:pPr>
            <w:r>
              <w:rPr>
                <w:rFonts w:ascii="Arial" w:cs="Arial" w:eastAsia="Arial" w:hAnsi="Arial"/>
                <w:sz w:val="18"/>
                <w:szCs w:val="18"/>
                <w:color w:val="auto"/>
                <w:w w:val="93"/>
              </w:rPr>
              <w:t>Long-Term Debt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fair value of all debt instruments, which is based on inputs considered to be Level 2 under the fair value hierarchy, approximates the respective carrying values as of March 31, 2023 and December 31,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Revenue Interest Obligation</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include antibiotics.</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 million and a second $5.0 million will be due if cumulative sales exceed $300 million during the ten-year term of the agreement which expires on May 31, 2027.</w:t>
      </w:r>
    </w:p>
    <w:p>
      <w:pPr>
        <w:spacing w:after="0" w:line="18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Company recorded the present value of the estimated total future payments under the Revenue Interest Obligation as a long-term obligation, with the annual minimum payments, along with the expected payment timing of the first $5.0 million sales milestone payment noted above, serving to establish the short-term portion. At each reporting period, the value of the Revenue Interest Obligation is re-measured based on current estimates of future payments, with changes to be recorded in the condensed consolidated statements of operations using the catch-up method. There was no change to estimated future payments during the three months ended March 31, 2023 and 2022, and thus, no re-measurement gain or loss was recognized. Interest expense related to the Revenue Interest Obligation of approximately $0.5 million and $0.7 million was recorded for the three months ended March 30, 2023 and 2022,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Aziyo has entered into a license agreement with Cook Biotech (“Cook”) for an exclusive, worldwide license to the porcine tissue for use in the Company’s Cardiac Patch and CanGaroo products, subject to certain co-exclusive rights retained by Cook (the “Cook License Agreement”).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three months ended March 31, 2023 or 2022.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in the Cook Amendment, occurs within Aziyo. The Company, in its sole discretion, can terminate the Cook License Agreement at any time.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w:t>
      </w:r>
    </w:p>
    <w:p>
      <w:pPr>
        <w:spacing w:after="0" w:line="225"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In June 2021, the Company announced a voluntary recall of a single lot of FiberCel fiber viable bone matrix. Since September 2021, 71 lawsuits (73 plaintiffs) in Indiana, Delaware, Florida, Maryland, Colorado, Michigan, Ohio, Kentucky, Oregon, North Carolina, Louisiana, Illinois, Virginia, California and Arizona have been filed against Aziyo Biologics Inc., certain Medtronic entities, and others alleging that the plaintiffs were exposed to and/or contracted tuberculosis and/or suffered substantial symptoms and complications following the implantation of FiberCel during spinal fusion operations. Such lawsuits were filed in Indiana state court (collectively, the “Indiana State Complaints”); the Superior Court of the State of Delaware (collectively, the “Delaware State Complaints”); the Circuit Court of Maryland (collectively, the “Maryland State Complaints”); the Court of Common Pleas of Ohio (“Ohio State Complaint”); the Northern District of Ohio (“Ohio Federal Complaint”); the U.S. District Court for the Western District of North Carolina (“North Carolina Federal Complaint”); the U.S. District Court for the Northern District of Florida (“Florida Federal Complaint”); the U.S. District Court for the Eastern District of Michigan (collectively “the Michigan Federal Complaints.”); the U.S. District Court for the District of Colorado (“Colorado Federal Complaint”); the U.S. District Court for the District of Oregon (“Oregon Federal Complaint”); the Fayette, Kentucky Circuit Court and the U.S. District Court for the Eastern District of Kentucky (collectively, “Kentucky Complaints.”); the U.S. District Court for the Western District of Louisiana (“Louisiana Federal Complaint”) and the Circuit Court of Cook County, Illinois (“Illinois State Complaint”); Loudon County Virginia Circuit Court (“Virginia State Complaint”); the U.S. District Court for the Central District of California (“California Federal Complaint”) and the U.S. District Court for the District of Arizona (“Arizona Federal Complaint.”)</w:t>
      </w:r>
    </w:p>
    <w:p>
      <w:pPr>
        <w:spacing w:after="0" w:line="19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alleges negligence, breach of implied warranty, breach of express warranty, and medical monitoring and punitive damages, and two also allege loss of consortium. Plaintiffs in the Delaware State Complaints are seeking economic, consequential, and punitive damages. The Maryland State Complaints assert claims of negligence, breach of implied warranty, breach of express warranty, medical monitoring, and loss of consortium. The Florida Federal Complaint contains three strict liability claims for defective design, defective manufacture, and failure to warn. A claim for punitive damages is also pled. The Ohio State Complaint alleges causes of action for product liability and negligence and seeks compensatory damages. The Colorado Federal Complaint asserts causes of action for strict product liability, misrepresentation, negligence, breach of express warranty, and breach of implied warranty of merchantability. The Michigan Federal Complaints assert causes of action for negligence, gross negligence breach of implied warranty, breach of express warranty, intentional infliction of emotional distress, and liability under the res ipsa loquitur doctrine. The Michigan Federal Complaints seek compensatory damages and punitive damages. The North Carolina Federal Complaint alleges causes of action for negligence, defective design, breach of implied warranty, breach of express warranty, and loss of consortium, and seeks both compensatory and punitive damages. The Oregon Federal Complaint asserts strict liability claims for defective design, defective manufacture, and failure to warn, and seeks compensatory damages. The Ohio Federal Complaint asserts strict liability claims for defective manufacturing, inadequate warning, nonconformance with representations, and also alleges loss of consortium and seeks compensatory damages. The Kentucky Complaints assert strict liability claims based on manufacturing defect, design defect, failure to warn, negligence, breach of implied warranty, breach of express warranty, and seek recovery for medical monitoring, loss of consortium, compensatory damages, and punitive damages. The Louisiana Federal Complaint asserts</w:t>
      </w:r>
    </w:p>
    <w:p>
      <w:pPr>
        <w:sectPr>
          <w:pgSz w:w="11900" w:h="16838" w:orient="portrait"/>
          <w:cols w:equalWidth="0" w:num="1">
            <w:col w:w="9019"/>
          </w:cols>
          <w:pgMar w:left="1440" w:top="517"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claims of violation of the Louisiana products liability act, negligence and gross negligence, breach of implied warranty, breach of express warranty and seek recovery for medical monitoring. The Illinois State Complaints contain claims of strict liability- defective design and manufacturing, breach of express warranty, breach of implied warranty and negligence and seek compensatory damages. The Virginia State Complaint asserts causes of action for negligent failure to warn, negligence, breach of implied warranty, breach of express warranty and seeks recovery for medical monitoring, compensatory damages and punitive damages. The California Federal Complaint advances claims of strict liability (defective design and manufacture), negligence and breach of implied warranty and seeks compensatory damages and recovery for medical monitoring. The Arizona Federal Complaint asserts strict product liability claims for defective design, manufacture and failure to warn, negligence, breach of implied warranty and breach of express warranty and seeks recovery for medical monitoring, loss of consortium, compensatory damages, and punitive damages.</w:t>
      </w:r>
    </w:p>
    <w:p>
      <w:pPr>
        <w:spacing w:after="0" w:line="16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addition to the above, there are 36 claims related to the FiberCel recall that have not yet resulted in a lawsuit. The Company refers to all of the aforementioned litigation, or claim notices, collectively as the “FiberCel Litigation.”</w:t>
      </w:r>
    </w:p>
    <w:p>
      <w:pPr>
        <w:spacing w:after="0" w:line="1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Since August 2022, the Company has engaged in a process to negotiate and attempt to resolve many of the cases in the FiberCel Litigation. In total, Aziyo’s liability in 26 of the cases was settled for a total of approximately $7.3 million. Of these settled matters, 21 cases were both settled and paid as of March 31, 2023 for a total cash outlay of $6.2 million. For the remaining 83 cases for which settlements have not been reached, the Company estimated a probable loss related to each case and has recorded a liability at an estimated amount of $13.2 million bringing the total estimated liability at March 31, 2023 to $14.3 million, which is recorded as Contingent Liability for FiberCel Litigation in the accompanying consolidated balance sheets. Although the Company believes there is a possibility that a loss in excess of the amount recognized exists, the Company is unable to estimate the possible loss or range of loss in excess of the amount recognized at this time. In order to reasonably estimate the liability for the unsettled FiberCel Litigation cases, the Company, along with outside legal counsel, has assessed a variety of factors, including (i) the extent of the injuries incurred, (ii) recent experience on the settled claims, (iii) settlement offers made to the other parties to the litigation and (iv) any other factors that may have a material effect on the FiberCel Litigation. While the Company believes its estimated liability to be reasonable, the actual loss amounts are highly variable and turn on a case-by-case analysis of the relevant facts. As more information is learned about asserted claims and potential future trends, adjustments may be made to this Contingent Liability for FiberCel Litigation as appropriate.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Defense costs are recognized in the accompanying consolidated statements of operations as incurred.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has purchased insurance coverage that, subject to common contract exclusions, provided coverage for the FiberCel Litigation product liability losses as well as legal defense costs. Additionally, the Company has various potential indemnity and/or contribution rights against third party sources with respect to certain product liability losses. When settlements are reached and/or amounts are recorded in the related Contingent Liability for FiberCel Litigation, the Company calculates amounts due to be reimbursed pursuant to the terms of the coverage and related agreements, and pursuant to other indemnity or contribution claims, in respect of product liability losses and related defense costs. The amounts probable of reimbursement or recovery from this calculation are recorded as receivables. The determination that the recorded receivables are probable of collection is based on the terms of agreements reached in respect of indemnity and contribution claims as well as the advice of the Company’s outside legal counsel. These receivables at March 31, 2023 totaled $10.9 million and are recorded as Receivables of FiberCel Litigation Costs in the accompanying consolidated balance sheets.</w:t>
      </w:r>
    </w:p>
    <w:p>
      <w:pPr>
        <w:spacing w:after="0" w:line="18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indemnity and contribution receivables amount at March 31, 2023 represents amounts that are not believed to be subject to any current dispute. At March 31, 2023, the Company continues to pursue up to $3.8 million or more in additional amounts in respect of such indemnity and contribution claims and as such, has not been reflected as part of this receivable. The Company will vigorously pursue its position with respect to this amount.</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both March 31, 2023 and 2022, the Company was not a party to, or aware of, any legal matters or claims with material financial exposure, except for the FiberCel Litigation.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Net Loss Per Share Attributable to Common Stockholders</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4"/>
                <w:szCs w:val="14"/>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2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Weighted average number of common shares - basic and diluted</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16,149,567</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13,574,058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Net loss per share - basic and diluted</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-107315</wp:posOffset>
            </wp:positionV>
            <wp:extent cx="452628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spacing w:after="0" w:line="2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5715</wp:posOffset>
            </wp:positionV>
            <wp:extent cx="45262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26280" cy="14541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auto"/>
        </w:rPr>
        <w:t>Class A common stock warrants</w:t>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Total</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Segment Information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6350</wp:posOffset>
            </wp:positionV>
            <wp:extent cx="1165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220"/>
        <w:spacing w:after="0"/>
        <w:tabs>
          <w:tab w:leader="none" w:pos="12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-3175</wp:posOffset>
            </wp:positionV>
            <wp:extent cx="1165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tabs>
          <w:tab w:leader="none" w:pos="980" w:val="left"/>
        </w:tabs>
        <w:rPr>
          <w:sz w:val="20"/>
          <w:szCs w:val="20"/>
          <w:color w:val="auto"/>
        </w:rPr>
      </w:pPr>
      <w:r>
        <w:rPr>
          <w:rFonts w:ascii="Arial" w:cs="Arial" w:eastAsia="Arial" w:hAnsi="Arial"/>
          <w:sz w:val="16"/>
          <w:szCs w:val="16"/>
          <w:color w:val="auto"/>
        </w:rPr>
        <w:t>1,569,869</w:t>
      </w:r>
      <w:r>
        <w:rPr>
          <w:sz w:val="20"/>
          <w:szCs w:val="20"/>
          <w:color w:val="auto"/>
        </w:rPr>
        <w:tab/>
      </w:r>
      <w:r>
        <w:rPr>
          <w:rFonts w:ascii="Arial" w:cs="Arial" w:eastAsia="Arial" w:hAnsi="Arial"/>
          <w:sz w:val="16"/>
          <w:szCs w:val="16"/>
          <w:color w:val="auto"/>
        </w:rPr>
        <w:t>1,857,091</w:t>
      </w:r>
    </w:p>
    <w:p>
      <w:pPr>
        <w:spacing w:after="0" w:line="31" w:lineRule="exact"/>
        <w:rPr>
          <w:sz w:val="20"/>
          <w:szCs w:val="20"/>
          <w:color w:val="auto"/>
        </w:rPr>
      </w:pPr>
    </w:p>
    <w:p>
      <w:pPr>
        <w:ind w:left="140"/>
        <w:spacing w:after="0"/>
        <w:tabs>
          <w:tab w:leader="none" w:pos="1120" w:val="left"/>
        </w:tabs>
        <w:rPr>
          <w:sz w:val="20"/>
          <w:szCs w:val="20"/>
          <w:color w:val="auto"/>
        </w:rPr>
      </w:pPr>
      <w:r>
        <w:rPr>
          <w:rFonts w:ascii="Arial" w:cs="Arial" w:eastAsia="Arial" w:hAnsi="Arial"/>
          <w:sz w:val="16"/>
          <w:szCs w:val="16"/>
          <w:color w:val="auto"/>
        </w:rPr>
        <w:t>326,859</w:t>
      </w:r>
      <w:r>
        <w:rPr>
          <w:sz w:val="20"/>
          <w:szCs w:val="20"/>
          <w:color w:val="auto"/>
        </w:rPr>
        <w:tab/>
      </w:r>
      <w:r>
        <w:rPr>
          <w:rFonts w:ascii="Arial" w:cs="Arial" w:eastAsia="Arial" w:hAnsi="Arial"/>
          <w:sz w:val="16"/>
          <w:szCs w:val="16"/>
          <w:color w:val="auto"/>
        </w:rPr>
        <w:t>564,159</w:t>
      </w:r>
    </w:p>
    <w:p>
      <w:pPr>
        <w:spacing w:after="0" w:line="32"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8"/>
          <w:szCs w:val="18"/>
          <w:color w:val="auto"/>
        </w:rPr>
        <w:t>187,969</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u w:val="single" w:color="auto"/>
          <w:color w:val="auto"/>
        </w:rPr>
        <w:t>2,084,697</w:t>
      </w:r>
      <w:r>
        <w:rPr>
          <w:sz w:val="20"/>
          <w:szCs w:val="20"/>
          <w:color w:val="auto"/>
        </w:rPr>
        <w:tab/>
      </w:r>
      <w:r>
        <w:rPr>
          <w:rFonts w:ascii="Arial" w:cs="Arial" w:eastAsia="Arial" w:hAnsi="Arial"/>
          <w:sz w:val="16"/>
          <w:szCs w:val="16"/>
          <w:u w:val="single" w:color="auto"/>
          <w:color w:val="auto"/>
        </w:rPr>
        <w:t>2,421,250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46355</wp:posOffset>
            </wp:positionV>
            <wp:extent cx="1165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5420" w:space="720"/>
            <w:col w:w="2879"/>
          </w:cols>
          <w:pgMar w:left="1440" w:top="517" w:right="1440" w:bottom="1440" w:gutter="0" w:footer="0" w:header="0"/>
          <w:type w:val="continuous"/>
        </w:sectPr>
      </w:pPr>
    </w:p>
    <w:p>
      <w:pPr>
        <w:spacing w:after="0" w:line="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operates in four segments. These segments are based on financial information that is utilized by the Company’s CODM to assess performance and allocate resources. The Company determined its operating and reportable segments to be consistent with its major product groupings – Device Protection, Women’s Health, Orthobiologics and Cardiovascular.</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three months ended March 31, 2023 and 2022, the Company’s net sales disaggregated by segment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2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00"/>
              <w:spacing w:after="0"/>
              <w:rPr>
                <w:sz w:val="20"/>
                <w:szCs w:val="20"/>
                <w:color w:val="auto"/>
              </w:rPr>
            </w:pPr>
            <w:r>
              <w:rPr>
                <w:rFonts w:ascii="Arial" w:cs="Arial" w:eastAsia="Arial" w:hAnsi="Arial"/>
                <w:sz w:val="18"/>
                <w:szCs w:val="18"/>
                <w:color w:val="auto"/>
              </w:rPr>
              <w:t>Device protection</w:t>
            </w:r>
          </w:p>
        </w:tc>
        <w:tc>
          <w:tcPr>
            <w:tcW w:w="356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2,350</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Women's health</w:t>
            </w: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2880" w:type="dxa"/>
            <w:vAlign w:val="bottom"/>
          </w:tcPr>
          <w:p>
            <w:pPr>
              <w:ind w:left="100"/>
              <w:spacing w:after="0"/>
              <w:rPr>
                <w:sz w:val="20"/>
                <w:szCs w:val="20"/>
                <w:color w:val="auto"/>
              </w:rPr>
            </w:pPr>
            <w:r>
              <w:rPr>
                <w:rFonts w:ascii="Arial" w:cs="Arial" w:eastAsia="Arial" w:hAnsi="Arial"/>
                <w:sz w:val="18"/>
                <w:szCs w:val="18"/>
                <w:color w:val="auto"/>
              </w:rPr>
              <w:t>Orthobiologics</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6,658</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Cardiovascular</w:t>
            </w:r>
          </w:p>
        </w:tc>
        <w:tc>
          <w:tcPr>
            <w:tcW w:w="2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3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56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13,050</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11,495</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00" w:type="dxa"/>
            <w:vAlign w:val="bottom"/>
            <w:vMerge w:val="restart"/>
          </w:tcPr>
          <w:p>
            <w:pPr>
              <w:jc w:val="right"/>
              <w:ind w:right="830"/>
              <w:spacing w:after="0"/>
              <w:rPr>
                <w:sz w:val="20"/>
                <w:szCs w:val="20"/>
                <w:color w:val="auto"/>
              </w:rPr>
            </w:pPr>
            <w:r>
              <w:rPr>
                <w:rFonts w:ascii="Arial" w:cs="Arial" w:eastAsia="Arial" w:hAnsi="Arial"/>
                <w:sz w:val="18"/>
                <w:szCs w:val="18"/>
                <w:color w:val="auto"/>
              </w:rPr>
              <w:t>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8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three months ended March 31, 2023 and 2022, the Company’s gross profit disaggregated by segment were as follows (in thousands):</w:t>
      </w:r>
    </w:p>
    <w:p>
      <w:pPr>
        <w:spacing w:after="0" w:line="189"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Three Months Ended</w:t>
      </w:r>
    </w:p>
    <w:p>
      <w:pPr>
        <w:ind w:left="69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480" w:type="dxa"/>
            <w:vAlign w:val="bottom"/>
          </w:tcPr>
          <w:p>
            <w:pPr>
              <w:ind w:left="100"/>
              <w:spacing w:after="0"/>
              <w:rPr>
                <w:sz w:val="20"/>
                <w:szCs w:val="20"/>
                <w:color w:val="auto"/>
              </w:rPr>
            </w:pPr>
            <w:r>
              <w:rPr>
                <w:rFonts w:ascii="Arial" w:cs="Arial" w:eastAsia="Arial" w:hAnsi="Arial"/>
                <w:sz w:val="18"/>
                <w:szCs w:val="18"/>
                <w:color w:val="auto"/>
              </w:rPr>
              <w:t>Device protection</w:t>
            </w:r>
          </w:p>
        </w:tc>
        <w:tc>
          <w:tcPr>
            <w:tcW w:w="1000" w:type="dxa"/>
            <w:vAlign w:val="bottom"/>
            <w:gridSpan w:val="2"/>
          </w:tcPr>
          <w:p>
            <w:pPr>
              <w:jc w:val="right"/>
              <w:ind w:right="848"/>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1,796</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16"/>
        </w:trPr>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Women's health</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5480" w:type="dxa"/>
            <w:vAlign w:val="bottom"/>
          </w:tcPr>
          <w:p>
            <w:pPr>
              <w:ind w:left="100"/>
              <w:spacing w:after="0"/>
              <w:rPr>
                <w:sz w:val="20"/>
                <w:szCs w:val="20"/>
                <w:color w:val="auto"/>
              </w:rPr>
            </w:pPr>
            <w:r>
              <w:rPr>
                <w:rFonts w:ascii="Arial" w:cs="Arial" w:eastAsia="Arial" w:hAnsi="Arial"/>
                <w:sz w:val="18"/>
                <w:szCs w:val="18"/>
                <w:color w:val="auto"/>
              </w:rPr>
              <w:t>Orthobiologics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2,957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1,903</w:t>
            </w:r>
          </w:p>
        </w:tc>
      </w:tr>
      <w:tr>
        <w:trPr>
          <w:trHeight w:val="216"/>
        </w:trPr>
        <w:tc>
          <w:tcPr>
            <w:tcW w:w="5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Cardiovascular</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10"/>
        </w:trPr>
        <w:tc>
          <w:tcPr>
            <w:tcW w:w="5480" w:type="dxa"/>
            <w:vAlign w:val="bottom"/>
          </w:tcPr>
          <w:p>
            <w:pPr>
              <w:ind w:left="20"/>
              <w:spacing w:after="0"/>
              <w:rPr>
                <w:sz w:val="20"/>
                <w:szCs w:val="20"/>
                <w:color w:val="auto"/>
              </w:rPr>
            </w:pPr>
            <w:r>
              <w:rPr>
                <w:rFonts w:ascii="Arial" w:cs="Arial" w:eastAsia="Arial" w:hAnsi="Arial"/>
                <w:sz w:val="18"/>
                <w:szCs w:val="18"/>
                <w:color w:val="auto"/>
              </w:rPr>
              <w:t>Gross profit, excluding intangible asset amortization</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7,180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5,130</w:t>
            </w:r>
          </w:p>
        </w:tc>
      </w:tr>
      <w:tr>
        <w:trPr>
          <w:trHeight w:val="216"/>
        </w:trPr>
        <w:tc>
          <w:tcPr>
            <w:tcW w:w="5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Intangible asset amortization expense</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09"/>
        </w:trPr>
        <w:tc>
          <w:tcPr>
            <w:tcW w:w="54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0" w:type="dxa"/>
            <w:vAlign w:val="bottom"/>
            <w:gridSpan w:val="2"/>
          </w:tcPr>
          <w:p>
            <w:pPr>
              <w:jc w:val="right"/>
              <w:ind w:right="848"/>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6,331</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4,281</w:t>
            </w:r>
          </w:p>
        </w:tc>
      </w:tr>
      <w:tr>
        <w:trPr>
          <w:trHeight w:val="20"/>
        </w:trPr>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is a reconciliation of segment gross profit to the consolidated loss before provision for income taxes for the three months ended March 31, 2023 and 2022 (in thousands):</w:t>
      </w:r>
    </w:p>
    <w:p>
      <w:pPr>
        <w:spacing w:after="0" w:line="189"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Three Months Ended</w:t>
      </w:r>
    </w:p>
    <w:p>
      <w:pPr>
        <w:ind w:left="69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2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(5,356)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r>
      <w:tr>
        <w:trPr>
          <w:trHeight w:val="216"/>
        </w:trPr>
        <w:tc>
          <w:tcPr>
            <w:tcW w:w="42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(3,679)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(4,025)</w:t>
            </w:r>
          </w:p>
        </w:tc>
      </w:t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r>
      <w:tr>
        <w:trPr>
          <w:trHeight w:val="216"/>
        </w:trPr>
        <w:tc>
          <w:tcPr>
            <w:tcW w:w="4200" w:type="dxa"/>
            <w:vAlign w:val="bottom"/>
          </w:tcPr>
          <w:p>
            <w:pPr>
              <w:ind w:left="140"/>
              <w:spacing w:after="0"/>
              <w:rPr>
                <w:sz w:val="20"/>
                <w:szCs w:val="20"/>
                <w:color w:val="auto"/>
              </w:rPr>
            </w:pPr>
            <w:r>
              <w:rPr>
                <w:rFonts w:ascii="Arial" w:cs="Arial" w:eastAsia="Arial" w:hAnsi="Arial"/>
                <w:sz w:val="18"/>
                <w:szCs w:val="18"/>
                <w:color w:val="auto"/>
              </w:rPr>
              <w:t>FiberCel litigation costs</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(6,418)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w:t>
            </w: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30"/>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2260" w:type="dxa"/>
            <w:vAlign w:val="bottom"/>
            <w:gridSpan w:val="2"/>
            <w:shd w:val="clear" w:color="auto" w:fill="CCEEFF"/>
          </w:tcPr>
          <w:p>
            <w:pPr>
              <w:jc w:val="right"/>
              <w:ind w:right="8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(7,962)</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Subsequent Event</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May 12, 2023, the Company entered into that certain First Amendment to the SWK Loan Facility Agreement with SWK, as agent, and the other lenders party thereto (the “Amendment”). Pursuant to the Amendment, the exit fee payable upon loan maturity or the earlier repayment in full of all outstanding obligations under the SWK Loan Facility Agreement was modified to be an amount equal to 6.5% of the aggregate principal amount funded prior to termination plus $62,500. In addition, the Amendment modified the minimum liquidity covenant applicable to the Company under the SWK Loan Facility Agreement, and now requires the Company to maintain a minimum liquidity of at least $5.0 million until August 15, 2023 (which date may be extended by SWK in its commercially-reasonable discretion, to November 15, 2023), and after such date, a minimum liquidity of at least the greater of (i) $5.0 million, and (ii) the sum of the operating cash burn (as defined in the SWK Loan Facility Agreement) for the two prior consecutive fiscal quarters then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Part II, Item 7. “Management’s Discussion and Analysis of Financial Condition and Results of Operations” included in our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Annual Report.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commercial-stage regenerative medicine company focused on creating the next generation of differentiated products and improving outcomes in patients undergoing surgery. We seek to leverage our unique understanding of biologics to improve the interaction between medical devices and patients, with the goal of reducing complications and improving healing. From our proprietary tissue processing platforms, we have developed a portfolio of advanced regenerative medical products that are designed to mimic the healing response of natural biological material. Our proprietary products are designed to address the device protection, women’s health, orthobiologics and cardiovascular markets, which represented a combined $3 billion market opportunity in the United States in 2019. To expand our commercial reach, we have commercial relationships with major medical device companies, such as Boston Scientific, Biotronik, Sientra and beginning in April 2023, LeMaitre Vascular, to promote and sell some of our products. We believe our focus on our unique regenerative medicine platforms will ultimately maximize our probability of continued clinical and commercial success and will create a long-term competitive advantage for us.</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estimate that, over the past two years, approximately two million patients per year in the United States were implanted with either medical devices, such as pacemakers, defibrillators, neuro-stimulators, spinal fusion and trauma fracture hardware or tissue expanders for breast reconstruction. This number has been driven by advances in medical device technologies, reimbursement models focused on patient outcomes, and an aging population with a growing incidence of comorbidities, including diabetes, obesity and cardiovascular and peripheral vascular diseases. These comorbidities can exacerbate various immune responses and contribute to other complications upon device implant.</w:t>
      </w:r>
    </w:p>
    <w:p>
      <w:pPr>
        <w:spacing w:after="0" w:line="16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products are targeted to address unmet clinical needs with the goal of promoting healthy tissue formation and avoiding complications associated with medical device implants, such as infection, scar-tissue formation, capsular contraction, erosion, migration, non-union of implants and implant rejection. We have leading products in each of our four priority markets: device protection, cardiovascular, orthobiologics and women’s health. In device protection, we sell the only biological envelope, protected by a global patent portfolio, that forms a natural, systemically vascularized pocket for holding implanted electronic devices. In cardiovascular, we sell our SIS ECM for use as an intracardiac and vascular patch. In orthobiologics, we have a proprietary processing technology for manufacturing a comprehensive portfolio of bone regenerative products designed to promote the body’s ability to regenerate healthy bone, osteogenesis, while decreasing cell apoptosis, or programmed cell death. In women’s health, we have a patented cell removal technology that produces undamaged extracellular dermal matrices with superior handling, designed to promote faster healing and reduce inflammation. In pre-clinical and clinical studies, our products have supported and, in some cases, accelerated tissue healing, and thereby improved patient outcomes.</w:t>
      </w:r>
    </w:p>
    <w:p>
      <w:pPr>
        <w:spacing w:after="0" w:line="17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process all of our products at our two manufacturing facilities in Roswell, Georgia and Richmond, California, and stock inventory of raw materials, supplies and finished goods at those locations. We rely on a single or limited number of suppliers for certain raw materials and supplies.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 through tissue procurement firms engaged by us. Our products are shipped either directly to hospital customers or through distribution partners.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Since inception, we have financed our operations primarily through private placements of our convertible preferred stock, amounts borrowed under our credit facilities, sales of our products and, more recently, with proceeds from our initial public offering (“IPO”) and a private placement of our common stock. We have devoted the majority of our resources to acquisitions and integration, manufacturing and administrative costs, general and administrative,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March 31, 2023, we had 144 employees.</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have incurred significant operating losses since our inception. We incurred a net loss of $8.0 million for the three months ended March 31, 2023. Our accumulated deficit as of March 31, 2023 was $146.0 million. We expect our losses to continue for the foreseeable future and these losses will continue to have an adverse effect on our financial position. Because of the numerous risks and uncertainties associated with our commercialization and development efforts, including risks relating to our ability to obtain FDA clearance for the next generation of our flagship CanGaroo product, CanGaroo RM, and our ability to successfully commercialize this product,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order to mitigate the current and potential future liquidity issues caused by the matters noted above, we may seek to raise capital through the issuance of common stock, restructure our Revenue Interest Obligation, or pursue asset sale or other transactions.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availability under the SWK Loan Facility (described below under “—Credit Facilities”),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FiberCel Recall</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June 2021, we issued a voluntary recall pertaining to a single donor lot of our FiberCel, our bone repair product formerly distributed by Medtronic, after learning of postsurgical infections reported in several patients treated with the product, including some patients that tested positive for tuberculosis. For information about the FiberCel Litigation in which we are involved, the impact of such proceedings on our financial statements included in this Quarterly Report, and the possible future financial implications, see Note 8 to the condensed consolidated financial statements included elsewhere in this Quarterly Report. The impact of FiberCel Litigation on our results of operations for the periods covered by this Quarterly Report are discussed below under “ – 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Strategic Transactions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March 2023, we entered into an agreement with Sientra, a medical aesthetics company uniquely focused on plastic surgery, to expand the distribution of our women’s health segment product line, SimpliDerm. Under the agreement terms, Aziyo will grant Sientra certain non-exclusive rights in the United States to market, sell and distribute SimpliDerm for select use in reconstruction surgery.</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April 2023, we entered into an agreement with LeMaitre Vascular, a provider of vascular devices, implants and services, granting LeMaitre Vascular the exclusive U.S. distribution rights for the products within its cardiovascular segment: ProxiCor® PC, ProxiCor® CTR, Tyke® and VasCure®. The term of the collaboration is three years, and LeMaitre Vascular will have the exclusive option to acquire the product line following the first year or under certain other circumstances.</w:t>
      </w:r>
    </w:p>
    <w:p>
      <w:pPr>
        <w:spacing w:after="0" w:line="188"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We are also actively considering material strategic transactions in our device protection and orthobiologics business units. The types of transactions under consideration include exclusive supply agreements, co-promotion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arrangements, exclusive distribution partnerships, and whole business unit divestitures. However, we intend to be selective and only execute agreements that we believe are in the best long-term interest of shareholders.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CanGaroo RM Status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We are currently developing a version of the CanGaroo Envelope, CanGaroo RM, that combines the envelope with antibiotics and is designed to reduce the risk of infection following surgical implantation of an electronic device. Based on feedback from the FDA, CanGaroo RM will require clearance of a 510(k) submission to be marketed in the United States. We submitted the required 510(k) in April 2022 and, in March 2023, received a Not Substantially Equivalent (“NSE”) letter from FDA requiring us to address questions relating to drug testing, primarily a request by FDA to modify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drug release assay employed as a manufacturing control. We intend to address the questions raised in the NSE letter and continue to work with FDA for potential clearance via the 510(k) pathway. We anticipate being able to complete our responses to outstanding questions from FDA in the 2023 calendar year.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three months ended March 31, 2023 and 2022.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recognize revenue on the sale of our products. During the three months ended March 31, 2023, our device protection and cardiovascular products were sold to hospitals and other healthcare facilities primarily through our direct sales force, commercial partners or independent sales agents; however, beginning in April 2023, our cardiovascular products will be sold domestically through our distribution agreement with LeMaitre Vascular and internationally through commercial partners. Our women’s health product, SimpliDerm, is sold directly to hospitals and other healthcare facilities through independent sales agents or through our distribution agreement with Sientra. Our orthobiologics products are sold through commercial partners. Our contract manufacturing products are sold directly to corporate customers. Gross to net sales adjustments include sales returns and prompt payment and volume discounts.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recent years, we have incurred significant costs in the operation of our business. We expect that our recurring operating costs will largely stabilize, or increase at modest rates, in the near future through the identification of efficiencies as we grow. We may, however, still experience more significant expense increases as we expand our product development and clinical and research activities. As a result, we will need to generate significant net sales in order to achieve profitability. Below is a breakdown of our main expense categories and the related expenses incurred in each category: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Sales and marketing expenses are primarily related to our direct sales force, consisting of salaries, commission compensation, fringe benefits, meals and other expenses. Auto and travel costs have also historically contributed to sales and marketing expenses.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related to our products, and customer service expenses.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and administrative (“G&amp;A”) expenses consist primarily of compensation, consulting, legal, human resources, information technology, accounting, insurance and general business expenses. Our G&amp;A expenses have increased as a result of operating as a public company, especially as a result of hiring additional personnel and incurring greater director and officer insurance premiums, greater investor relations costs, and additional costs associated with accounting, legal, tax-related and other services associated with maintaining compliance with exchange listing and SEC requirements.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studies and outside service costs. Our product development efforts primarily relate to new offerings in support of the orthobiologics market and activities associated with the development of CanGaroo RM, our CanGaroo Envelope with antibiotics. Our future R&amp;D expenses may increase as a result of additional work required to address the FDA’s questions in the NSE letter we recently received regarding our CanGaroo RM. We also conduct clinical studies to validate the performance characteristics of our products and to capture patient data necessary to support our commercial efforts.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FiberCel litigation costs consist primarily of legal fees and the estimated costs to resolve the outstanding FiberCel litigation cases offset by the estimated amounts recoverable under insurance, indemnity and contribution agreements for such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vMerge w:val="restart"/>
          </w:tcPr>
          <w:p>
            <w:pPr>
              <w:jc w:val="right"/>
              <w:ind w:right="370"/>
              <w:spacing w:after="0"/>
              <w:rPr>
                <w:sz w:val="20"/>
                <w:szCs w:val="20"/>
                <w:color w:val="auto"/>
              </w:rPr>
            </w:pPr>
            <w:r>
              <w:rPr>
                <w:rFonts w:ascii="Arial" w:cs="Arial" w:eastAsia="Arial" w:hAnsi="Arial"/>
                <w:sz w:val="14"/>
                <w:szCs w:val="14"/>
                <w:b w:val="1"/>
                <w:bCs w:val="1"/>
                <w:color w:val="auto"/>
                <w:w w:val="91"/>
              </w:rPr>
              <w:t>Change 2022 / 2023</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3"/>
          </w:tcPr>
          <w:p>
            <w:pPr>
              <w:jc w:val="right"/>
              <w:ind w:right="318"/>
              <w:spacing w:after="0"/>
              <w:rPr>
                <w:sz w:val="20"/>
                <w:szCs w:val="20"/>
                <w:color w:val="auto"/>
              </w:rPr>
            </w:pPr>
            <w:r>
              <w:rPr>
                <w:rFonts w:ascii="Arial" w:cs="Arial" w:eastAsia="Arial" w:hAnsi="Arial"/>
                <w:sz w:val="14"/>
                <w:szCs w:val="14"/>
                <w:b w:val="1"/>
                <w:bCs w:val="1"/>
                <w:color w:val="auto"/>
              </w:rPr>
              <w:t>Sales</w:t>
            </w:r>
          </w:p>
        </w:tc>
        <w:tc>
          <w:tcPr>
            <w:tcW w:w="780" w:type="dxa"/>
            <w:vAlign w:val="bottom"/>
            <w:gridSpan w:val="2"/>
            <w:vMerge w:val="continue"/>
          </w:tcPr>
          <w:p>
            <w:pPr>
              <w:spacing w:after="0"/>
              <w:rPr>
                <w:sz w:val="14"/>
                <w:szCs w:val="14"/>
                <w:color w:val="auto"/>
              </w:rPr>
            </w:pPr>
          </w:p>
        </w:tc>
        <w:tc>
          <w:tcPr>
            <w:tcW w:w="860" w:type="dxa"/>
            <w:vAlign w:val="bottom"/>
            <w:gridSpan w:val="3"/>
          </w:tcPr>
          <w:p>
            <w:pPr>
              <w:jc w:val="right"/>
              <w:ind w:right="318"/>
              <w:spacing w:after="0"/>
              <w:rPr>
                <w:sz w:val="20"/>
                <w:szCs w:val="20"/>
                <w:color w:val="auto"/>
              </w:rPr>
            </w:pPr>
            <w:r>
              <w:rPr>
                <w:rFonts w:ascii="Arial" w:cs="Arial" w:eastAsia="Arial" w:hAnsi="Arial"/>
                <w:sz w:val="14"/>
                <w:szCs w:val="14"/>
                <w:b w:val="1"/>
                <w:bCs w:val="1"/>
                <w:color w:val="auto"/>
              </w:rPr>
              <w:t>Sales</w:t>
            </w:r>
          </w:p>
        </w:tc>
        <w:tc>
          <w:tcPr>
            <w:tcW w:w="5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13,050</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11,495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6,719</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51.5 %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7,214</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62.8 %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w:t>
            </w:r>
          </w:p>
        </w:tc>
        <w:tc>
          <w:tcPr>
            <w:tcW w:w="1080" w:type="dxa"/>
            <w:vAlign w:val="bottom"/>
            <w:gridSpan w:val="3"/>
          </w:tcPr>
          <w:p>
            <w:pPr>
              <w:jc w:val="right"/>
              <w:ind w:right="1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5,356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4,818</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w:t>
            </w:r>
          </w:p>
        </w:tc>
        <w:tc>
          <w:tcPr>
            <w:tcW w:w="1080" w:type="dxa"/>
            <w:vAlign w:val="bottom"/>
            <w:gridSpan w:val="3"/>
          </w:tcPr>
          <w:p>
            <w:pPr>
              <w:jc w:val="right"/>
              <w:ind w:right="11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1,803</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w:t>
            </w:r>
          </w:p>
        </w:tc>
        <w:tc>
          <w:tcPr>
            <w:tcW w:w="1080" w:type="dxa"/>
            <w:vAlign w:val="bottom"/>
            <w:gridSpan w:val="3"/>
          </w:tcPr>
          <w:p>
            <w:pPr>
              <w:jc w:val="right"/>
              <w:ind w:right="1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FiberCel litigation costs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12,749</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11,203</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w:t>
            </w:r>
          </w:p>
        </w:tc>
        <w:tc>
          <w:tcPr>
            <w:tcW w:w="1080" w:type="dxa"/>
            <w:vAlign w:val="bottom"/>
            <w:gridSpan w:val="3"/>
          </w:tcPr>
          <w:p>
            <w:pPr>
              <w:jc w:val="right"/>
              <w:ind w:right="11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w w:val="99"/>
              </w:rPr>
              <w:t>Three Months Ended 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vMerge w:val="restart"/>
          </w:tcPr>
          <w:p>
            <w:pPr>
              <w:jc w:val="right"/>
              <w:ind w:right="410"/>
              <w:spacing w:after="0"/>
              <w:rPr>
                <w:sz w:val="20"/>
                <w:szCs w:val="20"/>
                <w:color w:val="auto"/>
              </w:rPr>
            </w:pPr>
            <w:r>
              <w:rPr>
                <w:rFonts w:ascii="Arial" w:cs="Arial" w:eastAsia="Arial" w:hAnsi="Arial"/>
                <w:sz w:val="14"/>
                <w:szCs w:val="14"/>
                <w:b w:val="1"/>
                <w:bCs w:val="1"/>
                <w:color w:val="auto"/>
                <w:w w:val="91"/>
              </w:rPr>
              <w:t>Change 2022 / 2023</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88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Sales</w:t>
            </w:r>
          </w:p>
        </w:tc>
        <w:tc>
          <w:tcPr>
            <w:tcW w:w="8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Sales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100"/>
              <w:spacing w:after="0"/>
              <w:rPr>
                <w:sz w:val="20"/>
                <w:szCs w:val="20"/>
                <w:color w:val="auto"/>
              </w:rPr>
            </w:pPr>
            <w:r>
              <w:rPr>
                <w:rFonts w:ascii="Arial" w:cs="Arial" w:eastAsia="Arial" w:hAnsi="Arial"/>
                <w:sz w:val="18"/>
                <w:szCs w:val="18"/>
                <w:color w:val="auto"/>
              </w:rPr>
              <w:t>Device protection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2,350</w:t>
            </w: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18.0 % $</w:t>
            </w:r>
          </w:p>
        </w:tc>
        <w:tc>
          <w:tcPr>
            <w:tcW w:w="620" w:type="dxa"/>
            <w:vAlign w:val="bottom"/>
          </w:tcPr>
          <w:p>
            <w:pPr>
              <w:jc w:val="right"/>
              <w:spacing w:after="0"/>
              <w:rPr>
                <w:sz w:val="20"/>
                <w:szCs w:val="20"/>
                <w:color w:val="auto"/>
              </w:rPr>
            </w:pPr>
            <w:r>
              <w:rPr>
                <w:rFonts w:ascii="Arial" w:cs="Arial" w:eastAsia="Arial" w:hAnsi="Arial"/>
                <w:sz w:val="18"/>
                <w:szCs w:val="18"/>
                <w:color w:val="auto"/>
              </w:rPr>
              <w:t>2,053</w:t>
            </w: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17.9 %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1100" w:type="dxa"/>
            <w:vAlign w:val="bottom"/>
            <w:gridSpan w:val="3"/>
          </w:tcPr>
          <w:p>
            <w:pPr>
              <w:jc w:val="right"/>
              <w:ind w:right="150"/>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Women's health</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1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16"/>
        </w:trPr>
        <w:tc>
          <w:tcPr>
            <w:tcW w:w="3640" w:type="dxa"/>
            <w:vAlign w:val="bottom"/>
            <w:gridSpan w:val="2"/>
          </w:tcPr>
          <w:p>
            <w:pPr>
              <w:ind w:left="100"/>
              <w:spacing w:after="0"/>
              <w:rPr>
                <w:sz w:val="20"/>
                <w:szCs w:val="20"/>
                <w:color w:val="auto"/>
              </w:rPr>
            </w:pPr>
            <w:r>
              <w:rPr>
                <w:rFonts w:ascii="Arial" w:cs="Arial" w:eastAsia="Arial" w:hAnsi="Arial"/>
                <w:sz w:val="18"/>
                <w:szCs w:val="18"/>
                <w:color w:val="auto"/>
              </w:rPr>
              <w:t>Orthobiologics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6,658</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51.0 %</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6,243</w:t>
            </w: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54.3 %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100" w:type="dxa"/>
            <w:vAlign w:val="bottom"/>
            <w:gridSpan w:val="3"/>
          </w:tcPr>
          <w:p>
            <w:pPr>
              <w:jc w:val="right"/>
              <w:ind w:right="15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Cardiovascular</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13.6 %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1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10"/>
        </w:trPr>
        <w:tc>
          <w:tcPr>
            <w:tcW w:w="36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13,050</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11,495</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 $</w:t>
            </w:r>
          </w:p>
        </w:tc>
        <w:tc>
          <w:tcPr>
            <w:tcW w:w="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1,555</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Total net sales increased $1.6 million, or 13.5%, to $13.1 million in the three months ended March 31, 2023 compared to $11.5 million in the three months ended March 31, 2022, with such increase primarily attributable to volume growth in all four product segments.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goods sold and gross margin percentage information for our products is summarized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7"/>
              </w:rPr>
              <w:t>Three Months Ended March 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96"/>
        </w:trPr>
        <w:tc>
          <w:tcPr>
            <w:tcW w:w="3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w w:val="96"/>
              </w:rPr>
              <w:t>2023</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Change 2022 / 2023</w:t>
            </w:r>
          </w:p>
        </w:tc>
      </w:tr>
      <w:tr>
        <w:trPr>
          <w:trHeight w:val="209"/>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Margin %</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Margin %</w:t>
            </w:r>
          </w:p>
        </w:tc>
        <w:tc>
          <w:tcPr>
            <w:tcW w:w="62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8"/>
                <w:szCs w:val="18"/>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Device protection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76.4 % $</w:t>
            </w:r>
          </w:p>
        </w:tc>
        <w:tc>
          <w:tcPr>
            <w:tcW w:w="600" w:type="dxa"/>
            <w:vAlign w:val="bottom"/>
          </w:tcPr>
          <w:p>
            <w:pPr>
              <w:jc w:val="right"/>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8"/>
                <w:szCs w:val="18"/>
                <w:color w:val="auto"/>
              </w:rPr>
            </w:pPr>
          </w:p>
        </w:tc>
        <w:tc>
          <w:tcPr>
            <w:tcW w:w="1660" w:type="dxa"/>
            <w:vAlign w:val="bottom"/>
            <w:gridSpan w:val="4"/>
          </w:tcPr>
          <w:p>
            <w:pPr>
              <w:jc w:val="right"/>
              <w:ind w:right="200"/>
              <w:spacing w:after="0"/>
              <w:rPr>
                <w:sz w:val="20"/>
                <w:szCs w:val="20"/>
                <w:color w:val="auto"/>
              </w:rPr>
            </w:pPr>
            <w:r>
              <w:rPr>
                <w:rFonts w:ascii="Arial" w:cs="Arial" w:eastAsia="Arial" w:hAnsi="Arial"/>
                <w:sz w:val="18"/>
                <w:szCs w:val="18"/>
                <w:color w:val="auto"/>
              </w:rPr>
              <w:t>64.2 % $  (180)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12.2 %</w:t>
            </w:r>
          </w:p>
        </w:tc>
      </w:tr>
      <w:tr>
        <w:trPr>
          <w:trHeight w:val="216"/>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Women's health</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4.6 %</w:t>
            </w: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Orthobiologics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3,701</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44.4 %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4,340</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30.5 %</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(639)</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13.9 %</w:t>
            </w:r>
          </w:p>
        </w:tc>
      </w:tr>
      <w:tr>
        <w:trPr>
          <w:trHeight w:val="216"/>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Cardiovascular</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r>
      <w:tr>
        <w:trPr>
          <w:trHeight w:val="182"/>
        </w:trPr>
        <w:tc>
          <w:tcPr>
            <w:tcW w:w="3460" w:type="dxa"/>
            <w:vAlign w:val="bottom"/>
          </w:tcPr>
          <w:p>
            <w:pPr>
              <w:ind w:left="20"/>
              <w:spacing w:after="0" w:line="182" w:lineRule="exact"/>
              <w:rPr>
                <w:sz w:val="20"/>
                <w:szCs w:val="20"/>
                <w:color w:val="auto"/>
              </w:rPr>
            </w:pPr>
            <w:r>
              <w:rPr>
                <w:rFonts w:ascii="Arial" w:cs="Arial" w:eastAsia="Arial" w:hAnsi="Arial"/>
                <w:sz w:val="18"/>
                <w:szCs w:val="18"/>
                <w:color w:val="auto"/>
                <w:w w:val="93"/>
              </w:rPr>
              <w:t>Cost of goods sold, excluding intangible asset</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5,870</w:t>
            </w: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6,365</w:t>
            </w: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44.6 %</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(495)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10.4 %</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 amortization expense</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0.9 %</w:t>
            </w:r>
          </w:p>
        </w:tc>
      </w:tr>
      <w:tr>
        <w:trPr>
          <w:trHeight w:val="20"/>
        </w:trPr>
        <w:tc>
          <w:tcPr>
            <w:tcW w:w="34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Total Cost of Goods Sold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6,719</w:t>
            </w: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48.5 %$</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7,214</w:t>
            </w:r>
          </w:p>
        </w:tc>
        <w:tc>
          <w:tcPr>
            <w:tcW w:w="160" w:type="dxa"/>
            <w:vAlign w:val="bottom"/>
          </w:tcPr>
          <w:p>
            <w:pPr>
              <w:spacing w:after="0"/>
              <w:rPr>
                <w:sz w:val="19"/>
                <w:szCs w:val="19"/>
                <w:color w:val="auto"/>
              </w:rPr>
            </w:pPr>
          </w:p>
        </w:tc>
        <w:tc>
          <w:tcPr>
            <w:tcW w:w="16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37.2 %$  (495)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11.3 %</w:t>
            </w:r>
          </w:p>
        </w:tc>
      </w:tr>
      <w:tr>
        <w:trPr>
          <w:trHeight w:val="20"/>
        </w:trPr>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Total cost of goods sold decreased $0.5 million to $6.7 million in the three months ended March 31, 2023 compared to $7.2 million in the three months ended March 31, 2022. Gross margin was 48.5% in the three months ended March 31, 2023 compared to 37.2% in the three months ended March 31, 2022. Gross margin, excluding intangible asset amortization, was 55.0% in the three months ended March 31, 2023 compared to 44.6% in the three months ended March 31, 2022. With respect to the individual product segments, the gross margin of device protection, women’s health and orthobiologics improved in the three months ended March 31, 2023 compared to the three months ended March 31, 2022 due to operational efficiencies in the current year causing lower costs to manufacture the product. Also contributing to the improvement for the Orthobiologics segment in the three months ended March 31, 2023 was a larger percentage of segment sales from the higher margin viable bone matrix products versus contracted services. Gross margin on our cardiovascular products was relatively flat between years.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Sales and marketing expenses increased $0.6 million, or 11.2%, to $5.4 million in the three months ended March 31, 2023 compared to $4.8 million in the three months ended March 31, 2022. As a percentage of sales, sales and marketing expenses decreased to 41.0% in the three months ended March 31, 2023 from 41.9% in the three months ended March 31, 2022. The increase in expense was largely attributable to approximately $0.5 million of severance costs on the previously announced reduction in force which occurred in the first quarter of 2023 and primarily impacted certain members of sales and marketing management.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G&amp;A expenses decreased $0.3 million, or 8.6%, to $3.7 million in the three months ended March 31, 2023 compared to $4.0 million in the three months ended March 31, 2022. As a percentage of net sales, G&amp;A expenses decreased to 28.2% in the three months ended March 31, 2023 from 35.0% in the three months ended March 31, 2022. The decrease in expense was primarily due to lower stock-based compensation and corporate insurance costs.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R&amp;D expenses decreased to $1.8 million in the three months ended March 31, 2023 compared to $2.3 million in the three months ended March 31, 2022. We continue to focus our R&amp;D efforts primarily on the development of our CanGaroo RM Antibacterial Envelope. Such related costs were slightly less in the first quarter of 2023 versus the prior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year’s comparable period due to the reduction of efforts needed and expenses incurred as the development progresses toward anticipated completion.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FiberCel litigation costs increased to $1.9 million in the three months ended March 31, 2023 compared to $0.1 million in the three months ended March 31, 2022. The increase in expense was primarily due to the establishment of the Contingent Liability for FiberCel litigation in the third quarter of 2022 and the continued evaluation of such liability as the FiberCel cases progress. The FiberCel litigation costs in the three months ended March 31, 2022 were comprised only of legal fees incurred. See further discussion in Note 8 to condensed consolidated financial statements included elsewhere in this Quarterly Report.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Interest expense was approximately $1.5 million in the three months ended March 31, 2023 compared to $1.2 million in the three months ended March 31, 2022. The increase was due to the higher principal outstanding and interest rates incurred by us on our existing debt, the SWK Loan Facility, as compared to the debt outstanding in the three months ending March 31, 2022, which consisted primarily of the MidCap Loan Facility and MidCap Credit Facility. See “ - Liquidity and Capital Resources - Credit Facilities” below for a further discussion of these debt agreements and Note 6 to the condensed consolidated financial statements included elsewhere in this Quarterly Report.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presents our gross margin, excluding intangible asset amortization, for the three months ended March 31, 2023 and 2022.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 In addition, other companies, including companies in our industry, may use other measures to evaluate their performance, which could reduce the usefulness of this non-GAAP financial measure as a tool for comparison.</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three months ended March 31, 2023 and 2022 to the most directly comparable GAAP financial measure, which is our GAAP gross margin (in thousands).</w:t>
      </w:r>
    </w:p>
    <w:p>
      <w:pPr>
        <w:spacing w:after="0" w:line="20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Three Months Ended</w:t>
      </w:r>
    </w:p>
    <w:p>
      <w:pPr>
        <w:ind w:left="7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1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Intangible asset amortization expense</w:t>
            </w:r>
          </w:p>
        </w:tc>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Gross profit, excluding intangible asset amortization</w:t>
            </w:r>
          </w:p>
        </w:tc>
        <w:tc>
          <w:tcPr>
            <w:tcW w:w="2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Gross margin</w:t>
            </w:r>
          </w:p>
        </w:tc>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48.5</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37.2</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Gross margin, excluding intangible asset amortization</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64"/>
        </w:trPr>
        <w:tc>
          <w:tcPr>
            <w:tcW w:w="4140" w:type="dxa"/>
            <w:vAlign w:val="bottom"/>
          </w:tcPr>
          <w:p>
            <w:pPr>
              <w:spacing w:after="0"/>
              <w:rPr>
                <w:sz w:val="24"/>
                <w:szCs w:val="24"/>
                <w:color w:val="auto"/>
              </w:rPr>
            </w:pPr>
          </w:p>
        </w:tc>
        <w:tc>
          <w:tcPr>
            <w:tcW w:w="2840" w:type="dxa"/>
            <w:vAlign w:val="bottom"/>
          </w:tcPr>
          <w:p>
            <w:pPr>
              <w:jc w:val="right"/>
              <w:ind w:right="233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Historically, we have experienced seasonality, with lower sales in our first and second quarters and higher sales in our fourth quarter,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of March 31, 2023, we had cash of approximately $11.8 million. In August 2022, we refinanced our debt as described below under “— Credit Facilities.” Since inception, we have financed our operations primarily through private placements of our convertible preferred stock, amounts borrowed under our credit facilities, sales of our products and more recently, proceeds from our IPO and a private placement of our common stock. Our historical cash outflows have primarily been associated with acquisitions and integration, manufacturing and administrative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March 31, 2023, our accumulated deficit was $146.0 million.</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order to mitigate the current and potential future liquidity issues caused by the matters noted above, we may seek to raise capital through the issuance of common stock, restructure our Revenue Interest Obligation, or pursue asset sale or licensing transactions.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availability under the SWK Loan Facility (described below under “—Credit Facilities”),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for the Three Months Ended March 31, 2023 and 2022</w:t>
      </w:r>
    </w:p>
    <w:p>
      <w:pPr>
        <w:spacing w:after="0" w:line="392"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Three Months Ended</w:t>
      </w:r>
    </w:p>
    <w:p>
      <w:pPr>
        <w:ind w:left="6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jc w:val="right"/>
              <w:ind w:right="274"/>
              <w:spacing w:after="0" w:line="142" w:lineRule="exact"/>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93"/>
              <w:spacing w:after="0"/>
              <w:rPr>
                <w:sz w:val="20"/>
                <w:szCs w:val="20"/>
                <w:color w:val="auto"/>
              </w:rPr>
            </w:pPr>
            <w:r>
              <w:rPr>
                <w:rFonts w:ascii="Arial" w:cs="Arial" w:eastAsia="Arial" w:hAnsi="Arial"/>
                <w:sz w:val="18"/>
                <w:szCs w:val="18"/>
                <w:color w:val="auto"/>
                <w:w w:val="98"/>
              </w:rPr>
              <w:t>(5,166)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(7,350)</w:t>
            </w: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(5,200)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(8,253)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Net cash used in operating activities for the three months ended March 31, 2023 was $5.2 million compared to $7.4 million for the three months ended March 31, 2022. The year-over-year decrease was primarily due to a higher net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loss (after adjustment for non-cash charges and gains) as well as the timing of certain annual insurance prepayments offset by inventory builds.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cash used in investing activities for the three months ended March 31, 2023 was $0.2 million compared to $0.03 million for the three months ended March 31, 2022. In both periods, the use of cash related to the purchase of property and equipment, the majority of which were used in the production activities of our Richmond, California facility.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cash provided by financing activities for the three months ended March 31, 2023 was $0.1 million compared to net cash used in financing activities of $0.9 million for the three months ended March 31, 2022. The year-over-year net decrease was caused primarily by payments made in the 2022 period related to our Revenue Interest Obligation with no such payments having been made in the 2023 period due to ongoing restructuring discussions with Ligand (as defined below).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On August 10, 2022 (the “Closing Date”), we entered into a senior secured term loan facility with SWK Funding LLC (“SWK”), as agent, and other lenders party thereto (as amended and modified subsequent to the Closing Date, the “SWK Loan Facility”) for an aggregate principal amount of $25 million. An initial draw of $21 million drawn was made on the Closing Date with the additional $4 million drawn on December 14, 2022 upon satisfaction of the amended terms enabling such receipt. The SWK Loan Facility also allows for the establishment of a separate, new asset-based revolving loan facility of up to $8 million, which had not been entered into to date. We used $16 million of the proceeds of the SWK Loan Facility to pay all outstanding obligations on the formerly outstanding MidCap Loan Facility and MidCap Credit Facility. Such payment included (i) $12.8 million to repay all outstanding principal and accrued interest on the MidCap Loan Facility, (ii) $1.7 million to pay the prepayment and exit fees on the MidCap Loan Facility and (iii) $1.5 million to repay the outstanding balance, accrued interest and exit fees on the MidCap Credit Facility. As of March 31, 2023, we had $24.6 million of indebtedness outstanding under our SWK Loan Facility, with such balance being net of $0.9 million of unamortized discount and deferred financing costs, but increased by capitalized PIK Interest (as defined below) of $0.6 million since November 2022.</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All of the SWK Loan Facility borrowings take the form of Secured Overnight Financing Rate (“SOFR”) loans and will bear interest at a rate per annum equal to the sum of an applicable margin of (i) 7.75% and the “Term SOFR Rate” (based upon an interest period of 3 months), or (ii) if we have elected the PIK Interest option (as defined below), 3.75% and the “Term SOFR Rate.” We may elect a portion of the interest due, to be paid in-kind at a rate per annum of 4.5% (“PIK Interest”), and such election may be made (x) until November 15, 2024 if certain profitability and regulatory conditions (“Extension Conditions”) have not been met, or until November 17, 2025 if such conditions have been satisfied. The “Term SOFR Rate” is subject to a floor of 2.75%.</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SWK Loan Facility Agreement requires certain mandatory prepayments, subject to certain exceptions, with:</w:t>
      </w:r>
    </w:p>
    <w:p>
      <w:pPr>
        <w:spacing w:after="0" w:line="46" w:lineRule="exact"/>
        <w:rPr>
          <w:sz w:val="20"/>
          <w:szCs w:val="20"/>
          <w:color w:val="auto"/>
        </w:rPr>
      </w:pPr>
    </w:p>
    <w:p>
      <w:pPr>
        <w:jc w:val="both"/>
        <w:ind w:left="60" w:right="59" w:hanging="10"/>
        <w:spacing w:after="0" w:line="252"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three months ended March 31,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SWK Loan Facility Agreement also includes an exit fee equal to 6.5% of the aggregate principal amount funded prior to termination, and prepayment penalties that are equal to: (i) 2% of the aggregate principal amount funded prior to the termination plus remaining unpaid interest payments scheduled to be paid during the first year of the loan if such prepayment occurs prior to the first anniversary of the Closing Date, or (ii) 2% of the aggregate principal amount funded prior to termination if such prepayment occurs after the first anniversary of the Closing Date but prior to the second anniversary of the Closing Date.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SWK Loan Facility matures on August 10, 2027 and accrues interest, payable quarterly in arrears. Principal amortization of the SWK Loan Facility starts on November 15, 2024, which amortization may be extended to November 17, 2025 if the Extension Conditions (as defined in the SWK Loan Facility Agreement) have been satisfied. Principal payments during the amortization period will be limited based on revenue-based caps. As of March 31, 2023, quarterly principal payments are scheduled to begin on November 15, 2024, in an amount equal to 5% of the outstanding principal on such principal payment commencement date with the balance paid at maturity.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All obligations under the SWK Loan Facility are, and any future guarantees of those obligations will be, secured by, among other things, and in each case subject to certain exceptions, a first priority lien on and security interest in, upon, and to all of our assets, whether now owned or hereafter acquired, wherever located.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SWK Loan Facility Agreement that governs the SWK Loan Facility contains a number of covenants that, among other things and subject to certain exceptions, restrict our ability to:</w:t>
      </w:r>
    </w:p>
    <w:p>
      <w:pPr>
        <w:spacing w:after="0" w:line="170"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or modify certain material agreements;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the SWK Loan Facility Agreement contains two financial covenants. The first covenant, which is measured quarterly, requires us to achieve a specified Minimum Aggregate Revenue (as defined in the SWK Loan Facility Agreement) for the preceding 12-month period. The second covenant requires us to maintain a minimum liquidity (as defined in the SWK Loan Facility Agreement) of $5.0 million until December 16, 2022 and thereafter, the greater of (a)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$5.0 million and (b) the sum of the operating cash burn (as defined in the SWK Loan Facility Agreement) for the two prior consecutive fiscal quarters then ended (the “Liquidity Covenant”).</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SWK Loan Facility Agreement contains events of default, including, most significantly, a failure to timely pay interest or principal, insolvency, or an action by the FDA or such other material adverse event impacting the operations of Aziyo. As of March 31, 2023, we were in compliance with the financial covenant and all other covenants.</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May 12, 2023, we entered into a first amendment to the SWK Loan Facility Agreement with SWK and the other lenders party thereto. The amendment is described in further detail in Note 11 to the condensed consolidated financial statements included elsewhere in this Quarterly Report, and in Part II, Item 5 of this Quarterly Report.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Supplier Promissory Note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2017, we restructured certain of our liabilities with a tissue supplier and entered into an unsecured promissory note bearing interest at 5%. As of March 31, 2022, the balance of this promissory note totaled $1.4 million plus accrued interest. In connection with the August 2022 debt refinancing, we used $1.4 million of the proceeds from the SWK Loan Facility to repay the remaining balance on the promissory note, and as of March 31, 2023, we had no balance remaining on the promissory note.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expand our product development and clinical and research activities. In addition, we expect to continue to incur significant costs and expenses associated with operating as a public company.</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of March 31, 2023, we had $24.6 million of indebtedness outstanding, consisting of $25.5 million outstanding under our SWK Loan Facility (net of $0.9 million of unamortized discount and deferred financing costs). In addition, as further described in Note 7 to these condensed consolidated financial statements included elsewhere in this Quarterly Report,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Furthermore, a $5.0 million payment will be due to Ligand if cumulative sales of these products exceed $100 million and a second $5.0 million will be due if cumulative sales exceed $300 million during the ten-year term of the agreement which expires on May 31, 2027. We are currently forecasting that the initial $5.0 million milestone payment will become payable in mid-2023.</w:t>
      </w:r>
    </w:p>
    <w:p>
      <w:pPr>
        <w:spacing w:after="0" w:line="16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If our available cash balances and cash flow from operations, if any, are insufficient to satisfy our liquidity requirements, we may seek to raise additional capital through equity offerings, debt financings, or asset sale or other transactions. However, such transactions may not be successful and we may not be able to raise additional equity or debt, or sell or license assets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78"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and clinical studies;</w:t>
      </w:r>
    </w:p>
    <w:p>
      <w:pPr>
        <w:spacing w:after="0" w:line="225" w:lineRule="exact"/>
        <w:rPr>
          <w:rFonts w:ascii="Arial" w:cs="Arial" w:eastAsia="Arial" w:hAnsi="Arial"/>
          <w:sz w:val="18"/>
          <w:szCs w:val="18"/>
          <w:color w:val="auto"/>
        </w:rPr>
      </w:pPr>
    </w:p>
    <w:p>
      <w:pPr>
        <w:ind w:left="1040" w:right="5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1040" w:right="5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1040" w:right="5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1040" w:right="59" w:hanging="315"/>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of defending against or the damages payable in connection with the FiberCel Litigation and any future litigation that we may be subject to (to the extent above the applicable insurance coverage);</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1040" w:right="59" w:hanging="315"/>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extent to which we acquire or invest in products, technologies and businesses in the future, although we may currently have no commitments or agreements relating to any of these types of transactions;</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1040" w:right="5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or any other pandemic, epidemic or outbreak of infectious disease.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Annual Report, Part I, Item 1A. “Risk Factors — Risks Related to Our Business — </w:t>
      </w:r>
      <w:r>
        <w:rPr>
          <w:rFonts w:ascii="Arial" w:cs="Arial" w:eastAsia="Arial" w:hAnsi="Arial"/>
          <w:sz w:val="16"/>
          <w:szCs w:val="16"/>
          <w:i w:val="1"/>
          <w:iCs w:val="1"/>
          <w:color w:val="auto"/>
        </w:rPr>
        <w:t>Our future capital needs are uncertain and we may need to raise funds in the future, and such funds may not be</w:t>
      </w:r>
      <w:r>
        <w:rPr>
          <w:rFonts w:ascii="Arial" w:cs="Arial" w:eastAsia="Arial" w:hAnsi="Arial"/>
          <w:sz w:val="16"/>
          <w:szCs w:val="16"/>
          <w:color w:val="auto"/>
        </w:rPr>
        <w:t xml:space="preserve"> </w:t>
      </w:r>
      <w:r>
        <w:rPr>
          <w:rFonts w:ascii="Arial" w:cs="Arial" w:eastAsia="Arial" w:hAnsi="Arial"/>
          <w:sz w:val="16"/>
          <w:szCs w:val="16"/>
          <w:i w:val="1"/>
          <w:iCs w:val="1"/>
          <w:color w:val="auto"/>
        </w:rPr>
        <w:t>available on acceptable terms or at all</w:t>
      </w:r>
      <w:r>
        <w:rPr>
          <w:rFonts w:ascii="Arial" w:cs="Arial" w:eastAsia="Arial" w:hAnsi="Arial"/>
          <w:sz w:val="16"/>
          <w:szCs w:val="16"/>
          <w:color w:val="auto"/>
        </w:rPr>
        <w:t>.”</w:t>
      </w:r>
    </w:p>
    <w:p>
      <w:pPr>
        <w:spacing w:after="0" w:line="16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Based on our current operating plans, we believe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preparation of our unaudited condensed consolidated financial statements in accordance with GAAP requires us to make estimates and assumptions that affect reported amounts and related disclosures. We have discussed the policies and estimates that we believe are critical and require the use of complex judgment in their application in our Annual Report, and, during the three months ended March 31, 2023, there were no material changes to those previously disclosed.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Refer to Note 2, “Summary of Significant Accounting Policies,” to our condensed consolidated financial statements included elsewhere in this Quarterly Report for information regarding our critical accounting estimates and policies.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Refer to Note 3, “Recently Issued Accounting Standards,” to our condensed consolidated financial statements included elsewhere in this Quarterly Report for information regarding recently issued accounting pronouncements.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are $1.235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8"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primary exposure to market risk relates to changes in interest rates. Borrowings under our SWK Loan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March 31, 2023 would not have had a material effect on our financial statements. We do not currently engage in hedging transactions to manage our exposure to interest rate risk.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March 31, 2023,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management concluded that the Company’s disclosure controls and procedures were effective as of March 31, 2023.</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March 31, 2023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8 to the condensed consolidated financial statements included elsewhere in this Quarterly Report.</w:t>
      </w:r>
    </w:p>
    <w:p>
      <w:pPr>
        <w:spacing w:after="0" w:line="39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Annual Report. Any of these factors, in whole or in part, could materially and adversely affect our business, financial condition, operating results and the price of our common stock. Except as set forth below, there have been no material changes in our risk factors to those included in our Annual Report.</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recently received a Nasdaq notice for failing to comply with listing requirements and there is no assurance we will regain compliance or maintain our Nasdaq listing.</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May 4, 2023, we received a letter from the Listing Qualifications Department of the Nasdaq Stock Market (“Nasdaq”) informing us that, due to our Market Value of Listed Securities (“MVLS”) having been below the minimum of $35 million for 30 consecutive business days, we are not in compliance with the MVLS required for continued listing on the Nasdaq Capital Market set forth in Nasdaq Listing Rule 5550(b)(2) (the “Market Value Standard”). In accordance with Nasdaq Listing Rule 5810(c)(3)(C), we have a period of 180 calendar days from May 4, 2023, or until October 31, 2023, to regain compliance with the Market Value Standard. If we do not regain compliance within the allotted compliance period, including any extensions that may be granted by Nasdaq, Nasdaq will provide notice that our common stock will be subject to delisting.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intend to monitor our MVLS during the allotted compliance period, and may, if appropriate, evaluate available options to regain compliance by resolving the deficiency under the Market Value Standard, or under Nasdaq’s alternative continued listing requirements. However, there can be no assurance that we will regain compliance with the Market Value Standard during the 180 day compliance period, secure an extension to the 180 calendar day period to regain compliance, or gain or maintain compliance under or with Nasdaq’s other applicable listing requirements.</w:t>
      </w:r>
    </w:p>
    <w:p>
      <w:pPr>
        <w:spacing w:after="0" w:line="16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If we cannot regain compliance with the Market Value Standard or under Nasdaq’s alternative continued listing requirements, and if our common stock is delisted by Nasdaq, it could lead to a number of negative implications, including an adverse effect on the price of our common stock, increased volatility in our common stock, reduced liquidity in our common stock, the loss of federal preemption of state securities laws and greater difficulty in obtaining financing. In addition, delisting of our common stock could deter broker-dealers from making a market in or otherwise seeking or generating interest in our common stock, could result in a loss of current or future coverage by certain sell-side analysts and might deter certain institutions and persons from investing in our securities at all. Delisting could also cause a loss of confidence of our collaborators, vendors, suppliers and employees, which could harm our business and future prospects.</w:t>
      </w:r>
    </w:p>
    <w:p>
      <w:pPr>
        <w:spacing w:after="0" w:line="16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On May 12, 2023, the Company entered into that certain First Amendment to Credit Agreement, by and among the Company, as the borrower, the financial institutions party thereto from time to time as lenders, and SWK Funding LLC, in its capacity as administrative agent (the “Agent”) (the “Amendment”). The Amendment amends the Credit Agreement, dated August 10, 2022, by and among the Company, the financial institutions party thereto from time to time as lenders, and the Agent (as amended, modified or restated from time to time, the “SWK Loan Facility Agreement”).</w:t>
      </w:r>
    </w:p>
    <w:p>
      <w:pPr>
        <w:spacing w:after="0" w:line="16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Pursuant to the Amendment, the exit fee payable upon loan maturity or the earlier repayment in full of all outstanding obligations under the SWK Loan Facility Agreement was modified to be an amount equal to 6.5% of the aggregate principal amount funded prior to termination plus $62,500. In addition, the Amendment modified the minimum liquidity covenant applicable to the Company under the SWK Loan Facility Agreement, and now requires the Company to maintain a minimum liquidity of at least $5.0 million until August 15, 2023 (which date may be extended by the Agent, in its commercially-reasonable discretion, to November 15, 2023), and after such date, a minimum liquidity of at least the greater of (i) $5.0 million, and (ii) the sum of the operating cash burn (as defined in the SWK Loan Facility Agreement) for the two prior consecutive fiscal quarters then ended.</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foregoing summary of the Amendment does not purport to be complete and is qualified in its entirety by reference to the Amendment, a copy of which is filed as Exhibit 10.4 to this Quarterly Report.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41" w:lineRule="exact"/>
        <w:rPr>
          <w:sz w:val="20"/>
          <w:szCs w:val="20"/>
          <w:color w:val="auto"/>
        </w:rPr>
      </w:pPr>
    </w:p>
    <w:p>
      <w:pPr>
        <w:jc w:val="both"/>
        <w:ind w:left="60"/>
        <w:spacing w:after="0" w:line="314"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121" w:lineRule="exact"/>
        <w:rPr>
          <w:sz w:val="20"/>
          <w:szCs w:val="20"/>
          <w:color w:val="auto"/>
        </w:rPr>
      </w:pPr>
    </w:p>
    <w:p>
      <w:pPr>
        <w:jc w:val="center"/>
        <w:spacing w:after="0"/>
        <w:rPr>
          <w:rFonts w:ascii="Arial" w:cs="Arial" w:eastAsia="Arial" w:hAnsi="Arial"/>
          <w:sz w:val="16"/>
          <w:szCs w:val="16"/>
          <w:u w:val="single" w:color="auto"/>
          <w:color w:val="0000EE"/>
        </w:rPr>
      </w:pPr>
      <w:hyperlink r:id="rId62">
        <w:r>
          <w:rPr>
            <w:rFonts w:ascii="Arial" w:cs="Arial" w:eastAsia="Arial" w:hAnsi="Arial"/>
            <w:sz w:val="16"/>
            <w:szCs w:val="16"/>
            <w:u w:val="single" w:color="auto"/>
            <w:color w:val="0000EE"/>
          </w:rPr>
          <w:t>Restated Certificate of Incorporation of Aziyo Biologics, Inc.</w:t>
        </w:r>
      </w:hyperlink>
    </w:p>
    <w:p>
      <w:pPr>
        <w:spacing w:after="0" w:line="200" w:lineRule="exact"/>
        <w:rPr>
          <w:sz w:val="20"/>
          <w:szCs w:val="20"/>
          <w:color w:val="auto"/>
        </w:rPr>
      </w:pPr>
    </w:p>
    <w:p>
      <w:pPr>
        <w:spacing w:after="0" w:line="264" w:lineRule="exact"/>
        <w:rPr>
          <w:sz w:val="20"/>
          <w:szCs w:val="20"/>
          <w:color w:val="auto"/>
        </w:rPr>
      </w:pPr>
    </w:p>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Amended and Restated Bylaws of Aziyo Biologics, Inc.</w:t>
        </w:r>
      </w:hyperlink>
    </w:p>
    <w:p>
      <w:pPr>
        <w:spacing w:after="0" w:line="333" w:lineRule="exact"/>
        <w:rPr>
          <w:sz w:val="20"/>
          <w:szCs w:val="20"/>
          <w:color w:val="auto"/>
        </w:rPr>
      </w:pPr>
    </w:p>
    <w:p>
      <w:pPr>
        <w:ind w:right="140"/>
        <w:spacing w:after="0" w:line="263" w:lineRule="auto"/>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Second Amended and Restated Investor Rights Agreement,</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dated as of March 14, 2020, among the Registrant and the</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investors 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78"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b w:val="1"/>
                <w:bCs w:val="1"/>
                <w:color w:val="auto"/>
              </w:rPr>
              <w:t>File</w:t>
            </w:r>
          </w:p>
        </w:tc>
        <w:tc>
          <w:tcPr>
            <w:tcW w:w="5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Furnished</w:t>
            </w:r>
          </w:p>
        </w:tc>
        <w:tc>
          <w:tcPr>
            <w:tcW w:w="0" w:type="dxa"/>
            <w:vAlign w:val="bottom"/>
          </w:tcPr>
          <w:p>
            <w:pPr>
              <w:spacing w:after="0"/>
              <w:rPr>
                <w:sz w:val="1"/>
                <w:szCs w:val="1"/>
                <w:color w:val="auto"/>
              </w:rPr>
            </w:pPr>
          </w:p>
        </w:tc>
      </w:tr>
      <w:tr>
        <w:trPr>
          <w:trHeight w:val="220"/>
        </w:trPr>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560" w:type="dxa"/>
            <w:vAlign w:val="bottom"/>
          </w:tcPr>
          <w:p>
            <w:pPr>
              <w:ind w:left="160"/>
              <w:spacing w:after="0"/>
              <w:rPr>
                <w:sz w:val="20"/>
                <w:szCs w:val="20"/>
                <w:color w:val="auto"/>
              </w:rPr>
            </w:pPr>
            <w:r>
              <w:rPr>
                <w:rFonts w:ascii="Arial" w:cs="Arial" w:eastAsia="Arial" w:hAnsi="Arial"/>
                <w:sz w:val="18"/>
                <w:szCs w:val="18"/>
                <w:b w:val="1"/>
                <w:bCs w:val="1"/>
                <w:color w:val="auto"/>
              </w:rPr>
              <w:t>No.</w:t>
            </w: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ExhibitFiling Date Herewith</w:t>
            </w:r>
          </w:p>
        </w:tc>
        <w:tc>
          <w:tcPr>
            <w:tcW w:w="0" w:type="dxa"/>
            <w:vAlign w:val="bottom"/>
          </w:tcPr>
          <w:p>
            <w:pPr>
              <w:spacing w:after="0"/>
              <w:rPr>
                <w:sz w:val="1"/>
                <w:szCs w:val="1"/>
                <w:color w:val="auto"/>
              </w:rPr>
            </w:pPr>
          </w:p>
        </w:tc>
      </w:tr>
      <w:tr>
        <w:trPr>
          <w:trHeight w:val="216"/>
        </w:trPr>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3.1</w:t>
            </w:r>
          </w:p>
        </w:tc>
        <w:tc>
          <w:tcPr>
            <w:tcW w:w="1780" w:type="dxa"/>
            <w:vAlign w:val="bottom"/>
            <w:vMerge w:val="restart"/>
          </w:tcPr>
          <w:p>
            <w:pPr>
              <w:jc w:val="right"/>
              <w:ind w:right="750"/>
              <w:spacing w:after="0"/>
              <w:rPr>
                <w:sz w:val="20"/>
                <w:szCs w:val="20"/>
                <w:color w:val="auto"/>
              </w:rPr>
            </w:pPr>
            <w:r>
              <w:rPr>
                <w:rFonts w:ascii="Arial" w:cs="Arial" w:eastAsia="Arial" w:hAnsi="Arial"/>
                <w:sz w:val="18"/>
                <w:szCs w:val="18"/>
                <w:color w:val="auto"/>
              </w:rPr>
              <w:t>10/13/2020</w:t>
            </w:r>
          </w:p>
        </w:tc>
        <w:tc>
          <w:tcPr>
            <w:tcW w:w="0" w:type="dxa"/>
            <w:vAlign w:val="bottom"/>
          </w:tcPr>
          <w:p>
            <w:pPr>
              <w:spacing w:after="0"/>
              <w:rPr>
                <w:sz w:val="1"/>
                <w:szCs w:val="1"/>
                <w:color w:val="auto"/>
              </w:rPr>
            </w:pPr>
          </w:p>
        </w:tc>
      </w:tr>
      <w:tr>
        <w:trPr>
          <w:trHeight w:val="230"/>
        </w:trPr>
        <w:tc>
          <w:tcPr>
            <w:tcW w:w="44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39577</w:t>
            </w:r>
          </w:p>
        </w:tc>
        <w:tc>
          <w:tcPr>
            <w:tcW w:w="52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3.2</w:t>
            </w:r>
          </w:p>
        </w:tc>
        <w:tc>
          <w:tcPr>
            <w:tcW w:w="1780" w:type="dxa"/>
            <w:vAlign w:val="bottom"/>
            <w:vMerge w:val="restart"/>
          </w:tcPr>
          <w:p>
            <w:pPr>
              <w:jc w:val="right"/>
              <w:ind w:right="750"/>
              <w:spacing w:after="0"/>
              <w:rPr>
                <w:sz w:val="20"/>
                <w:szCs w:val="20"/>
                <w:color w:val="auto"/>
              </w:rPr>
            </w:pPr>
            <w:r>
              <w:rPr>
                <w:rFonts w:ascii="Arial" w:cs="Arial" w:eastAsia="Arial" w:hAnsi="Arial"/>
                <w:sz w:val="18"/>
                <w:szCs w:val="18"/>
                <w:color w:val="auto"/>
              </w:rPr>
              <w:t>10/13/2020</w:t>
            </w:r>
          </w:p>
        </w:tc>
        <w:tc>
          <w:tcPr>
            <w:tcW w:w="0" w:type="dxa"/>
            <w:vAlign w:val="bottom"/>
          </w:tcPr>
          <w:p>
            <w:pPr>
              <w:spacing w:after="0"/>
              <w:rPr>
                <w:sz w:val="1"/>
                <w:szCs w:val="1"/>
                <w:color w:val="auto"/>
              </w:rPr>
            </w:pPr>
          </w:p>
        </w:tc>
      </w:tr>
      <w:tr>
        <w:trPr>
          <w:trHeight w:val="230"/>
        </w:trPr>
        <w:tc>
          <w:tcPr>
            <w:tcW w:w="44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39577</w:t>
            </w:r>
          </w:p>
        </w:tc>
        <w:tc>
          <w:tcPr>
            <w:tcW w:w="52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4.1</w:t>
            </w:r>
          </w:p>
        </w:tc>
        <w:tc>
          <w:tcPr>
            <w:tcW w:w="1780" w:type="dxa"/>
            <w:vAlign w:val="bottom"/>
            <w:vMerge w:val="restart"/>
          </w:tcPr>
          <w:p>
            <w:pPr>
              <w:jc w:val="right"/>
              <w:ind w:right="750"/>
              <w:spacing w:after="0"/>
              <w:rPr>
                <w:sz w:val="20"/>
                <w:szCs w:val="20"/>
                <w:color w:val="auto"/>
              </w:rPr>
            </w:pPr>
            <w:r>
              <w:rPr>
                <w:rFonts w:ascii="Arial" w:cs="Arial" w:eastAsia="Arial" w:hAnsi="Arial"/>
                <w:sz w:val="18"/>
                <w:szCs w:val="18"/>
                <w:color w:val="auto"/>
              </w:rPr>
              <w:t>09/14/2020</w:t>
            </w:r>
          </w:p>
        </w:tc>
        <w:tc>
          <w:tcPr>
            <w:tcW w:w="0" w:type="dxa"/>
            <w:vAlign w:val="bottom"/>
          </w:tcPr>
          <w:p>
            <w:pPr>
              <w:spacing w:after="0"/>
              <w:rPr>
                <w:sz w:val="1"/>
                <w:szCs w:val="1"/>
                <w:color w:val="auto"/>
              </w:rPr>
            </w:pPr>
          </w:p>
        </w:tc>
      </w:tr>
      <w:tr>
        <w:trPr>
          <w:trHeight w:val="230"/>
        </w:trPr>
        <w:tc>
          <w:tcPr>
            <w:tcW w:w="44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248788</w:t>
            </w:r>
          </w:p>
        </w:tc>
        <w:tc>
          <w:tcPr>
            <w:tcW w:w="52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rFonts w:ascii="Arial" w:cs="Arial" w:eastAsia="Arial" w:hAnsi="Arial"/>
          <w:sz w:val="18"/>
          <w:szCs w:val="18"/>
          <w:u w:val="single" w:color="auto"/>
          <w:color w:val="0000EE"/>
        </w:rPr>
      </w:pPr>
    </w:p>
    <w:p>
      <w:pPr>
        <w:sectPr>
          <w:pgSz w:w="11900" w:h="16838" w:orient="portrait"/>
          <w:cols w:equalWidth="0" w:num="3">
            <w:col w:w="700" w:space="260"/>
            <w:col w:w="4400" w:space="280"/>
            <w:col w:w="3379"/>
          </w:cols>
          <w:pgMar w:left="1440" w:top="517" w:right="1440" w:bottom="1440" w:gutter="0" w:footer="0" w:header="0"/>
          <w:type w:val="continuous"/>
        </w:sectPr>
      </w:pPr>
    </w:p>
    <w:p>
      <w:pPr>
        <w:spacing w:after="0" w:line="36"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4640" w:type="dxa"/>
            <w:vAlign w:val="bottom"/>
            <w:gridSpan w:val="7"/>
          </w:tcPr>
          <w:p>
            <w:pPr>
              <w:spacing w:after="0"/>
              <w:rPr>
                <w:rFonts w:ascii="Arial" w:cs="Arial" w:eastAsia="Arial" w:hAnsi="Arial"/>
                <w:sz w:val="18"/>
                <w:szCs w:val="18"/>
                <w:color w:val="0000EE"/>
                <w:w w:val="97"/>
              </w:rPr>
            </w:pPr>
            <w:hyperlink r:id="rId65">
              <w:r>
                <w:rPr>
                  <w:rFonts w:ascii="Arial" w:cs="Arial" w:eastAsia="Arial" w:hAnsi="Arial"/>
                  <w:sz w:val="18"/>
                  <w:szCs w:val="18"/>
                  <w:color w:val="0000EE"/>
                  <w:w w:val="97"/>
                </w:rPr>
                <w:t>Specimen stock certificate evidencing the shares of Class A</w:t>
              </w:r>
            </w:hyperlink>
          </w:p>
        </w:tc>
      </w:tr>
      <w:tr>
        <w:trPr>
          <w:trHeight w:val="196"/>
        </w:trPr>
        <w:tc>
          <w:tcPr>
            <w:tcW w:w="900" w:type="dxa"/>
            <w:vAlign w:val="bottom"/>
          </w:tcPr>
          <w:p>
            <w:pPr>
              <w:spacing w:after="0"/>
              <w:rPr>
                <w:sz w:val="17"/>
                <w:szCs w:val="17"/>
                <w:color w:val="auto"/>
              </w:rPr>
            </w:pPr>
          </w:p>
        </w:tc>
        <w:tc>
          <w:tcPr>
            <w:tcW w:w="4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common stock</w:t>
              </w:r>
            </w:hyperlink>
          </w:p>
        </w:tc>
        <w:tc>
          <w:tcPr>
            <w:tcW w:w="36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4.3</w:t>
            </w:r>
          </w:p>
        </w:tc>
        <w:tc>
          <w:tcPr>
            <w:tcW w:w="4640" w:type="dxa"/>
            <w:vAlign w:val="bottom"/>
            <w:gridSpan w:val="7"/>
          </w:tcPr>
          <w:p>
            <w:pPr>
              <w:spacing w:after="0"/>
              <w:rPr>
                <w:rFonts w:ascii="Arial" w:cs="Arial" w:eastAsia="Arial" w:hAnsi="Arial"/>
                <w:sz w:val="18"/>
                <w:szCs w:val="18"/>
                <w:color w:val="0000EE"/>
                <w:w w:val="97"/>
              </w:rPr>
            </w:pPr>
            <w:hyperlink r:id="rId66">
              <w:r>
                <w:rPr>
                  <w:rFonts w:ascii="Arial" w:cs="Arial" w:eastAsia="Arial" w:hAnsi="Arial"/>
                  <w:sz w:val="18"/>
                  <w:szCs w:val="18"/>
                  <w:color w:val="0000EE"/>
                  <w:w w:val="97"/>
                </w:rPr>
                <w:t>Specimen stock certificate evidencing the shares of Class B</w:t>
              </w:r>
            </w:hyperlink>
          </w:p>
        </w:tc>
      </w:tr>
      <w:tr>
        <w:trPr>
          <w:trHeight w:val="196"/>
        </w:trPr>
        <w:tc>
          <w:tcPr>
            <w:tcW w:w="900" w:type="dxa"/>
            <w:vAlign w:val="bottom"/>
          </w:tcPr>
          <w:p>
            <w:pPr>
              <w:spacing w:after="0"/>
              <w:rPr>
                <w:sz w:val="17"/>
                <w:szCs w:val="17"/>
                <w:color w:val="auto"/>
              </w:rPr>
            </w:pPr>
          </w:p>
        </w:tc>
        <w:tc>
          <w:tcPr>
            <w:tcW w:w="4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common stock</w:t>
              </w:r>
            </w:hyperlink>
          </w:p>
        </w:tc>
        <w:tc>
          <w:tcPr>
            <w:tcW w:w="36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4.4</w:t>
            </w:r>
          </w:p>
        </w:tc>
        <w:tc>
          <w:tcPr>
            <w:tcW w:w="4640" w:type="dxa"/>
            <w:vAlign w:val="bottom"/>
            <w:tcBorders>
              <w:bottom w:val="single" w:sz="8" w:color="0000EE"/>
            </w:tcBorders>
            <w:gridSpan w:val="7"/>
          </w:tcPr>
          <w:p>
            <w:pP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Warrant to Purchase Stock, issued on August 10, 2022, by Aziyo</w:t>
              </w:r>
            </w:hyperlink>
          </w:p>
        </w:tc>
      </w:tr>
      <w:tr>
        <w:trPr>
          <w:trHeight w:val="196"/>
        </w:trPr>
        <w:tc>
          <w:tcPr>
            <w:tcW w:w="900" w:type="dxa"/>
            <w:vAlign w:val="bottom"/>
          </w:tcPr>
          <w:p>
            <w:pPr>
              <w:spacing w:after="0"/>
              <w:rPr>
                <w:sz w:val="17"/>
                <w:szCs w:val="17"/>
                <w:color w:val="auto"/>
              </w:rPr>
            </w:pPr>
          </w:p>
        </w:tc>
        <w:tc>
          <w:tcPr>
            <w:tcW w:w="4640" w:type="dxa"/>
            <w:vAlign w:val="bottom"/>
            <w:gridSpan w:val="7"/>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Biologics, Inc.to SWK Funding LLC.</w:t>
              </w:r>
            </w:hyperlink>
          </w:p>
        </w:tc>
      </w:tr>
      <w:tr>
        <w:trPr>
          <w:trHeight w:val="20"/>
        </w:trPr>
        <w:tc>
          <w:tcPr>
            <w:tcW w:w="9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4640" w:type="dxa"/>
            <w:vAlign w:val="bottom"/>
            <w:gridSpan w:val="7"/>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Credit Agreement, dated as of August 10, 2022, between Aziyo</w:t>
              </w:r>
            </w:hyperlink>
          </w:p>
        </w:tc>
      </w:tr>
      <w:tr>
        <w:trPr>
          <w:trHeight w:val="196"/>
        </w:trPr>
        <w:tc>
          <w:tcPr>
            <w:tcW w:w="9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Biologics, Inc. and SWK Funding LLC, as Agent and the</w:t>
              </w:r>
            </w:hyperlink>
          </w:p>
        </w:tc>
        <w:tc>
          <w:tcPr>
            <w:tcW w:w="42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640" w:type="dxa"/>
            <w:vAlign w:val="bottom"/>
            <w:gridSpan w:val="7"/>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Lenders from time to time party thereto</w:t>
              </w:r>
            </w:hyperlink>
          </w:p>
        </w:tc>
      </w:tr>
      <w:tr>
        <w:trPr>
          <w:trHeight w:val="20"/>
        </w:trPr>
        <w:tc>
          <w:tcPr>
            <w:tcW w:w="9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460" w:hanging="367"/>
        <w:spacing w:after="0" w:line="342" w:lineRule="auto"/>
        <w:tabs>
          <w:tab w:leader="none" w:pos="440" w:val="left"/>
        </w:tabs>
        <w:rPr>
          <w:sz w:val="20"/>
          <w:szCs w:val="20"/>
          <w:color w:val="auto"/>
        </w:rPr>
      </w:pPr>
      <w:r>
        <w:rPr>
          <w:rFonts w:ascii="Arial" w:cs="Arial" w:eastAsia="Arial" w:hAnsi="Arial"/>
          <w:sz w:val="35"/>
          <w:szCs w:val="35"/>
          <w:color w:val="auto"/>
          <w:vertAlign w:val="subscript"/>
        </w:rPr>
        <w:t>S-1</w:t>
      </w:r>
      <w:r>
        <w:rPr>
          <w:sz w:val="20"/>
          <w:szCs w:val="20"/>
          <w:color w:val="auto"/>
        </w:rPr>
        <w:tab/>
      </w:r>
      <w:r>
        <w:rPr>
          <w:rFonts w:ascii="Arial" w:cs="Arial" w:eastAsia="Arial" w:hAnsi="Arial"/>
          <w:sz w:val="16"/>
          <w:szCs w:val="16"/>
          <w:color w:val="auto"/>
        </w:rPr>
        <w:t>333-248788</w:t>
      </w:r>
    </w:p>
    <w:p>
      <w:pPr>
        <w:spacing w:after="0" w:line="178" w:lineRule="exact"/>
        <w:rPr>
          <w:sz w:val="20"/>
          <w:szCs w:val="20"/>
          <w:color w:val="auto"/>
        </w:rPr>
      </w:pPr>
    </w:p>
    <w:p>
      <w:pPr>
        <w:ind w:left="460" w:hanging="457"/>
        <w:spacing w:after="0" w:line="181" w:lineRule="auto"/>
        <w:rPr>
          <w:sz w:val="20"/>
          <w:szCs w:val="20"/>
          <w:color w:val="auto"/>
        </w:rPr>
      </w:pPr>
      <w:r>
        <w:rPr>
          <w:rFonts w:ascii="Arial" w:cs="Arial" w:eastAsia="Arial" w:hAnsi="Arial"/>
          <w:sz w:val="15"/>
          <w:szCs w:val="15"/>
          <w:color w:val="auto"/>
        </w:rPr>
        <w:t xml:space="preserve">S-1/A </w:t>
      </w:r>
      <w:r>
        <w:rPr>
          <w:rFonts w:ascii="Arial" w:cs="Arial" w:eastAsia="Arial" w:hAnsi="Arial"/>
          <w:sz w:val="27"/>
          <w:szCs w:val="27"/>
          <w:color w:val="auto"/>
          <w:vertAlign w:val="superscript"/>
        </w:rPr>
        <w:t>333-</w:t>
      </w:r>
      <w:r>
        <w:rPr>
          <w:rFonts w:ascii="Arial" w:cs="Arial" w:eastAsia="Arial" w:hAnsi="Arial"/>
          <w:sz w:val="15"/>
          <w:szCs w:val="15"/>
          <w:color w:val="auto"/>
        </w:rPr>
        <w:t>248788</w:t>
      </w:r>
    </w:p>
    <w:p>
      <w:pPr>
        <w:spacing w:after="0" w:line="9" w:lineRule="exact"/>
        <w:rPr>
          <w:sz w:val="20"/>
          <w:szCs w:val="20"/>
          <w:color w:val="auto"/>
        </w:rPr>
      </w:pPr>
    </w:p>
    <w:p>
      <w:pPr>
        <w:jc w:val="right"/>
        <w:ind w:right="120"/>
        <w:spacing w:after="0"/>
        <w:tabs>
          <w:tab w:leader="none" w:pos="420" w:val="left"/>
        </w:tabs>
        <w:rPr>
          <w:sz w:val="20"/>
          <w:szCs w:val="20"/>
          <w:color w:val="auto"/>
        </w:rPr>
      </w:pPr>
      <w:r>
        <w:rPr>
          <w:rFonts w:ascii="Arial" w:cs="Arial" w:eastAsia="Arial" w:hAnsi="Arial"/>
          <w:sz w:val="35"/>
          <w:szCs w:val="35"/>
          <w:color w:val="auto"/>
          <w:vertAlign w:val="subscript"/>
        </w:rPr>
        <w:t>8-K</w:t>
      </w:r>
      <w:r>
        <w:rPr>
          <w:sz w:val="20"/>
          <w:szCs w:val="20"/>
          <w:color w:val="auto"/>
        </w:rPr>
        <w:tab/>
      </w:r>
      <w:r>
        <w:rPr>
          <w:rFonts w:ascii="Arial" w:cs="Arial" w:eastAsia="Arial" w:hAnsi="Arial"/>
          <w:sz w:val="15"/>
          <w:szCs w:val="15"/>
          <w:color w:val="auto"/>
        </w:rPr>
        <w:t>001-</w:t>
      </w:r>
    </w:p>
    <w:p>
      <w:pPr>
        <w:jc w:val="right"/>
        <w:ind w:right="60"/>
        <w:spacing w:after="0"/>
        <w:rPr>
          <w:sz w:val="20"/>
          <w:szCs w:val="20"/>
          <w:color w:val="auto"/>
        </w:rPr>
      </w:pPr>
      <w:r>
        <w:rPr>
          <w:rFonts w:ascii="Arial" w:cs="Arial" w:eastAsia="Arial" w:hAnsi="Arial"/>
          <w:sz w:val="18"/>
          <w:szCs w:val="18"/>
          <w:color w:val="auto"/>
        </w:rPr>
        <w:t>39577</w:t>
      </w:r>
    </w:p>
    <w:p>
      <w:pPr>
        <w:spacing w:after="0" w:line="147" w:lineRule="exact"/>
        <w:rPr>
          <w:sz w:val="20"/>
          <w:szCs w:val="20"/>
          <w:color w:val="auto"/>
        </w:rPr>
      </w:pPr>
    </w:p>
    <w:p>
      <w:pPr>
        <w:jc w:val="right"/>
        <w:ind w:right="120"/>
        <w:spacing w:after="0"/>
        <w:tabs>
          <w:tab w:leader="none" w:pos="420" w:val="left"/>
        </w:tabs>
        <w:rPr>
          <w:sz w:val="20"/>
          <w:szCs w:val="20"/>
          <w:color w:val="auto"/>
        </w:rPr>
      </w:pPr>
      <w:r>
        <w:rPr>
          <w:rFonts w:ascii="Arial" w:cs="Arial" w:eastAsia="Arial" w:hAnsi="Arial"/>
          <w:sz w:val="35"/>
          <w:szCs w:val="35"/>
          <w:color w:val="auto"/>
          <w:vertAlign w:val="subscript"/>
        </w:rPr>
        <w:t>8-K</w:t>
      </w:r>
      <w:r>
        <w:rPr>
          <w:sz w:val="20"/>
          <w:szCs w:val="20"/>
          <w:color w:val="auto"/>
        </w:rPr>
        <w:tab/>
      </w:r>
      <w:r>
        <w:rPr>
          <w:rFonts w:ascii="Arial" w:cs="Arial" w:eastAsia="Arial" w:hAnsi="Arial"/>
          <w:sz w:val="15"/>
          <w:szCs w:val="15"/>
          <w:color w:val="auto"/>
        </w:rPr>
        <w:t>001-</w:t>
      </w:r>
    </w:p>
    <w:p>
      <w:pPr>
        <w:jc w:val="right"/>
        <w:ind w:right="60"/>
        <w:spacing w:after="0"/>
        <w:rPr>
          <w:sz w:val="20"/>
          <w:szCs w:val="20"/>
          <w:color w:val="auto"/>
        </w:rPr>
      </w:pPr>
      <w:r>
        <w:rPr>
          <w:rFonts w:ascii="Arial" w:cs="Arial" w:eastAsia="Arial" w:hAnsi="Arial"/>
          <w:sz w:val="18"/>
          <w:szCs w:val="18"/>
          <w:color w:val="auto"/>
        </w:rPr>
        <w:t>39577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09/14/2020</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09/30/2020</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08/15/2022</w:t>
      </w:r>
    </w:p>
    <w:p>
      <w:pPr>
        <w:spacing w:after="0" w:line="200" w:lineRule="exact"/>
        <w:rPr>
          <w:sz w:val="20"/>
          <w:szCs w:val="20"/>
          <w:color w:val="auto"/>
        </w:rPr>
      </w:pPr>
    </w:p>
    <w:p>
      <w:pPr>
        <w:spacing w:after="0" w:line="34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08/15/2022</w:t>
      </w:r>
    </w:p>
    <w:p>
      <w:pPr>
        <w:spacing w:after="0" w:line="412" w:lineRule="exact"/>
        <w:rPr>
          <w:sz w:val="20"/>
          <w:szCs w:val="20"/>
          <w:color w:val="auto"/>
        </w:rPr>
      </w:pPr>
    </w:p>
    <w:p>
      <w:pPr>
        <w:sectPr>
          <w:pgSz w:w="11900" w:h="16838" w:orient="portrait"/>
          <w:cols w:equalWidth="0" w:num="3">
            <w:col w:w="5600" w:space="40"/>
            <w:col w:w="1000" w:space="160"/>
            <w:col w:w="2219"/>
          </w:cols>
          <w:pgMar w:left="1440" w:top="517"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10.2</w:t>
            </w:r>
          </w:p>
        </w:tc>
        <w:tc>
          <w:tcPr>
            <w:tcW w:w="4480" w:type="dxa"/>
            <w:vAlign w:val="bottom"/>
            <w:gridSpan w:val="11"/>
          </w:tcPr>
          <w:p>
            <w:pPr>
              <w:spacing w:after="0"/>
              <w:rPr>
                <w:rFonts w:ascii="Arial" w:cs="Arial" w:eastAsia="Arial" w:hAnsi="Arial"/>
                <w:sz w:val="18"/>
                <w:szCs w:val="18"/>
                <w:color w:val="0000EE"/>
                <w:w w:val="98"/>
              </w:rPr>
            </w:pPr>
            <w:hyperlink r:id="rId69">
              <w:r>
                <w:rPr>
                  <w:rFonts w:ascii="Arial" w:cs="Arial" w:eastAsia="Arial" w:hAnsi="Arial"/>
                  <w:sz w:val="18"/>
                  <w:szCs w:val="18"/>
                  <w:color w:val="0000EE"/>
                  <w:w w:val="98"/>
                </w:rPr>
                <w:t>Amendment Letter, dated as of October 9, 2022 to Credit</w:t>
              </w:r>
            </w:hyperlink>
          </w:p>
        </w:tc>
      </w:tr>
      <w:tr>
        <w:trPr>
          <w:trHeight w:val="196"/>
        </w:trPr>
        <w:tc>
          <w:tcPr>
            <w:tcW w:w="90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Agreement, dated as of August 10, 2022, between Aziyo</w:t>
              </w:r>
            </w:hyperlink>
          </w:p>
        </w:tc>
        <w:tc>
          <w:tcPr>
            <w:tcW w:w="40" w:type="dxa"/>
            <w:vAlign w:val="bottom"/>
            <w:tcBorders>
              <w:top w:val="single" w:sz="8" w:color="0000EE"/>
            </w:tcBorders>
            <w:gridSpan w:val="2"/>
          </w:tcPr>
          <w:p>
            <w:pPr>
              <w:spacing w:after="0"/>
              <w:rPr>
                <w:sz w:val="17"/>
                <w:szCs w:val="17"/>
                <w:color w:val="auto"/>
              </w:rPr>
            </w:pPr>
          </w:p>
        </w:tc>
        <w:tc>
          <w:tcPr>
            <w:tcW w:w="380" w:type="dxa"/>
            <w:vAlign w:val="bottom"/>
            <w:gridSpan w:val="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1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Biologics, Inc. and SWK Funding LLC, as Agent and the</w:t>
              </w:r>
            </w:hyperlink>
          </w:p>
        </w:tc>
        <w:tc>
          <w:tcPr>
            <w:tcW w:w="360" w:type="dxa"/>
            <w:vAlign w:val="bottom"/>
            <w:gridSpan w:val="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80" w:type="dxa"/>
            <w:vAlign w:val="bottom"/>
            <w:gridSpan w:val="11"/>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Lenders from time to time party thereto</w:t>
              </w:r>
            </w:hyperlink>
          </w:p>
        </w:tc>
      </w:tr>
      <w:tr>
        <w:trPr>
          <w:trHeight w:val="20"/>
        </w:trPr>
        <w:tc>
          <w:tcPr>
            <w:tcW w:w="90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10.3</w:t>
            </w:r>
          </w:p>
        </w:tc>
        <w:tc>
          <w:tcPr>
            <w:tcW w:w="4380" w:type="dxa"/>
            <w:vAlign w:val="bottom"/>
            <w:tcBorders>
              <w:bottom w:val="single" w:sz="8" w:color="0000EE"/>
            </w:tcBorders>
            <w:gridSpan w:val="10"/>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Amendment Letter, dated as of November 10, 2022 to Credit</w:t>
              </w:r>
            </w:hyperlink>
          </w:p>
        </w:tc>
        <w:tc>
          <w:tcPr>
            <w:tcW w:w="10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Agreement, dated as of August 10, 2022, between Aziyo</w:t>
              </w:r>
            </w:hyperlink>
          </w:p>
        </w:tc>
        <w:tc>
          <w:tcPr>
            <w:tcW w:w="420" w:type="dxa"/>
            <w:vAlign w:val="bottom"/>
            <w:gridSpan w:val="7"/>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1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Biologics, Inc. and SWK Funding LLC, as Agent and the</w:t>
              </w:r>
            </w:hyperlink>
          </w:p>
        </w:tc>
        <w:tc>
          <w:tcPr>
            <w:tcW w:w="360" w:type="dxa"/>
            <w:vAlign w:val="bottom"/>
            <w:gridSpan w:val="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80" w:type="dxa"/>
            <w:vAlign w:val="bottom"/>
            <w:gridSpan w:val="11"/>
          </w:tcPr>
          <w:p>
            <w:pPr>
              <w:spacing w:after="0" w:line="196" w:lineRule="exact"/>
              <w:rPr>
                <w:rFonts w:ascii="Arial" w:cs="Arial" w:eastAsia="Arial" w:hAnsi="Arial"/>
                <w:sz w:val="18"/>
                <w:szCs w:val="18"/>
                <w:color w:val="0000EE"/>
                <w:w w:val="94"/>
              </w:rPr>
            </w:pPr>
            <w:hyperlink r:id="rId70">
              <w:r>
                <w:rPr>
                  <w:rFonts w:ascii="Arial" w:cs="Arial" w:eastAsia="Arial" w:hAnsi="Arial"/>
                  <w:sz w:val="18"/>
                  <w:szCs w:val="18"/>
                  <w:color w:val="0000EE"/>
                  <w:w w:val="94"/>
                </w:rPr>
                <w:t>Lenders from time to time party thereto (as amended by the</w:t>
              </w:r>
            </w:hyperlink>
          </w:p>
        </w:tc>
      </w:tr>
      <w:tr>
        <w:trPr>
          <w:trHeight w:val="196"/>
        </w:trPr>
        <w:tc>
          <w:tcPr>
            <w:tcW w:w="9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Amendment Letter dated as of October 9, 2022)</w:t>
              </w:r>
            </w:hyperlink>
          </w:p>
        </w:tc>
        <w:tc>
          <w:tcPr>
            <w:tcW w:w="820" w:type="dxa"/>
            <w:vAlign w:val="bottom"/>
            <w:tcBorders>
              <w:top w:val="single" w:sz="8" w:color="0000EE"/>
            </w:tcBorders>
            <w:gridSpan w:val="6"/>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10.4</w:t>
            </w:r>
          </w:p>
        </w:tc>
        <w:tc>
          <w:tcPr>
            <w:tcW w:w="41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First Amendment, dated as of May 12, 2023, to the Credit</w:t>
            </w:r>
          </w:p>
        </w:tc>
        <w:tc>
          <w:tcPr>
            <w:tcW w:w="320" w:type="dxa"/>
            <w:vAlign w:val="bottom"/>
            <w:gridSpan w:val="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80" w:type="dxa"/>
            <w:vAlign w:val="bottom"/>
            <w:gridSpan w:val="11"/>
          </w:tcPr>
          <w:p>
            <w:pPr>
              <w:spacing w:after="0" w:line="196" w:lineRule="exact"/>
              <w:rPr>
                <w:sz w:val="20"/>
                <w:szCs w:val="20"/>
                <w:color w:val="auto"/>
              </w:rPr>
            </w:pPr>
            <w:r>
              <w:rPr>
                <w:rFonts w:ascii="Arial" w:cs="Arial" w:eastAsia="Arial" w:hAnsi="Arial"/>
                <w:sz w:val="18"/>
                <w:szCs w:val="18"/>
                <w:color w:val="0000EE"/>
                <w:w w:val="98"/>
              </w:rPr>
              <w:t>Agreement, dated August 10, 2022, by and among Aziyo</w:t>
            </w:r>
          </w:p>
        </w:tc>
      </w:tr>
      <w:tr>
        <w:trPr>
          <w:trHeight w:val="20"/>
        </w:trPr>
        <w:tc>
          <w:tcPr>
            <w:tcW w:w="90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4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Biologics, Inc., SWK Funding LLC, as Agent and the Lenders</w:t>
            </w:r>
          </w:p>
        </w:tc>
      </w:tr>
      <w:tr>
        <w:trPr>
          <w:trHeight w:val="196"/>
        </w:trPr>
        <w:tc>
          <w:tcPr>
            <w:tcW w:w="900" w:type="dxa"/>
            <w:vAlign w:val="bottom"/>
          </w:tcPr>
          <w:p>
            <w:pPr>
              <w:spacing w:after="0"/>
              <w:rPr>
                <w:sz w:val="17"/>
                <w:szCs w:val="17"/>
                <w:color w:val="auto"/>
              </w:rPr>
            </w:pPr>
          </w:p>
        </w:tc>
        <w:tc>
          <w:tcPr>
            <w:tcW w:w="22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from time to time party thereto</w:t>
            </w:r>
          </w:p>
        </w:tc>
        <w:tc>
          <w:tcPr>
            <w:tcW w:w="2260" w:type="dxa"/>
            <w:vAlign w:val="bottom"/>
            <w:gridSpan w:val="10"/>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001-</w:t>
      </w:r>
    </w:p>
    <w:p>
      <w:pPr>
        <w:ind w:left="60"/>
        <w:spacing w:after="0"/>
        <w:tabs>
          <w:tab w:leader="none" w:pos="460" w:val="left"/>
          <w:tab w:leader="none" w:pos="1120" w:val="left"/>
          <w:tab w:leader="none" w:pos="16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36"/>
          <w:szCs w:val="36"/>
          <w:color w:val="auto"/>
          <w:vertAlign w:val="subscript"/>
        </w:rPr>
        <w:t>39577</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10/13/2022</w:t>
      </w:r>
    </w:p>
    <w:p>
      <w:pPr>
        <w:spacing w:after="0" w:line="200" w:lineRule="exact"/>
        <w:rPr>
          <w:sz w:val="20"/>
          <w:szCs w:val="20"/>
          <w:color w:val="auto"/>
        </w:rPr>
      </w:pPr>
    </w:p>
    <w:p>
      <w:pPr>
        <w:spacing w:after="0" w:line="361" w:lineRule="exact"/>
        <w:rPr>
          <w:sz w:val="20"/>
          <w:szCs w:val="20"/>
          <w:color w:val="auto"/>
        </w:rPr>
      </w:pPr>
    </w:p>
    <w:p>
      <w:pPr>
        <w:spacing w:after="0"/>
        <w:tabs>
          <w:tab w:leader="none" w:pos="520" w:val="left"/>
          <w:tab w:leader="none" w:pos="1120" w:val="left"/>
          <w:tab w:leader="none" w:pos="16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36"/>
          <w:szCs w:val="36"/>
          <w:color w:val="auto"/>
          <w:vertAlign w:val="superscript"/>
        </w:rPr>
        <w:t>001-</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11/14/2022</w:t>
      </w:r>
    </w:p>
    <w:p>
      <w:pPr>
        <w:ind w:left="480"/>
        <w:spacing w:after="0"/>
        <w:rPr>
          <w:sz w:val="20"/>
          <w:szCs w:val="20"/>
          <w:color w:val="auto"/>
        </w:rPr>
      </w:pPr>
      <w:r>
        <w:rPr>
          <w:rFonts w:ascii="Arial" w:cs="Arial" w:eastAsia="Arial" w:hAnsi="Arial"/>
          <w:sz w:val="18"/>
          <w:szCs w:val="18"/>
          <w:color w:val="auto"/>
        </w:rPr>
        <w:t>39577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w:t>
      </w:r>
    </w:p>
    <w:p>
      <w:pPr>
        <w:spacing w:after="0" w:line="367" w:lineRule="exact"/>
        <w:rPr>
          <w:sz w:val="20"/>
          <w:szCs w:val="20"/>
          <w:color w:val="auto"/>
        </w:rPr>
      </w:pPr>
    </w:p>
    <w:p>
      <w:pPr>
        <w:sectPr>
          <w:pgSz w:w="11900" w:h="16838" w:orient="portrait"/>
          <w:cols w:equalWidth="0" w:num="2">
            <w:col w:w="5440" w:space="220"/>
            <w:col w:w="3359"/>
          </w:cols>
          <w:pgMar w:left="1440" w:top="517" w:right="1440" w:bottom="1440" w:gutter="0" w:footer="0" w:header="0"/>
          <w:type w:val="continuous"/>
        </w:sectPr>
      </w:pP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10.5</w:t>
            </w:r>
          </w:p>
        </w:tc>
        <w:tc>
          <w:tcPr>
            <w:tcW w:w="4660" w:type="dxa"/>
            <w:vAlign w:val="bottom"/>
            <w:gridSpan w:val="6"/>
          </w:tcPr>
          <w:p>
            <w:pPr>
              <w:spacing w:after="0"/>
              <w:rPr>
                <w:rFonts w:ascii="Arial" w:cs="Arial" w:eastAsia="Arial" w:hAnsi="Arial"/>
                <w:sz w:val="18"/>
                <w:szCs w:val="18"/>
                <w:color w:val="0000EE"/>
                <w:w w:val="98"/>
              </w:rPr>
            </w:pPr>
            <w:hyperlink r:id="rId71">
              <w:r>
                <w:rPr>
                  <w:rFonts w:ascii="Arial" w:cs="Arial" w:eastAsia="Arial" w:hAnsi="Arial"/>
                  <w:sz w:val="18"/>
                  <w:szCs w:val="18"/>
                  <w:color w:val="0000EE"/>
                  <w:w w:val="98"/>
                </w:rPr>
                <w:t>Form of Restricted Stock Unit Award Agreement (approved</w:t>
              </w:r>
            </w:hyperlink>
          </w:p>
        </w:tc>
      </w:tr>
      <w:tr>
        <w:trPr>
          <w:trHeight w:val="196"/>
        </w:trPr>
        <w:tc>
          <w:tcPr>
            <w:tcW w:w="90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August 2022)</w:t>
              </w:r>
            </w:hyperlink>
          </w:p>
        </w:tc>
        <w:tc>
          <w:tcPr>
            <w:tcW w:w="3300" w:type="dxa"/>
            <w:vAlign w:val="bottom"/>
            <w:tcBorders>
              <w:top w:val="single" w:sz="8" w:color="0000EE"/>
            </w:tcBorders>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412"/>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31.1</w:t>
            </w:r>
          </w:p>
        </w:tc>
        <w:tc>
          <w:tcPr>
            <w:tcW w:w="44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Principal Executive Officer Pursuant to Rules</w:t>
            </w:r>
          </w:p>
        </w:tc>
        <w:tc>
          <w:tcPr>
            <w:tcW w:w="220" w:type="dxa"/>
            <w:vAlign w:val="bottom"/>
            <w:gridSpan w:val="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4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13a-14(a) and 15d-14(a) under the Securities Exchange Act of</w:t>
            </w:r>
          </w:p>
        </w:tc>
        <w:tc>
          <w:tcPr>
            <w:tcW w:w="1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6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1934, as Adopted Pursuant to Section 302 of the Sarbanes-Oxley</w:t>
            </w:r>
          </w:p>
        </w:tc>
      </w:tr>
      <w:tr>
        <w:trPr>
          <w:trHeight w:val="196"/>
        </w:trPr>
        <w:tc>
          <w:tcPr>
            <w:tcW w:w="90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Act of 2002.</w:t>
            </w:r>
          </w:p>
        </w:tc>
        <w:tc>
          <w:tcPr>
            <w:tcW w:w="3760" w:type="dxa"/>
            <w:vAlign w:val="bottom"/>
            <w:gridSpan w:val="5"/>
          </w:tcPr>
          <w:p>
            <w:pPr>
              <w:spacing w:after="0"/>
              <w:rPr>
                <w:sz w:val="17"/>
                <w:szCs w:val="17"/>
                <w:color w:val="auto"/>
              </w:rPr>
            </w:pPr>
          </w:p>
        </w:tc>
      </w:tr>
      <w:tr>
        <w:trPr>
          <w:trHeight w:val="884"/>
        </w:trPr>
        <w:tc>
          <w:tcPr>
            <w:tcW w:w="900" w:type="dxa"/>
            <w:vAlign w:val="bottom"/>
          </w:tcPr>
          <w:p>
            <w:pPr>
              <w:spacing w:after="0"/>
              <w:rPr>
                <w:sz w:val="24"/>
                <w:szCs w:val="24"/>
                <w:color w:val="auto"/>
              </w:rPr>
            </w:pPr>
          </w:p>
        </w:tc>
        <w:tc>
          <w:tcPr>
            <w:tcW w:w="4280" w:type="dxa"/>
            <w:vAlign w:val="bottom"/>
            <w:gridSpan w:val="3"/>
          </w:tcPr>
          <w:p>
            <w:pPr>
              <w:ind w:left="34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520" w:val="left"/>
          <w:tab w:leader="none" w:pos="1120" w:val="left"/>
          <w:tab w:leader="none" w:pos="16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36"/>
          <w:szCs w:val="36"/>
          <w:color w:val="auto"/>
          <w:vertAlign w:val="superscript"/>
        </w:rPr>
        <w:t>001-</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11/14/2022</w:t>
      </w:r>
    </w:p>
    <w:p>
      <w:pPr>
        <w:ind w:left="480"/>
        <w:spacing w:after="0"/>
        <w:rPr>
          <w:sz w:val="20"/>
          <w:szCs w:val="20"/>
          <w:color w:val="auto"/>
        </w:rPr>
      </w:pPr>
      <w:r>
        <w:rPr>
          <w:rFonts w:ascii="Arial" w:cs="Arial" w:eastAsia="Arial" w:hAnsi="Arial"/>
          <w:sz w:val="18"/>
          <w:szCs w:val="18"/>
          <w:color w:val="auto"/>
        </w:rPr>
        <w:t>39577</w:t>
      </w:r>
    </w:p>
    <w:p>
      <w:pPr>
        <w:spacing w:after="0" w:line="200" w:lineRule="exact"/>
        <w:rPr>
          <w:sz w:val="20"/>
          <w:szCs w:val="20"/>
          <w:color w:val="auto"/>
        </w:rPr>
      </w:pPr>
    </w:p>
    <w:p>
      <w:pPr>
        <w:spacing w:after="0" w:line="333"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620" w:space="40"/>
            <w:col w:w="3359"/>
          </w:cols>
          <w:pgMar w:left="1440" w:top="517" w:right="1440" w:bottom="1440" w:gutter="0" w:footer="0" w:header="0"/>
          <w:type w:val="continuous"/>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556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4660" w:type="dxa"/>
            <w:vAlign w:val="bottom"/>
            <w:gridSpan w:val="8"/>
          </w:tcPr>
          <w:p>
            <w:pPr>
              <w:spacing w:after="0"/>
              <w:rPr>
                <w:sz w:val="20"/>
                <w:szCs w:val="20"/>
                <w:color w:val="auto"/>
              </w:rPr>
            </w:pPr>
            <w:r>
              <w:rPr>
                <w:rFonts w:ascii="Arial" w:cs="Arial" w:eastAsia="Arial" w:hAnsi="Arial"/>
                <w:sz w:val="18"/>
                <w:szCs w:val="18"/>
                <w:color w:val="0000EE"/>
                <w:w w:val="98"/>
              </w:rPr>
              <w:t>Certification of Principal Financial Officer Pursuant to Rules</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4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13a-14(a) and 15d-14(a) under the Securities Exchange Act of</w:t>
            </w:r>
          </w:p>
        </w:tc>
        <w:tc>
          <w:tcPr>
            <w:tcW w:w="180" w:type="dxa"/>
            <w:vAlign w:val="bottom"/>
            <w:gridSpan w:val="2"/>
          </w:tcPr>
          <w:p>
            <w:pPr>
              <w:spacing w:after="0"/>
              <w:rPr>
                <w:sz w:val="17"/>
                <w:szCs w:val="17"/>
                <w:color w:val="auto"/>
              </w:rPr>
            </w:pPr>
          </w:p>
        </w:tc>
        <w:tc>
          <w:tcPr>
            <w:tcW w:w="3000" w:type="dxa"/>
            <w:vAlign w:val="bottom"/>
            <w:vMerge w:val="restart"/>
          </w:tcPr>
          <w:p>
            <w:pPr>
              <w:jc w:val="center"/>
              <w:ind w:left="2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4660" w:type="dxa"/>
            <w:vAlign w:val="bottom"/>
            <w:gridSpan w:val="8"/>
            <w:vMerge w:val="restart"/>
          </w:tcPr>
          <w:p>
            <w:pPr>
              <w:spacing w:after="0" w:line="196" w:lineRule="exact"/>
              <w:rPr>
                <w:sz w:val="20"/>
                <w:szCs w:val="20"/>
                <w:color w:val="auto"/>
              </w:rPr>
            </w:pPr>
            <w:r>
              <w:rPr>
                <w:rFonts w:ascii="Arial" w:cs="Arial" w:eastAsia="Arial" w:hAnsi="Arial"/>
                <w:sz w:val="18"/>
                <w:szCs w:val="18"/>
                <w:color w:val="0000EE"/>
                <w:w w:val="88"/>
              </w:rPr>
              <w:t>1934, as Adopted Pursuant to Section 302 of the Sarbanes-Oxley</w:t>
            </w:r>
          </w:p>
        </w:tc>
        <w:tc>
          <w:tcPr>
            <w:tcW w:w="3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00" w:type="dxa"/>
            <w:vAlign w:val="bottom"/>
          </w:tcPr>
          <w:p>
            <w:pPr>
              <w:spacing w:after="0"/>
              <w:rPr>
                <w:sz w:val="5"/>
                <w:szCs w:val="5"/>
                <w:color w:val="auto"/>
              </w:rPr>
            </w:pPr>
          </w:p>
        </w:tc>
        <w:tc>
          <w:tcPr>
            <w:tcW w:w="4660" w:type="dxa"/>
            <w:vAlign w:val="bottom"/>
            <w:tcBorders>
              <w:bottom w:val="single" w:sz="8" w:color="0000EE"/>
            </w:tcBorders>
            <w:gridSpan w:val="8"/>
            <w:vMerge w:val="continue"/>
          </w:tcPr>
          <w:p>
            <w:pPr>
              <w:spacing w:after="0"/>
              <w:rPr>
                <w:sz w:val="5"/>
                <w:szCs w:val="5"/>
                <w:color w:val="auto"/>
              </w:rPr>
            </w:pPr>
          </w:p>
        </w:tc>
        <w:tc>
          <w:tcPr>
            <w:tcW w:w="3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Act of 2002.</w:t>
            </w:r>
          </w:p>
        </w:tc>
        <w:tc>
          <w:tcPr>
            <w:tcW w:w="3760" w:type="dxa"/>
            <w:vAlign w:val="bottom"/>
            <w:gridSpan w:val="6"/>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4660" w:type="dxa"/>
            <w:vAlign w:val="bottom"/>
            <w:gridSpan w:val="8"/>
          </w:tcPr>
          <w:p>
            <w:pPr>
              <w:spacing w:after="0"/>
              <w:rPr>
                <w:sz w:val="20"/>
                <w:szCs w:val="20"/>
                <w:color w:val="auto"/>
              </w:rPr>
            </w:pPr>
            <w:r>
              <w:rPr>
                <w:rFonts w:ascii="Arial" w:cs="Arial" w:eastAsia="Arial" w:hAnsi="Arial"/>
                <w:sz w:val="18"/>
                <w:szCs w:val="18"/>
                <w:color w:val="0000EE"/>
              </w:rPr>
              <w:t>Certification of Principal Executive Officer Pursuant to 18</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660" w:type="dxa"/>
            <w:vAlign w:val="bottom"/>
            <w:gridSpan w:val="8"/>
          </w:tcPr>
          <w:p>
            <w:pPr>
              <w:spacing w:after="0" w:line="196" w:lineRule="exact"/>
              <w:rPr>
                <w:sz w:val="20"/>
                <w:szCs w:val="20"/>
                <w:color w:val="auto"/>
              </w:rPr>
            </w:pPr>
            <w:r>
              <w:rPr>
                <w:rFonts w:ascii="Arial" w:cs="Arial" w:eastAsia="Arial" w:hAnsi="Arial"/>
                <w:sz w:val="18"/>
                <w:szCs w:val="18"/>
                <w:color w:val="0000EE"/>
                <w:w w:val="90"/>
              </w:rPr>
              <w:t>U.S.C. Section 1350, as Adopted Pursuant to Section 906 of the</w:t>
            </w:r>
          </w:p>
        </w:tc>
        <w:tc>
          <w:tcPr>
            <w:tcW w:w="3000" w:type="dxa"/>
            <w:vAlign w:val="bottom"/>
          </w:tcPr>
          <w:p>
            <w:pPr>
              <w:jc w:val="center"/>
              <w:ind w:left="27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58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Sarbanes-Oxley Act of 2002.</w:t>
            </w:r>
          </w:p>
        </w:tc>
        <w:tc>
          <w:tcPr>
            <w:tcW w:w="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42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Principal Financial Officer Pursuant to 18</w:t>
            </w:r>
          </w:p>
        </w:tc>
        <w:tc>
          <w:tcPr>
            <w:tcW w:w="460" w:type="dxa"/>
            <w:vAlign w:val="bottom"/>
            <w:gridSpan w:val="4"/>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660" w:type="dxa"/>
            <w:vAlign w:val="bottom"/>
            <w:gridSpan w:val="8"/>
          </w:tcPr>
          <w:p>
            <w:pPr>
              <w:spacing w:after="0" w:line="196" w:lineRule="exact"/>
              <w:rPr>
                <w:sz w:val="20"/>
                <w:szCs w:val="20"/>
                <w:color w:val="auto"/>
              </w:rPr>
            </w:pPr>
            <w:r>
              <w:rPr>
                <w:rFonts w:ascii="Arial" w:cs="Arial" w:eastAsia="Arial" w:hAnsi="Arial"/>
                <w:sz w:val="18"/>
                <w:szCs w:val="18"/>
                <w:color w:val="0000EE"/>
                <w:w w:val="90"/>
              </w:rPr>
              <w:t>U.S.C. Section 1350, as Adopted Pursuant to Section 906 of the</w:t>
            </w:r>
          </w:p>
        </w:tc>
        <w:tc>
          <w:tcPr>
            <w:tcW w:w="3000" w:type="dxa"/>
            <w:vAlign w:val="bottom"/>
          </w:tcPr>
          <w:p>
            <w:pPr>
              <w:jc w:val="center"/>
              <w:ind w:left="27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58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Sarbanes-Oxley Act of 2002.</w:t>
            </w:r>
          </w:p>
        </w:tc>
        <w:tc>
          <w:tcPr>
            <w:tcW w:w="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660" w:type="dxa"/>
            <w:vAlign w:val="bottom"/>
            <w:gridSpan w:val="8"/>
          </w:tcPr>
          <w:p>
            <w:pPr>
              <w:spacing w:after="0"/>
              <w:rPr>
                <w:sz w:val="20"/>
                <w:szCs w:val="20"/>
                <w:color w:val="auto"/>
              </w:rPr>
            </w:pPr>
            <w:r>
              <w:rPr>
                <w:rFonts w:ascii="Arial" w:cs="Arial" w:eastAsia="Arial" w:hAnsi="Arial"/>
                <w:sz w:val="18"/>
                <w:szCs w:val="18"/>
                <w:color w:val="auto"/>
                <w:w w:val="93"/>
              </w:rPr>
              <w:t>Inline XBRL Instance Document - the instance document does</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auto"/>
                <w:w w:val="95"/>
              </w:rPr>
              <w:t>not appear in the Interactive Data File because its XBRL tags</w:t>
            </w:r>
          </w:p>
        </w:tc>
        <w:tc>
          <w:tcPr>
            <w:tcW w:w="3000" w:type="dxa"/>
            <w:vAlign w:val="bottom"/>
          </w:tcPr>
          <w:p>
            <w:pPr>
              <w:jc w:val="center"/>
              <w:ind w:left="2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auto"/>
              </w:rPr>
              <w:t>are embedded within the Inline XBRL document.</w:t>
            </w: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6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3000" w:type="dxa"/>
            <w:vAlign w:val="bottom"/>
          </w:tcPr>
          <w:p>
            <w:pPr>
              <w:jc w:val="center"/>
              <w:ind w:left="2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6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w:t>
            </w:r>
          </w:p>
        </w:tc>
        <w:tc>
          <w:tcPr>
            <w:tcW w:w="3000" w:type="dxa"/>
            <w:vAlign w:val="bottom"/>
            <w:vMerge w:val="restart"/>
          </w:tcPr>
          <w:p>
            <w:pPr>
              <w:jc w:val="center"/>
              <w:ind w:left="2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660" w:type="dxa"/>
            <w:vAlign w:val="bottom"/>
            <w:gridSpan w:val="8"/>
            <w:vMerge w:val="restart"/>
          </w:tcPr>
          <w:p>
            <w:pPr>
              <w:spacing w:after="0"/>
              <w:rPr>
                <w:sz w:val="20"/>
                <w:szCs w:val="20"/>
                <w:color w:val="auto"/>
              </w:rPr>
            </w:pPr>
            <w:r>
              <w:rPr>
                <w:rFonts w:ascii="Arial" w:cs="Arial" w:eastAsia="Arial" w:hAnsi="Arial"/>
                <w:sz w:val="18"/>
                <w:szCs w:val="18"/>
                <w:color w:val="auto"/>
              </w:rPr>
              <w:t>Document</w:t>
            </w: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660" w:type="dxa"/>
            <w:vAlign w:val="bottom"/>
            <w:gridSpan w:val="8"/>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66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w:t>
            </w:r>
          </w:p>
        </w:tc>
        <w:tc>
          <w:tcPr>
            <w:tcW w:w="3000" w:type="dxa"/>
            <w:vAlign w:val="bottom"/>
            <w:vMerge w:val="restart"/>
          </w:tcPr>
          <w:p>
            <w:pPr>
              <w:jc w:val="center"/>
              <w:ind w:left="2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660" w:type="dxa"/>
            <w:vAlign w:val="bottom"/>
            <w:gridSpan w:val="8"/>
            <w:vMerge w:val="restart"/>
          </w:tcPr>
          <w:p>
            <w:pPr>
              <w:spacing w:after="0"/>
              <w:rPr>
                <w:sz w:val="20"/>
                <w:szCs w:val="20"/>
                <w:color w:val="auto"/>
              </w:rPr>
            </w:pPr>
            <w:r>
              <w:rPr>
                <w:rFonts w:ascii="Arial" w:cs="Arial" w:eastAsia="Arial" w:hAnsi="Arial"/>
                <w:sz w:val="18"/>
                <w:szCs w:val="18"/>
                <w:color w:val="auto"/>
              </w:rPr>
              <w:t>Document</w:t>
            </w: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660" w:type="dxa"/>
            <w:vAlign w:val="bottom"/>
            <w:gridSpan w:val="8"/>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660" w:type="dxa"/>
            <w:vAlign w:val="bottom"/>
            <w:gridSpan w:val="8"/>
          </w:tcPr>
          <w:p>
            <w:pPr>
              <w:spacing w:after="0"/>
              <w:rPr>
                <w:sz w:val="20"/>
                <w:szCs w:val="20"/>
                <w:color w:val="auto"/>
              </w:rPr>
            </w:pPr>
            <w:r>
              <w:rPr>
                <w:rFonts w:ascii="Arial" w:cs="Arial" w:eastAsia="Arial" w:hAnsi="Arial"/>
                <w:sz w:val="18"/>
                <w:szCs w:val="18"/>
                <w:color w:val="auto"/>
                <w:w w:val="96"/>
              </w:rPr>
              <w:t>Inline XBRL Taxonomy Extension Label Linkbase Document</w:t>
            </w:r>
          </w:p>
        </w:tc>
        <w:tc>
          <w:tcPr>
            <w:tcW w:w="3000" w:type="dxa"/>
            <w:vAlign w:val="bottom"/>
          </w:tcPr>
          <w:p>
            <w:pPr>
              <w:jc w:val="center"/>
              <w:ind w:left="2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6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3000" w:type="dxa"/>
            <w:vAlign w:val="bottom"/>
            <w:vMerge w:val="restart"/>
          </w:tcPr>
          <w:p>
            <w:pPr>
              <w:jc w:val="center"/>
              <w:ind w:left="2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660" w:type="dxa"/>
            <w:vAlign w:val="bottom"/>
            <w:gridSpan w:val="8"/>
            <w:vMerge w:val="restart"/>
          </w:tcPr>
          <w:p>
            <w:pPr>
              <w:spacing w:after="0"/>
              <w:rPr>
                <w:sz w:val="20"/>
                <w:szCs w:val="20"/>
                <w:color w:val="auto"/>
              </w:rPr>
            </w:pPr>
            <w:r>
              <w:rPr>
                <w:rFonts w:ascii="Arial" w:cs="Arial" w:eastAsia="Arial" w:hAnsi="Arial"/>
                <w:sz w:val="18"/>
                <w:szCs w:val="18"/>
                <w:color w:val="auto"/>
              </w:rPr>
              <w:t>Document</w:t>
            </w: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660" w:type="dxa"/>
            <w:vAlign w:val="bottom"/>
            <w:gridSpan w:val="8"/>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4660" w:type="dxa"/>
            <w:vAlign w:val="bottom"/>
            <w:gridSpan w:val="8"/>
          </w:tcPr>
          <w:p>
            <w:pPr>
              <w:spacing w:after="0"/>
              <w:rPr>
                <w:sz w:val="20"/>
                <w:szCs w:val="20"/>
                <w:color w:val="auto"/>
              </w:rPr>
            </w:pPr>
            <w:r>
              <w:rPr>
                <w:rFonts w:ascii="Arial" w:cs="Arial" w:eastAsia="Arial" w:hAnsi="Arial"/>
                <w:sz w:val="18"/>
                <w:szCs w:val="18"/>
                <w:color w:val="auto"/>
                <w:w w:val="91"/>
              </w:rPr>
              <w:t>Cover Page Interactive Data File (formatted as Inline XBRL and</w:t>
            </w:r>
          </w:p>
        </w:tc>
        <w:tc>
          <w:tcPr>
            <w:tcW w:w="3000" w:type="dxa"/>
            <w:vAlign w:val="bottom"/>
            <w:vMerge w:val="restart"/>
          </w:tcPr>
          <w:p>
            <w:pPr>
              <w:jc w:val="center"/>
              <w:ind w:left="27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660" w:type="dxa"/>
            <w:vAlign w:val="bottom"/>
            <w:gridSpan w:val="8"/>
            <w:vMerge w:val="restart"/>
          </w:tcPr>
          <w:p>
            <w:pPr>
              <w:spacing w:after="0"/>
              <w:rPr>
                <w:sz w:val="20"/>
                <w:szCs w:val="20"/>
                <w:color w:val="auto"/>
              </w:rPr>
            </w:pPr>
            <w:r>
              <w:rPr>
                <w:rFonts w:ascii="Arial" w:cs="Arial" w:eastAsia="Arial" w:hAnsi="Arial"/>
                <w:sz w:val="18"/>
                <w:szCs w:val="18"/>
                <w:color w:val="auto"/>
              </w:rPr>
              <w:t>contained in Exhibit 101)</w:t>
            </w: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660" w:type="dxa"/>
            <w:vAlign w:val="bottom"/>
            <w:gridSpan w:val="8"/>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42545</wp:posOffset>
            </wp:positionV>
            <wp:extent cx="14147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1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jc w:val="both"/>
        <w:ind w:left="860" w:right="59" w:hanging="162"/>
        <w:spacing w:after="0" w:line="263" w:lineRule="auto"/>
        <w:tabs>
          <w:tab w:leader="none" w:pos="8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Annexes, schedules and exhibits have been omitted pursuant to Item 601(a)(5)(b)(2)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ind w:left="940"/>
              <w:spacing w:after="0"/>
              <w:rPr>
                <w:sz w:val="20"/>
                <w:szCs w:val="20"/>
                <w:color w:val="auto"/>
              </w:rPr>
            </w:pPr>
            <w:r>
              <w:rPr>
                <w:rFonts w:ascii="Arial" w:cs="Arial" w:eastAsia="Arial" w:hAnsi="Arial"/>
                <w:sz w:val="18"/>
                <w:szCs w:val="18"/>
                <w:color w:val="auto"/>
              </w:rPr>
              <w:t>AZIYO BIOLOGICS,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12, 2023</w:t>
            </w:r>
          </w:p>
        </w:tc>
        <w:tc>
          <w:tcPr>
            <w:tcW w:w="1780" w:type="dxa"/>
            <w:vAlign w:val="bottom"/>
          </w:tcPr>
          <w:p>
            <w:pPr>
              <w:ind w:left="1500"/>
              <w:spacing w:after="0"/>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C. Randal Mills</w:t>
            </w:r>
          </w:p>
        </w:tc>
      </w:tr>
      <w:tr>
        <w:trPr>
          <w:trHeight w:val="195"/>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Pr>
          <w:p>
            <w:pPr>
              <w:ind w:left="320"/>
              <w:spacing w:after="0" w:line="195" w:lineRule="exact"/>
              <w:rPr>
                <w:sz w:val="20"/>
                <w:szCs w:val="20"/>
                <w:color w:val="auto"/>
              </w:rPr>
            </w:pPr>
            <w:r>
              <w:rPr>
                <w:rFonts w:ascii="Arial" w:cs="Arial" w:eastAsia="Arial" w:hAnsi="Arial"/>
                <w:sz w:val="18"/>
                <w:szCs w:val="18"/>
                <w:color w:val="auto"/>
              </w:rPr>
              <w:t>C. Randal Mills</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12, 2023</w:t>
            </w:r>
          </w:p>
        </w:tc>
        <w:tc>
          <w:tcPr>
            <w:tcW w:w="1780" w:type="dxa"/>
            <w:vAlign w:val="bottom"/>
          </w:tcPr>
          <w:p>
            <w:pPr>
              <w:ind w:left="1500"/>
              <w:spacing w:after="0"/>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Matthew Ferguson</w:t>
            </w:r>
          </w:p>
        </w:tc>
      </w:tr>
      <w:tr>
        <w:trPr>
          <w:trHeight w:val="195"/>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Pr>
          <w:p>
            <w:pPr>
              <w:ind w:left="320"/>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8"/>
                <w:szCs w:val="18"/>
                <w:i w:val="1"/>
                <w:iCs w:val="1"/>
                <w:color w:val="auto"/>
                <w:w w:val="96"/>
              </w:rPr>
              <w:t>(principal financial officer and principal accounting</w:t>
            </w: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ind w:left="32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8800"/>
        <w:spacing w:after="0"/>
        <w:rPr>
          <w:sz w:val="20"/>
          <w:szCs w:val="20"/>
          <w:color w:val="auto"/>
        </w:rPr>
      </w:pPr>
      <w:r>
        <w:rPr>
          <w:rFonts w:ascii="Arial" w:cs="Arial" w:eastAsia="Arial" w:hAnsi="Arial"/>
          <w:sz w:val="19"/>
          <w:szCs w:val="19"/>
          <w:b w:val="1"/>
          <w:bCs w:val="1"/>
          <w:color w:val="auto"/>
        </w:rPr>
        <w:t>Exhibit 10.4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CREDIT AGREEMENT</w:t>
      </w:r>
    </w:p>
    <w:p>
      <w:pPr>
        <w:spacing w:after="0" w:line="20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THIS FIRST AMENDMENT TO CREDIT AGREEMENT (this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xml:space="preserve">”), dated as of May [__], 2023, is entered into by and among </w:t>
      </w:r>
      <w:r>
        <w:rPr>
          <w:rFonts w:ascii="Arial" w:cs="Arial" w:eastAsia="Arial" w:hAnsi="Arial"/>
          <w:sz w:val="22"/>
          <w:szCs w:val="22"/>
          <w:b w:val="1"/>
          <w:bCs w:val="1"/>
          <w:color w:val="auto"/>
        </w:rPr>
        <w:t>AZIYO BIOLOGICS, INC.</w:t>
      </w:r>
      <w:r>
        <w:rPr>
          <w:rFonts w:ascii="Arial" w:cs="Arial" w:eastAsia="Arial" w:hAnsi="Arial"/>
          <w:sz w:val="22"/>
          <w:szCs w:val="22"/>
          <w:color w:val="auto"/>
        </w:rPr>
        <w:t>, a Delaware corporation (“</w:t>
      </w:r>
      <w:r>
        <w:rPr>
          <w:rFonts w:ascii="Arial" w:cs="Arial" w:eastAsia="Arial" w:hAnsi="Arial"/>
          <w:sz w:val="22"/>
          <w:szCs w:val="22"/>
          <w:b w:val="1"/>
          <w:bCs w:val="1"/>
          <w:u w:val="single" w:color="auto"/>
          <w:color w:val="auto"/>
        </w:rPr>
        <w:t>Borrowe</w:t>
      </w:r>
      <w:r>
        <w:rPr>
          <w:rFonts w:ascii="Arial" w:cs="Arial" w:eastAsia="Arial" w:hAnsi="Arial"/>
          <w:sz w:val="22"/>
          <w:szCs w:val="22"/>
          <w:u w:val="single" w:color="auto"/>
          <w:color w:val="auto"/>
        </w:rPr>
        <w:t>r</w:t>
      </w:r>
      <w:r>
        <w:rPr>
          <w:rFonts w:ascii="Arial" w:cs="Arial" w:eastAsia="Arial" w:hAnsi="Arial"/>
          <w:sz w:val="22"/>
          <w:szCs w:val="22"/>
          <w:color w:val="auto"/>
        </w:rPr>
        <w:t>”), each of the undersigned financial institutions (individually each a “</w:t>
      </w:r>
      <w:r>
        <w:rPr>
          <w:rFonts w:ascii="Arial" w:cs="Arial" w:eastAsia="Arial" w:hAnsi="Arial"/>
          <w:sz w:val="22"/>
          <w:szCs w:val="22"/>
          <w:b w:val="1"/>
          <w:bCs w:val="1"/>
          <w:u w:val="single" w:color="auto"/>
          <w:color w:val="auto"/>
        </w:rPr>
        <w:t>Lender</w:t>
      </w:r>
      <w:r>
        <w:rPr>
          <w:rFonts w:ascii="Arial" w:cs="Arial" w:eastAsia="Arial" w:hAnsi="Arial"/>
          <w:sz w:val="22"/>
          <w:szCs w:val="22"/>
          <w:color w:val="auto"/>
        </w:rPr>
        <w:t>” and collectively “</w:t>
      </w:r>
      <w:r>
        <w:rPr>
          <w:rFonts w:ascii="Arial" w:cs="Arial" w:eastAsia="Arial" w:hAnsi="Arial"/>
          <w:sz w:val="22"/>
          <w:szCs w:val="22"/>
          <w:b w:val="1"/>
          <w:bCs w:val="1"/>
          <w:u w:val="single" w:color="auto"/>
          <w:color w:val="auto"/>
        </w:rPr>
        <w:t>Lenders</w:t>
      </w:r>
      <w:r>
        <w:rPr>
          <w:rFonts w:ascii="Arial" w:cs="Arial" w:eastAsia="Arial" w:hAnsi="Arial"/>
          <w:sz w:val="22"/>
          <w:szCs w:val="22"/>
          <w:color w:val="auto"/>
        </w:rPr>
        <w:t xml:space="preserve">”) and </w:t>
      </w:r>
      <w:r>
        <w:rPr>
          <w:rFonts w:ascii="Arial" w:cs="Arial" w:eastAsia="Arial" w:hAnsi="Arial"/>
          <w:sz w:val="22"/>
          <w:szCs w:val="22"/>
          <w:b w:val="1"/>
          <w:bCs w:val="1"/>
          <w:color w:val="auto"/>
        </w:rPr>
        <w:t>SWK</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FUNDING LLC, </w:t>
      </w:r>
      <w:r>
        <w:rPr>
          <w:rFonts w:ascii="Arial" w:cs="Arial" w:eastAsia="Arial" w:hAnsi="Arial"/>
          <w:sz w:val="22"/>
          <w:szCs w:val="22"/>
          <w:color w:val="auto"/>
        </w:rPr>
        <w:t>a Delaware limited liability company, in its capacity as administrative agent for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Lenders (in such capacity,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Borrower, Agent and Lenders entered into that certain Credit Agreement dated as of August 10, 2022 (as the same may be amended, modified or restated from time to time, being hereinafter referred to as the “</w:t>
      </w:r>
      <w:r>
        <w:rPr>
          <w:rFonts w:ascii="Arial" w:cs="Arial" w:eastAsia="Arial" w:hAnsi="Arial"/>
          <w:sz w:val="22"/>
          <w:szCs w:val="22"/>
          <w:b w:val="1"/>
          <w:bCs w:val="1"/>
          <w:u w:val="single" w:color="auto"/>
          <w:color w:val="auto"/>
        </w:rPr>
        <w:t>Credit Agreement</w:t>
      </w:r>
      <w:r>
        <w:rPr>
          <w:rFonts w:ascii="Arial" w:cs="Arial" w:eastAsia="Arial" w:hAnsi="Arial"/>
          <w:sz w:val="22"/>
          <w:szCs w:val="22"/>
          <w:color w:val="auto"/>
        </w:rPr>
        <w:t>”); and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Borrower, Agent and Lenders have agreed to amend certain provisions of the Credit Agreement as more fully set forth herein.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premises herein contained and other good and valuable consideration, the receipt and sufficiency of which are hereby acknowledged, the parties, intending to be legally bound,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6" w:lineRule="exact"/>
        <w:rPr>
          <w:sz w:val="20"/>
          <w:szCs w:val="20"/>
          <w:color w:val="auto"/>
        </w:rPr>
      </w:pPr>
    </w:p>
    <w:p>
      <w:pPr>
        <w:ind w:right="680" w:firstLine="713"/>
        <w:spacing w:after="0" w:line="256" w:lineRule="auto"/>
        <w:rPr>
          <w:sz w:val="20"/>
          <w:szCs w:val="20"/>
          <w:color w:val="auto"/>
        </w:rPr>
      </w:pPr>
      <w:r>
        <w:rPr>
          <w:rFonts w:ascii="Arial" w:cs="Arial" w:eastAsia="Arial" w:hAnsi="Arial"/>
          <w:sz w:val="22"/>
          <w:szCs w:val="22"/>
          <w:b w:val="1"/>
          <w:bCs w:val="1"/>
          <w:color w:val="010000"/>
        </w:rPr>
        <w:t xml:space="preserve">1.1 </w:t>
      </w:r>
      <w:r>
        <w:rPr>
          <w:rFonts w:ascii="Arial" w:cs="Arial" w:eastAsia="Arial" w:hAnsi="Arial"/>
          <w:sz w:val="22"/>
          <w:szCs w:val="22"/>
          <w:color w:val="000000"/>
        </w:rPr>
        <w:t>Capitalized terms used in this Amendment are defined in the Credit Agreement, as amended</w:t>
      </w:r>
      <w:r>
        <w:rPr>
          <w:rFonts w:ascii="Arial" w:cs="Arial" w:eastAsia="Arial" w:hAnsi="Arial"/>
          <w:sz w:val="22"/>
          <w:szCs w:val="22"/>
          <w:b w:val="1"/>
          <w:bCs w:val="1"/>
          <w:color w:val="010000"/>
        </w:rPr>
        <w:t xml:space="preserve"> </w:t>
      </w:r>
      <w:r>
        <w:rPr>
          <w:rFonts w:ascii="Arial" w:cs="Arial" w:eastAsia="Arial" w:hAnsi="Arial"/>
          <w:sz w:val="22"/>
          <w:szCs w:val="22"/>
          <w:color w:val="000000"/>
        </w:rPr>
        <w:t>hereby, unless otherwise stated.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Amendments to Credit Agreement</w:t>
      </w:r>
    </w:p>
    <w:p>
      <w:pPr>
        <w:spacing w:after="0" w:line="206" w:lineRule="exact"/>
        <w:rPr>
          <w:sz w:val="20"/>
          <w:szCs w:val="20"/>
          <w:color w:val="auto"/>
        </w:rPr>
      </w:pPr>
    </w:p>
    <w:p>
      <w:pPr>
        <w:ind w:firstLine="713"/>
        <w:spacing w:after="0" w:line="256" w:lineRule="auto"/>
        <w:rPr>
          <w:sz w:val="20"/>
          <w:szCs w:val="20"/>
          <w:color w:val="auto"/>
        </w:rPr>
      </w:pPr>
      <w:r>
        <w:rPr>
          <w:rFonts w:ascii="Arial" w:cs="Arial" w:eastAsia="Arial" w:hAnsi="Arial"/>
          <w:sz w:val="22"/>
          <w:szCs w:val="22"/>
          <w:b w:val="1"/>
          <w:bCs w:val="1"/>
          <w:color w:val="010000"/>
        </w:rPr>
        <w:t xml:space="preserve">2.1 </w:t>
      </w:r>
      <w:r>
        <w:rPr>
          <w:rFonts w:ascii="Arial" w:cs="Arial" w:eastAsia="Arial" w:hAnsi="Arial"/>
          <w:sz w:val="22"/>
          <w:szCs w:val="22"/>
          <w:b w:val="1"/>
          <w:bCs w:val="1"/>
          <w:u w:val="single" w:color="auto"/>
          <w:color w:val="000000"/>
        </w:rPr>
        <w:t>Amendments to Section 2.7(a)</w:t>
      </w:r>
      <w:r>
        <w:rPr>
          <w:rFonts w:ascii="Arial" w:cs="Arial" w:eastAsia="Arial" w:hAnsi="Arial"/>
          <w:sz w:val="22"/>
          <w:szCs w:val="22"/>
          <w:color w:val="000000"/>
        </w:rPr>
        <w:t>. Effective as of the date hereof,</w:t>
      </w:r>
      <w:r>
        <w:rPr>
          <w:rFonts w:ascii="Arial" w:cs="Arial" w:eastAsia="Arial" w:hAnsi="Arial"/>
          <w:sz w:val="22"/>
          <w:szCs w:val="22"/>
          <w:b w:val="1"/>
          <w:bCs w:val="1"/>
          <w:color w:val="010000"/>
        </w:rPr>
        <w:t xml:space="preserve"> </w:t>
      </w:r>
      <w:r>
        <w:rPr>
          <w:rFonts w:ascii="Arial" w:cs="Arial" w:eastAsia="Arial" w:hAnsi="Arial"/>
          <w:sz w:val="22"/>
          <w:szCs w:val="22"/>
          <w:u w:val="single" w:color="auto"/>
          <w:color w:val="000000"/>
        </w:rPr>
        <w:t>Section 2.7(a)</w:t>
      </w:r>
      <w:r>
        <w:rPr>
          <w:rFonts w:ascii="Arial" w:cs="Arial" w:eastAsia="Arial" w:hAnsi="Arial"/>
          <w:sz w:val="22"/>
          <w:szCs w:val="22"/>
          <w:b w:val="1"/>
          <w:bCs w:val="1"/>
          <w:color w:val="010000"/>
        </w:rPr>
        <w:t xml:space="preserve"> </w:t>
      </w:r>
      <w:r>
        <w:rPr>
          <w:rFonts w:ascii="Arial" w:cs="Arial" w:eastAsia="Arial" w:hAnsi="Arial"/>
          <w:sz w:val="22"/>
          <w:szCs w:val="22"/>
          <w:color w:val="000000"/>
        </w:rPr>
        <w:t>of the Credit</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Agreement is hereby amended and restated to read as follows:</w:t>
      </w:r>
    </w:p>
    <w:p>
      <w:pPr>
        <w:spacing w:after="0" w:line="162" w:lineRule="exact"/>
        <w:rPr>
          <w:sz w:val="20"/>
          <w:szCs w:val="20"/>
          <w:color w:val="auto"/>
        </w:rPr>
      </w:pPr>
    </w:p>
    <w:p>
      <w:pPr>
        <w:ind w:left="660" w:right="280" w:firstLine="644"/>
        <w:spacing w:after="0" w:line="289" w:lineRule="auto"/>
        <w:tabs>
          <w:tab w:leader="none" w:pos="1956" w:val="left"/>
        </w:tabs>
        <w:numPr>
          <w:ilvl w:val="0"/>
          <w:numId w:val="13"/>
        </w:numPr>
        <w:rPr>
          <w:rFonts w:ascii="Arial" w:cs="Arial" w:eastAsia="Arial" w:hAnsi="Arial"/>
          <w:sz w:val="19"/>
          <w:szCs w:val="19"/>
          <w:color w:val="010000"/>
        </w:rPr>
      </w:pPr>
      <w:r>
        <w:rPr>
          <w:rFonts w:ascii="Arial" w:cs="Arial" w:eastAsia="Arial" w:hAnsi="Arial"/>
          <w:sz w:val="19"/>
          <w:szCs w:val="19"/>
          <w:u w:val="single" w:color="auto"/>
          <w:color w:val="auto"/>
        </w:rPr>
        <w:t>Exit Fee</w:t>
      </w:r>
      <w:r>
        <w:rPr>
          <w:rFonts w:ascii="Arial" w:cs="Arial" w:eastAsia="Arial" w:hAnsi="Arial"/>
          <w:sz w:val="19"/>
          <w:szCs w:val="19"/>
          <w:color w:val="auto"/>
        </w:rPr>
        <w:t>. Upon the Termination Date, Borrower shall pay an exit fee (the “</w:t>
      </w:r>
      <w:r>
        <w:rPr>
          <w:rFonts w:ascii="Arial" w:cs="Arial" w:eastAsia="Arial" w:hAnsi="Arial"/>
          <w:sz w:val="19"/>
          <w:szCs w:val="19"/>
          <w:b w:val="1"/>
          <w:bCs w:val="1"/>
          <w:u w:val="single" w:color="auto"/>
          <w:color w:val="auto"/>
        </w:rPr>
        <w:t>Exit Fee</w:t>
      </w:r>
      <w:r>
        <w:rPr>
          <w:rFonts w:ascii="Arial" w:cs="Arial" w:eastAsia="Arial" w:hAnsi="Arial"/>
          <w:sz w:val="19"/>
          <w:szCs w:val="19"/>
          <w:color w:val="auto"/>
        </w:rPr>
        <w:t xml:space="preserve">”) to Agent, for the benefit of Lenders, in an amount equal to (i) six and one half of one percent (6.50%)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aggregate amount of the Term Loan funded hereunder on or prior to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$62,500, which Exit Fee shall be deemed fully earned and non-refundable on the Termination Date.</w:t>
      </w:r>
    </w:p>
    <w:p>
      <w:pPr>
        <w:spacing w:after="0" w:line="136" w:lineRule="exact"/>
        <w:rPr>
          <w:sz w:val="20"/>
          <w:szCs w:val="20"/>
          <w:color w:val="auto"/>
        </w:rPr>
      </w:pPr>
    </w:p>
    <w:p>
      <w:pPr>
        <w:ind w:firstLine="713"/>
        <w:spacing w:after="0" w:line="256" w:lineRule="auto"/>
        <w:rPr>
          <w:sz w:val="20"/>
          <w:szCs w:val="20"/>
          <w:color w:val="auto"/>
        </w:rPr>
      </w:pPr>
      <w:r>
        <w:rPr>
          <w:rFonts w:ascii="Arial" w:cs="Arial" w:eastAsia="Arial" w:hAnsi="Arial"/>
          <w:sz w:val="22"/>
          <w:szCs w:val="22"/>
          <w:b w:val="1"/>
          <w:bCs w:val="1"/>
          <w:color w:val="010000"/>
        </w:rPr>
        <w:t xml:space="preserve">2.2 </w:t>
      </w:r>
      <w:r>
        <w:rPr>
          <w:rFonts w:ascii="Arial" w:cs="Arial" w:eastAsia="Arial" w:hAnsi="Arial"/>
          <w:sz w:val="22"/>
          <w:szCs w:val="22"/>
          <w:b w:val="1"/>
          <w:bCs w:val="1"/>
          <w:u w:val="single" w:color="auto"/>
          <w:color w:val="000000"/>
        </w:rPr>
        <w:t>Amendment to Section 7.13.1</w:t>
      </w:r>
      <w:r>
        <w:rPr>
          <w:rFonts w:ascii="Arial" w:cs="Arial" w:eastAsia="Arial" w:hAnsi="Arial"/>
          <w:sz w:val="22"/>
          <w:szCs w:val="22"/>
          <w:color w:val="000000"/>
        </w:rPr>
        <w:t>. Effective as of the date hereof,</w:t>
      </w:r>
      <w:r>
        <w:rPr>
          <w:rFonts w:ascii="Arial" w:cs="Arial" w:eastAsia="Arial" w:hAnsi="Arial"/>
          <w:sz w:val="22"/>
          <w:szCs w:val="22"/>
          <w:b w:val="1"/>
          <w:bCs w:val="1"/>
          <w:color w:val="010000"/>
        </w:rPr>
        <w:t xml:space="preserve"> </w:t>
      </w:r>
      <w:r>
        <w:rPr>
          <w:rFonts w:ascii="Arial" w:cs="Arial" w:eastAsia="Arial" w:hAnsi="Arial"/>
          <w:sz w:val="22"/>
          <w:szCs w:val="22"/>
          <w:u w:val="single" w:color="auto"/>
          <w:color w:val="000000"/>
        </w:rPr>
        <w:t>Section 7.13.1</w:t>
      </w:r>
      <w:r>
        <w:rPr>
          <w:rFonts w:ascii="Arial" w:cs="Arial" w:eastAsia="Arial" w:hAnsi="Arial"/>
          <w:sz w:val="22"/>
          <w:szCs w:val="22"/>
          <w:b w:val="1"/>
          <w:bCs w:val="1"/>
          <w:color w:val="010000"/>
        </w:rPr>
        <w:t xml:space="preserve"> </w:t>
      </w:r>
      <w:r>
        <w:rPr>
          <w:rFonts w:ascii="Arial" w:cs="Arial" w:eastAsia="Arial" w:hAnsi="Arial"/>
          <w:sz w:val="22"/>
          <w:szCs w:val="22"/>
          <w:color w:val="000000"/>
        </w:rPr>
        <w:t>of the Credit</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Agreement is hereby amended and restated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43" w:name="page44"/>
    <w:bookmarkEnd w:id="43"/>
    <w:p>
      <w:pPr>
        <w:ind w:left="1300"/>
        <w:spacing w:after="0"/>
        <w:rPr>
          <w:sz w:val="20"/>
          <w:szCs w:val="20"/>
          <w:color w:val="auto"/>
        </w:rPr>
      </w:pPr>
      <w:r>
        <w:rPr>
          <w:rFonts w:ascii="Arial" w:cs="Arial" w:eastAsia="Arial" w:hAnsi="Arial"/>
          <w:sz w:val="22"/>
          <w:szCs w:val="22"/>
          <w:color w:val="auto"/>
        </w:rPr>
        <w:t xml:space="preserve">“7.13.1 </w:t>
      </w:r>
      <w:r>
        <w:rPr>
          <w:rFonts w:ascii="Arial" w:cs="Arial" w:eastAsia="Arial" w:hAnsi="Arial"/>
          <w:sz w:val="22"/>
          <w:szCs w:val="22"/>
          <w:u w:val="single" w:color="auto"/>
          <w:color w:val="auto"/>
        </w:rPr>
        <w:t>Minimum Consolidated Unencumbered Liquid Assets</w:t>
      </w:r>
      <w:r>
        <w:rPr>
          <w:rFonts w:ascii="Arial" w:cs="Arial" w:eastAsia="Arial" w:hAnsi="Arial"/>
          <w:sz w:val="22"/>
          <w:szCs w:val="22"/>
          <w:color w:val="auto"/>
        </w:rPr>
        <w:t>.</w:t>
      </w:r>
    </w:p>
    <w:p>
      <w:pPr>
        <w:spacing w:after="0" w:line="207" w:lineRule="exact"/>
        <w:rPr>
          <w:sz w:val="20"/>
          <w:szCs w:val="20"/>
          <w:color w:val="auto"/>
        </w:rPr>
      </w:pPr>
    </w:p>
    <w:p>
      <w:pPr>
        <w:jc w:val="both"/>
        <w:ind w:left="660" w:firstLine="1296"/>
        <w:spacing w:after="0" w:line="236" w:lineRule="auto"/>
        <w:rPr>
          <w:sz w:val="20"/>
          <w:szCs w:val="20"/>
          <w:color w:val="auto"/>
        </w:rPr>
      </w:pPr>
      <w:r>
        <w:rPr>
          <w:rFonts w:ascii="Arial" w:cs="Arial" w:eastAsia="Arial" w:hAnsi="Arial"/>
          <w:sz w:val="22"/>
          <w:szCs w:val="22"/>
          <w:color w:val="auto"/>
        </w:rPr>
        <w:t>Not permit the Consolidated Unencumbered Liquid Assets, to be less than (a) $5,000,000 at any time on or before August 15, 2023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Agent may, in its commercially-reasonable discretion, elect to extend such transition date to November 15, 2023) and (b) the greater of (i) $5,000,000, or (ii) the sum of the Operating Burn for the two (2) prior, consecutive Fiscal Quarters then ended at any time thereafter.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Precedent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010000"/>
        </w:rPr>
        <w:t xml:space="preserve">3.1 </w:t>
      </w:r>
      <w:r>
        <w:rPr>
          <w:rFonts w:ascii="Arial" w:cs="Arial" w:eastAsia="Arial" w:hAnsi="Arial"/>
          <w:sz w:val="22"/>
          <w:szCs w:val="22"/>
          <w:b w:val="1"/>
          <w:bCs w:val="1"/>
          <w:u w:val="single" w:color="auto"/>
          <w:color w:val="000000"/>
        </w:rPr>
        <w:t>Conditions Precedent</w:t>
      </w:r>
      <w:r>
        <w:rPr>
          <w:rFonts w:ascii="Arial" w:cs="Arial" w:eastAsia="Arial" w:hAnsi="Arial"/>
          <w:sz w:val="22"/>
          <w:szCs w:val="22"/>
          <w:b w:val="1"/>
          <w:b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effectiveness of this Amendment is subject to the satisfaction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following conditions precedent in a manner satisfactory to Agent, unless specifically waived in writing by Agent in its sole discretion:</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(A).</w:t>
      </w:r>
      <w:r>
        <w:rPr>
          <w:sz w:val="20"/>
          <w:szCs w:val="20"/>
          <w:color w:val="auto"/>
        </w:rPr>
        <w:tab/>
      </w:r>
      <w:r>
        <w:rPr>
          <w:rFonts w:ascii="Arial" w:cs="Arial" w:eastAsia="Arial" w:hAnsi="Arial"/>
          <w:sz w:val="19"/>
          <w:szCs w:val="19"/>
          <w:color w:val="auto"/>
        </w:rPr>
        <w:t>Agent shall have received this Amendment duly executed by Borrower.</w:t>
      </w:r>
    </w:p>
    <w:p>
      <w:pPr>
        <w:spacing w:after="0" w:line="206" w:lineRule="exact"/>
        <w:rPr>
          <w:sz w:val="20"/>
          <w:szCs w:val="20"/>
          <w:color w:val="auto"/>
        </w:rPr>
      </w:pPr>
    </w:p>
    <w:p>
      <w:pPr>
        <w:jc w:val="both"/>
        <w:ind w:left="660" w:firstLine="648"/>
        <w:spacing w:after="0" w:line="238" w:lineRule="auto"/>
        <w:rPr>
          <w:sz w:val="20"/>
          <w:szCs w:val="20"/>
          <w:color w:val="auto"/>
        </w:rPr>
      </w:pPr>
      <w:r>
        <w:rPr>
          <w:rFonts w:ascii="Arial" w:cs="Arial" w:eastAsia="Arial" w:hAnsi="Arial"/>
          <w:sz w:val="22"/>
          <w:szCs w:val="22"/>
          <w:color w:val="010000"/>
        </w:rPr>
        <w:t xml:space="preserve">(B). </w:t>
      </w:r>
      <w:r>
        <w:rPr>
          <w:rFonts w:ascii="Arial" w:cs="Arial" w:eastAsia="Arial" w:hAnsi="Arial"/>
          <w:sz w:val="22"/>
          <w:szCs w:val="22"/>
          <w:color w:val="000000"/>
        </w:rPr>
        <w:t>The representations and warranties contained herein and in the Credit Agreement and the</w:t>
      </w:r>
      <w:r>
        <w:rPr>
          <w:rFonts w:ascii="Arial" w:cs="Arial" w:eastAsia="Arial" w:hAnsi="Arial"/>
          <w:sz w:val="22"/>
          <w:szCs w:val="22"/>
          <w:color w:val="010000"/>
        </w:rPr>
        <w:t xml:space="preserve"> </w:t>
      </w:r>
      <w:r>
        <w:rPr>
          <w:rFonts w:ascii="Arial" w:cs="Arial" w:eastAsia="Arial" w:hAnsi="Arial"/>
          <w:sz w:val="22"/>
          <w:szCs w:val="22"/>
          <w:color w:val="000000"/>
        </w:rPr>
        <w:t>other Loan Documents, as each is amended hereby, shall be true and correct in all material respects as of the date hereof, as if made on the date hereof, except for such representations and warranties as are by their express terms limited to a specific date.</w:t>
      </w:r>
    </w:p>
    <w:p>
      <w:pPr>
        <w:spacing w:after="0" w:line="185"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010000"/>
        </w:rPr>
        <w:t xml:space="preserve">(C). </w:t>
      </w:r>
      <w:r>
        <w:rPr>
          <w:rFonts w:ascii="Arial" w:cs="Arial" w:eastAsia="Arial" w:hAnsi="Arial"/>
          <w:sz w:val="22"/>
          <w:szCs w:val="22"/>
          <w:color w:val="000000"/>
        </w:rPr>
        <w:t>No Default or Event of Default under the Credit Agreement, as amended hereby, shall have</w:t>
      </w:r>
      <w:r>
        <w:rPr>
          <w:rFonts w:ascii="Arial" w:cs="Arial" w:eastAsia="Arial" w:hAnsi="Arial"/>
          <w:sz w:val="22"/>
          <w:szCs w:val="22"/>
          <w:color w:val="010000"/>
        </w:rPr>
        <w:t xml:space="preserve"> </w:t>
      </w:r>
      <w:r>
        <w:rPr>
          <w:rFonts w:ascii="Arial" w:cs="Arial" w:eastAsia="Arial" w:hAnsi="Arial"/>
          <w:sz w:val="22"/>
          <w:szCs w:val="22"/>
          <w:color w:val="000000"/>
        </w:rPr>
        <w:t>occurred and be continuing, unless such Default or Event of Default has been otherwise specifically waived in writing by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 Waiver, Ratifications, Representations and Warranties</w:t>
      </w:r>
    </w:p>
    <w:p>
      <w:pPr>
        <w:spacing w:after="0" w:line="206" w:lineRule="exact"/>
        <w:rPr>
          <w:sz w:val="20"/>
          <w:szCs w:val="20"/>
          <w:color w:val="auto"/>
        </w:rPr>
      </w:pPr>
    </w:p>
    <w:p>
      <w:pPr>
        <w:jc w:val="both"/>
        <w:ind w:firstLine="713"/>
        <w:spacing w:after="0" w:line="272" w:lineRule="auto"/>
        <w:rPr>
          <w:sz w:val="20"/>
          <w:szCs w:val="20"/>
          <w:color w:val="auto"/>
        </w:rPr>
      </w:pPr>
      <w:r>
        <w:rPr>
          <w:rFonts w:ascii="Arial" w:cs="Arial" w:eastAsia="Arial" w:hAnsi="Arial"/>
          <w:sz w:val="19"/>
          <w:szCs w:val="19"/>
          <w:b w:val="1"/>
          <w:bCs w:val="1"/>
          <w:color w:val="010000"/>
        </w:rPr>
        <w:t xml:space="preserve">4.1 </w:t>
      </w:r>
      <w:r>
        <w:rPr>
          <w:rFonts w:ascii="Arial" w:cs="Arial" w:eastAsia="Arial" w:hAnsi="Arial"/>
          <w:sz w:val="19"/>
          <w:szCs w:val="19"/>
          <w:b w:val="1"/>
          <w:bCs w:val="1"/>
          <w:u w:val="single" w:color="auto"/>
          <w:color w:val="000000"/>
        </w:rPr>
        <w:t>No Waiver</w:t>
      </w:r>
      <w:r>
        <w:rPr>
          <w:rFonts w:ascii="Arial" w:cs="Arial" w:eastAsia="Arial" w:hAnsi="Arial"/>
          <w:sz w:val="19"/>
          <w:szCs w:val="19"/>
          <w:b w:val="1"/>
          <w:bCs w:val="1"/>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Nothing contained in this Amendment or any other communication between Agent,</w:t>
      </w:r>
      <w:r>
        <w:rPr>
          <w:rFonts w:ascii="Arial" w:cs="Arial" w:eastAsia="Arial" w:hAnsi="Arial"/>
          <w:sz w:val="19"/>
          <w:szCs w:val="19"/>
          <w:b w:val="1"/>
          <w:bCs w:val="1"/>
          <w:color w:val="010000"/>
        </w:rPr>
        <w:t xml:space="preserve"> </w:t>
      </w:r>
      <w:r>
        <w:rPr>
          <w:rFonts w:ascii="Arial" w:cs="Arial" w:eastAsia="Arial" w:hAnsi="Arial"/>
          <w:sz w:val="19"/>
          <w:szCs w:val="19"/>
          <w:color w:val="000000"/>
        </w:rPr>
        <w:t>any Lender, Borrower or any other Loan Party shall be a waiver of any past, present or future non-compliance, violation, Default or Event of Default of Borrower under the Credit Agreement or any Loan Document. Agent and each Lender hereby expressly reserves any rights, privileges and remedies under the Credit Agreement and each Loan Document that Lender may have with respect to any non-compliance, violation, Default or Event of Default, and any failure by Agent or any Lender to exercise any right, privilege or remedy as a result of the violations set forth above shall not directly or indirectly in any way whatsoever either (i) impair, prejudice or otherwise adversely affect the rights of Agent or any Lender, except as set forth herein, at any time to exercise any right, privilege or remedy in connection with the Credit Agreement or any Loan Document, (ii) amend or alter any provision of the Credit Agreement or any Loan Document or any other contract or instrument or (iii) constitute any course of dealing or other basis for altering any obligation of Borrower or any rights, privilege or remedy of Agent or any Lender under the Credit Agreement or any Loan Document or any other contract or instrument. Nothing in this Amendment shall be construed to be a consent by Agent or any Lender to any prior, existing or future violations of the Credit Agreement or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4" w:name="page45"/>
    <w:bookmarkEnd w:id="44"/>
    <w:p>
      <w:pPr>
        <w:jc w:val="both"/>
        <w:ind w:firstLine="648"/>
        <w:spacing w:after="0" w:line="278" w:lineRule="auto"/>
        <w:rPr>
          <w:sz w:val="20"/>
          <w:szCs w:val="20"/>
          <w:color w:val="auto"/>
        </w:rPr>
      </w:pPr>
      <w:r>
        <w:rPr>
          <w:rFonts w:ascii="Arial" w:cs="Arial" w:eastAsia="Arial" w:hAnsi="Arial"/>
          <w:sz w:val="19"/>
          <w:szCs w:val="19"/>
          <w:b w:val="1"/>
          <w:bCs w:val="1"/>
          <w:color w:val="010000"/>
        </w:rPr>
        <w:t xml:space="preserve">4.2 </w:t>
      </w:r>
      <w:r>
        <w:rPr>
          <w:rFonts w:ascii="Arial" w:cs="Arial" w:eastAsia="Arial" w:hAnsi="Arial"/>
          <w:sz w:val="19"/>
          <w:szCs w:val="19"/>
          <w:b w:val="1"/>
          <w:bCs w:val="1"/>
          <w:u w:val="single" w:color="auto"/>
          <w:color w:val="000000"/>
        </w:rPr>
        <w:t>Ratifications</w:t>
      </w:r>
      <w:r>
        <w:rPr>
          <w:rFonts w:ascii="Arial" w:cs="Arial" w:eastAsia="Arial" w:hAnsi="Arial"/>
          <w:sz w:val="19"/>
          <w:szCs w:val="19"/>
          <w:b w:val="1"/>
          <w:bCs w:val="1"/>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terms and provisions set forth in this Amendment shall modify and supersede</w:t>
      </w:r>
      <w:r>
        <w:rPr>
          <w:rFonts w:ascii="Arial" w:cs="Arial" w:eastAsia="Arial" w:hAnsi="Arial"/>
          <w:sz w:val="19"/>
          <w:szCs w:val="19"/>
          <w:b w:val="1"/>
          <w:bCs w:val="1"/>
          <w:color w:val="010000"/>
        </w:rPr>
        <w:t xml:space="preserve"> </w:t>
      </w:r>
      <w:r>
        <w:rPr>
          <w:rFonts w:ascii="Arial" w:cs="Arial" w:eastAsia="Arial" w:hAnsi="Arial"/>
          <w:sz w:val="19"/>
          <w:szCs w:val="19"/>
          <w:color w:val="000000"/>
        </w:rPr>
        <w:t>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Borrower, Lenders and Agent agree that the Credit Agreement and the other Loan Documents, as amended hereby, shall continue to be legal, valid, binding and enforceable in accordance with their respective terms. Borrower agrees that this Amendment is not intended to and shall not cause a novation with respect to any or all of the Obligations.</w:t>
      </w:r>
    </w:p>
    <w:p>
      <w:pPr>
        <w:spacing w:after="0" w:line="1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010000"/>
        </w:rPr>
        <w:t xml:space="preserve">4.3 </w:t>
      </w:r>
      <w:r>
        <w:rPr>
          <w:rFonts w:ascii="Arial" w:cs="Arial" w:eastAsia="Arial" w:hAnsi="Arial"/>
          <w:sz w:val="19"/>
          <w:szCs w:val="19"/>
          <w:b w:val="1"/>
          <w:bCs w:val="1"/>
          <w:u w:val="single" w:color="auto"/>
          <w:color w:val="000000"/>
        </w:rPr>
        <w:t>Representations and Warranties</w:t>
      </w:r>
      <w:r>
        <w:rPr>
          <w:rFonts w:ascii="Arial" w:cs="Arial" w:eastAsia="Arial" w:hAnsi="Arial"/>
          <w:sz w:val="19"/>
          <w:szCs w:val="19"/>
          <w:b w:val="1"/>
          <w:bCs w:val="1"/>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Borrower hereby represents and warrants to Agent and Lenders</w:t>
      </w:r>
      <w:r>
        <w:rPr>
          <w:rFonts w:ascii="Arial" w:cs="Arial" w:eastAsia="Arial" w:hAnsi="Arial"/>
          <w:sz w:val="19"/>
          <w:szCs w:val="19"/>
          <w:b w:val="1"/>
          <w:bCs w:val="1"/>
          <w:color w:val="010000"/>
        </w:rPr>
        <w:t xml:space="preserve"> </w:t>
      </w:r>
      <w:r>
        <w:rPr>
          <w:rFonts w:ascii="Arial" w:cs="Arial" w:eastAsia="Arial" w:hAnsi="Arial"/>
          <w:sz w:val="19"/>
          <w:szCs w:val="19"/>
          <w:color w:val="000000"/>
        </w:rPr>
        <w:t>that (a) the execution, delivery and performance of this Amendment, any and all other Loan Documents executed and/or delivered in connection herewith have been authorized by all requisite action (as applicable) on the part of Borrower and will not violate the organizational documents of Borrower; (b) Borrower’s directors and/or managers have authorized the execution, delivery and performance of this Amendment any and all other Loan Documents executed and/or delivered in connection herewith; (c) the representations and warranties contained in the Credit Agreement, as amended hereby, and any other Loan Document are true and correct in all material respects on and as of the date hereof and on and as of the date of execution hereof as though made on and as of each such date (except to the extent such representations and warranties expressly relate to an earlier date); and (d) no Default or Event of Default under the Credit Agreement, as amended hereby, has occurred and is continuing.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010000"/>
        </w:rPr>
        <w:t xml:space="preserve">5.1 </w:t>
      </w:r>
      <w:r>
        <w:rPr>
          <w:rFonts w:ascii="Arial" w:cs="Arial" w:eastAsia="Arial" w:hAnsi="Arial"/>
          <w:sz w:val="21"/>
          <w:szCs w:val="21"/>
          <w:b w:val="1"/>
          <w:bCs w:val="1"/>
          <w:u w:val="single" w:color="auto"/>
          <w:color w:val="000000"/>
        </w:rPr>
        <w:t>Survival of Representations and Warranties</w:t>
      </w:r>
      <w:r>
        <w:rPr>
          <w:rFonts w:ascii="Arial" w:cs="Arial" w:eastAsia="Arial" w:hAnsi="Arial"/>
          <w:sz w:val="21"/>
          <w:szCs w:val="21"/>
          <w:b w:val="1"/>
          <w:bCs w:val="1"/>
          <w:color w:val="000000"/>
        </w:rPr>
        <w:t>.</w:t>
      </w:r>
      <w:r>
        <w:rPr>
          <w:rFonts w:ascii="Arial" w:cs="Arial" w:eastAsia="Arial" w:hAnsi="Arial"/>
          <w:sz w:val="21"/>
          <w:szCs w:val="21"/>
          <w:b w:val="1"/>
          <w:bCs w:val="1"/>
          <w:color w:val="010000"/>
        </w:rPr>
        <w:t xml:space="preserve"> </w:t>
      </w:r>
      <w:r>
        <w:rPr>
          <w:rFonts w:ascii="Arial" w:cs="Arial" w:eastAsia="Arial" w:hAnsi="Arial"/>
          <w:sz w:val="21"/>
          <w:szCs w:val="21"/>
          <w:color w:val="000000"/>
        </w:rPr>
        <w:t>All representations and warranties made in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Credit Agreement or any other Loan Document, including, without limitation, any document furnished in connection with this Amendment, shall survive the execution and delivery of this Amendment and the other Loan Documents, and no investigation by Agent or any Lender or any closing shall affect the representations and warranties or the right of Agent and each Lender to rely upon them.</w:t>
      </w:r>
    </w:p>
    <w:p>
      <w:pPr>
        <w:spacing w:after="0" w:line="1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010000"/>
        </w:rPr>
        <w:t xml:space="preserve">5.2 </w:t>
      </w:r>
      <w:r>
        <w:rPr>
          <w:rFonts w:ascii="Arial" w:cs="Arial" w:eastAsia="Arial" w:hAnsi="Arial"/>
          <w:sz w:val="21"/>
          <w:szCs w:val="21"/>
          <w:b w:val="1"/>
          <w:bCs w:val="1"/>
          <w:u w:val="single" w:color="auto"/>
          <w:color w:val="000000"/>
        </w:rPr>
        <w:t>Reference to Credit Agreement</w:t>
      </w:r>
      <w:r>
        <w:rPr>
          <w:rFonts w:ascii="Arial" w:cs="Arial" w:eastAsia="Arial" w:hAnsi="Arial"/>
          <w:sz w:val="21"/>
          <w:szCs w:val="21"/>
          <w:b w:val="1"/>
          <w:bCs w:val="1"/>
          <w:color w:val="000000"/>
        </w:rPr>
        <w:t>.</w:t>
      </w:r>
      <w:r>
        <w:rPr>
          <w:rFonts w:ascii="Arial" w:cs="Arial" w:eastAsia="Arial" w:hAnsi="Arial"/>
          <w:sz w:val="21"/>
          <w:szCs w:val="21"/>
          <w:b w:val="1"/>
          <w:bCs w:val="1"/>
          <w:color w:val="010000"/>
        </w:rPr>
        <w:t xml:space="preserve"> </w:t>
      </w:r>
      <w:r>
        <w:rPr>
          <w:rFonts w:ascii="Arial" w:cs="Arial" w:eastAsia="Arial" w:hAnsi="Arial"/>
          <w:sz w:val="21"/>
          <w:szCs w:val="21"/>
          <w:color w:val="000000"/>
        </w:rPr>
        <w:t>Each of the Credit Agreement and the other Loan Documents,</w:t>
      </w:r>
      <w:r>
        <w:rPr>
          <w:rFonts w:ascii="Arial" w:cs="Arial" w:eastAsia="Arial" w:hAnsi="Arial"/>
          <w:sz w:val="21"/>
          <w:szCs w:val="21"/>
          <w:b w:val="1"/>
          <w:bCs w:val="1"/>
          <w:color w:val="010000"/>
        </w:rPr>
        <w:t xml:space="preserve"> </w:t>
      </w:r>
      <w:r>
        <w:rPr>
          <w:rFonts w:ascii="Arial" w:cs="Arial" w:eastAsia="Arial" w:hAnsi="Arial"/>
          <w:sz w:val="21"/>
          <w:szCs w:val="21"/>
          <w:color w:val="000000"/>
        </w:rPr>
        <w:t>and any and all other Loan Documents,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spacing w:after="0" w:line="16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010000"/>
        </w:rPr>
        <w:t xml:space="preserve">5.3 </w:t>
      </w:r>
      <w:r>
        <w:rPr>
          <w:rFonts w:ascii="Arial" w:cs="Arial" w:eastAsia="Arial" w:hAnsi="Arial"/>
          <w:sz w:val="22"/>
          <w:szCs w:val="22"/>
          <w:b w:val="1"/>
          <w:bCs w:val="1"/>
          <w:u w:val="single" w:color="auto"/>
          <w:color w:val="000000"/>
        </w:rPr>
        <w:t>Expenses of Agent</w:t>
      </w:r>
      <w:r>
        <w:rPr>
          <w:rFonts w:ascii="Arial" w:cs="Arial" w:eastAsia="Arial" w:hAnsi="Arial"/>
          <w:sz w:val="22"/>
          <w:szCs w:val="22"/>
          <w:b w:val="1"/>
          <w:b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As provided in the Credit Agreement, Borrower agrees to pay on demand all</w:t>
      </w:r>
      <w:r>
        <w:rPr>
          <w:rFonts w:ascii="Arial" w:cs="Arial" w:eastAsia="Arial" w:hAnsi="Arial"/>
          <w:sz w:val="22"/>
          <w:szCs w:val="22"/>
          <w:b w:val="1"/>
          <w:bCs w:val="1"/>
          <w:color w:val="010000"/>
        </w:rPr>
        <w:t xml:space="preserve"> </w:t>
      </w:r>
      <w:r>
        <w:rPr>
          <w:rFonts w:ascii="Arial" w:cs="Arial" w:eastAsia="Arial" w:hAnsi="Arial"/>
          <w:sz w:val="22"/>
          <w:szCs w:val="22"/>
          <w:color w:val="000000"/>
        </w:rPr>
        <w:t>costs and expenses incurred by Agent, or its Affiliates, in connection with the preparation, negotiation, and execution of this Amendment and the other Loan Documents executed pursuant hereto and any and all amendments, modifications, and supplements thereto, including, without limitation, the reasonable fees and costs of legal counsel, and all costs and expenses incurred by Agent and each Lender in connection with the enforcement or preservation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5" w:name="page46"/>
    <w:bookmarkEnd w:id="45"/>
    <w:p>
      <w:pPr>
        <w:jc w:val="both"/>
        <w:spacing w:after="0" w:line="251" w:lineRule="auto"/>
        <w:rPr>
          <w:sz w:val="20"/>
          <w:szCs w:val="20"/>
          <w:color w:val="auto"/>
        </w:rPr>
      </w:pPr>
      <w:r>
        <w:rPr>
          <w:rFonts w:ascii="Arial" w:cs="Arial" w:eastAsia="Arial" w:hAnsi="Arial"/>
          <w:sz w:val="22"/>
          <w:szCs w:val="22"/>
          <w:color w:val="auto"/>
        </w:rPr>
        <w:t>of any rights under the Credit Agreement, as amended hereby, or any other Loan Documents, including, without, limitation, the reasonable fees and costs of legal counsel</w:t>
      </w:r>
      <w:r>
        <w:rPr>
          <w:rFonts w:ascii="Arial" w:cs="Arial" w:eastAsia="Arial" w:hAnsi="Arial"/>
          <w:sz w:val="22"/>
          <w:szCs w:val="22"/>
          <w:b w:val="1"/>
          <w:bCs w:val="1"/>
          <w:color w:val="auto"/>
        </w:rPr>
        <w:t>.</w:t>
      </w:r>
    </w:p>
    <w:p>
      <w:pPr>
        <w:spacing w:after="0" w:line="1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010000"/>
        </w:rPr>
        <w:t xml:space="preserve">5.4 </w:t>
      </w:r>
      <w:r>
        <w:rPr>
          <w:rFonts w:ascii="Arial" w:cs="Arial" w:eastAsia="Arial" w:hAnsi="Arial"/>
          <w:sz w:val="22"/>
          <w:szCs w:val="22"/>
          <w:b w:val="1"/>
          <w:bCs w:val="1"/>
          <w:u w:val="single" w:color="auto"/>
          <w:color w:val="000000"/>
        </w:rPr>
        <w:t>Severability</w:t>
      </w:r>
      <w:r>
        <w:rPr>
          <w:rFonts w:ascii="Arial" w:cs="Arial" w:eastAsia="Arial" w:hAnsi="Arial"/>
          <w:sz w:val="22"/>
          <w:szCs w:val="22"/>
          <w:b w:val="1"/>
          <w:b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provision of this Amendment held by a court of competent jurisdiction to be</w:t>
      </w:r>
      <w:r>
        <w:rPr>
          <w:rFonts w:ascii="Arial" w:cs="Arial" w:eastAsia="Arial" w:hAnsi="Arial"/>
          <w:sz w:val="22"/>
          <w:szCs w:val="22"/>
          <w:b w:val="1"/>
          <w:bCs w:val="1"/>
          <w:color w:val="010000"/>
        </w:rPr>
        <w:t xml:space="preserve"> </w:t>
      </w:r>
      <w:r>
        <w:rPr>
          <w:rFonts w:ascii="Arial" w:cs="Arial" w:eastAsia="Arial" w:hAnsi="Arial"/>
          <w:sz w:val="22"/>
          <w:szCs w:val="22"/>
          <w:color w:val="000000"/>
        </w:rPr>
        <w:t>invalid or unenforceable shall not impair or invalidate the remainder of this Amendment and the effect thereof shall be confined to the provision so held to be invalid or unenforceable.</w:t>
      </w:r>
    </w:p>
    <w:p>
      <w:pPr>
        <w:spacing w:after="0" w:line="17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010000"/>
        </w:rPr>
        <w:t xml:space="preserve">5.5 </w:t>
      </w:r>
      <w:r>
        <w:rPr>
          <w:rFonts w:ascii="Arial" w:cs="Arial" w:eastAsia="Arial" w:hAnsi="Arial"/>
          <w:sz w:val="19"/>
          <w:szCs w:val="19"/>
          <w:b w:val="1"/>
          <w:bCs w:val="1"/>
          <w:u w:val="single" w:color="auto"/>
          <w:color w:val="000000"/>
        </w:rPr>
        <w:t>Successors and Assigns</w:t>
      </w:r>
      <w:r>
        <w:rPr>
          <w:rFonts w:ascii="Arial" w:cs="Arial" w:eastAsia="Arial" w:hAnsi="Arial"/>
          <w:sz w:val="19"/>
          <w:szCs w:val="19"/>
          <w:b w:val="1"/>
          <w:bCs w:val="1"/>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This Amendment is binding upon and shall inure to the benefit of Agent</w:t>
      </w:r>
      <w:r>
        <w:rPr>
          <w:rFonts w:ascii="Arial" w:cs="Arial" w:eastAsia="Arial" w:hAnsi="Arial"/>
          <w:sz w:val="19"/>
          <w:szCs w:val="19"/>
          <w:b w:val="1"/>
          <w:bCs w:val="1"/>
          <w:color w:val="010000"/>
        </w:rPr>
        <w:t xml:space="preserve"> </w:t>
      </w:r>
      <w:r>
        <w:rPr>
          <w:rFonts w:ascii="Arial" w:cs="Arial" w:eastAsia="Arial" w:hAnsi="Arial"/>
          <w:sz w:val="19"/>
          <w:szCs w:val="19"/>
          <w:color w:val="000000"/>
        </w:rPr>
        <w:t>and each Lender and Borrower and their respective successors and assigns, except that no Loan Party may assign or transfer any of its rights or obligations hereunder without the prior written consent of Agent.</w:t>
      </w:r>
    </w:p>
    <w:p>
      <w:pPr>
        <w:spacing w:after="0" w:line="12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010000"/>
        </w:rPr>
        <w:t xml:space="preserve">5.6 </w:t>
      </w:r>
      <w:r>
        <w:rPr>
          <w:rFonts w:ascii="Arial" w:cs="Arial" w:eastAsia="Arial" w:hAnsi="Arial"/>
          <w:sz w:val="22"/>
          <w:szCs w:val="22"/>
          <w:b w:val="1"/>
          <w:bCs w:val="1"/>
          <w:u w:val="single" w:color="auto"/>
          <w:color w:val="000000"/>
        </w:rPr>
        <w:t>Counterparts</w:t>
      </w:r>
      <w:r>
        <w:rPr>
          <w:rFonts w:ascii="Arial" w:cs="Arial" w:eastAsia="Arial" w:hAnsi="Arial"/>
          <w:sz w:val="22"/>
          <w:szCs w:val="22"/>
          <w:b w:val="1"/>
          <w:b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This Amendment may be executed in one or more counterparts, each of which</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when so executed shall be deemed to be an original, but all of which when taken together shall constitute one and the same instrument. This Amendment may be executed by facsimile or electronic (.pdf) transmission, which facsimile or electronic (.pdf) signatures shall be considered original executed counterparts for purposes of this </w:t>
      </w:r>
      <w:r>
        <w:rPr>
          <w:rFonts w:ascii="Arial" w:cs="Arial" w:eastAsia="Arial" w:hAnsi="Arial"/>
          <w:sz w:val="22"/>
          <w:szCs w:val="22"/>
          <w:u w:val="single" w:color="auto"/>
          <w:color w:val="000000"/>
        </w:rPr>
        <w:t>Section 5.6</w:t>
      </w:r>
      <w:r>
        <w:rPr>
          <w:rFonts w:ascii="Arial" w:cs="Arial" w:eastAsia="Arial" w:hAnsi="Arial"/>
          <w:sz w:val="22"/>
          <w:szCs w:val="22"/>
          <w:color w:val="000000"/>
        </w:rPr>
        <w:t>, and each party to this Amendment agrees that it will be bound by its own facsimile or electronic (.pdf) signature and that it accepts the facsimile or electronic (.pdf) signature of each other party to this Amendment.</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010000"/>
        </w:rPr>
        <w:t xml:space="preserve">5.7 </w:t>
      </w:r>
      <w:r>
        <w:rPr>
          <w:rFonts w:ascii="Arial" w:cs="Arial" w:eastAsia="Arial" w:hAnsi="Arial"/>
          <w:sz w:val="22"/>
          <w:szCs w:val="22"/>
          <w:b w:val="1"/>
          <w:bCs w:val="1"/>
          <w:u w:val="single" w:color="auto"/>
          <w:color w:val="000000"/>
        </w:rPr>
        <w:t>Effect of Waiver</w:t>
      </w:r>
      <w:r>
        <w:rPr>
          <w:rFonts w:ascii="Arial" w:cs="Arial" w:eastAsia="Arial" w:hAnsi="Arial"/>
          <w:sz w:val="22"/>
          <w:szCs w:val="22"/>
          <w:b w:val="1"/>
          <w:b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No consent or waiver, express or implied, by Agent to or for any breach of or</w:t>
      </w:r>
      <w:r>
        <w:rPr>
          <w:rFonts w:ascii="Arial" w:cs="Arial" w:eastAsia="Arial" w:hAnsi="Arial"/>
          <w:sz w:val="22"/>
          <w:szCs w:val="22"/>
          <w:b w:val="1"/>
          <w:bCs w:val="1"/>
          <w:color w:val="010000"/>
        </w:rPr>
        <w:t xml:space="preserve"> </w:t>
      </w:r>
      <w:r>
        <w:rPr>
          <w:rFonts w:ascii="Arial" w:cs="Arial" w:eastAsia="Arial" w:hAnsi="Arial"/>
          <w:sz w:val="22"/>
          <w:szCs w:val="22"/>
          <w:color w:val="000000"/>
        </w:rPr>
        <w:t>deviation from any covenant or condition by Borrower shall be deemed a consent to or waiver of any other breach of the same or any other covenant, condition or duty.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010000"/>
        </w:rPr>
        <w:t xml:space="preserve">5.8 </w:t>
      </w:r>
      <w:r>
        <w:rPr>
          <w:rFonts w:ascii="Arial" w:cs="Arial" w:eastAsia="Arial" w:hAnsi="Arial"/>
          <w:sz w:val="22"/>
          <w:szCs w:val="22"/>
          <w:b w:val="1"/>
          <w:bCs w:val="1"/>
          <w:u w:val="single" w:color="auto"/>
          <w:color w:val="000000"/>
        </w:rPr>
        <w:t>Headings</w:t>
      </w:r>
      <w:r>
        <w:rPr>
          <w:rFonts w:ascii="Arial" w:cs="Arial" w:eastAsia="Arial" w:hAnsi="Arial"/>
          <w:sz w:val="22"/>
          <w:szCs w:val="22"/>
          <w:b w:val="1"/>
          <w:b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headings, captions, and arrangements used in this Amendment are for convenience</w:t>
      </w:r>
      <w:r>
        <w:rPr>
          <w:rFonts w:ascii="Arial" w:cs="Arial" w:eastAsia="Arial" w:hAnsi="Arial"/>
          <w:sz w:val="22"/>
          <w:szCs w:val="22"/>
          <w:b w:val="1"/>
          <w:bCs w:val="1"/>
          <w:color w:val="010000"/>
        </w:rPr>
        <w:t xml:space="preserve"> </w:t>
      </w:r>
      <w:r>
        <w:rPr>
          <w:rFonts w:ascii="Arial" w:cs="Arial" w:eastAsia="Arial" w:hAnsi="Arial"/>
          <w:sz w:val="22"/>
          <w:szCs w:val="22"/>
          <w:color w:val="000000"/>
        </w:rPr>
        <w:t>only and shall not affect the interpretation of this Amendment.</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010000"/>
        </w:rPr>
        <w:t xml:space="preserve">5.9 </w:t>
      </w:r>
      <w:r>
        <w:rPr>
          <w:rFonts w:ascii="Arial" w:cs="Arial" w:eastAsia="Arial" w:hAnsi="Arial"/>
          <w:sz w:val="22"/>
          <w:szCs w:val="22"/>
          <w:b w:val="1"/>
          <w:bCs w:val="1"/>
          <w:u w:val="single" w:color="auto"/>
          <w:color w:val="000000"/>
        </w:rPr>
        <w:t>Applicable Law</w:t>
      </w:r>
      <w:r>
        <w:rPr>
          <w:rFonts w:ascii="Arial" w:cs="Arial" w:eastAsia="Arial" w:hAnsi="Arial"/>
          <w:sz w:val="22"/>
          <w:szCs w:val="22"/>
          <w:b w:val="1"/>
          <w:b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TERMS AND PROVISIONS OF</w:t>
      </w:r>
      <w:r>
        <w:rPr>
          <w:rFonts w:ascii="Arial" w:cs="Arial" w:eastAsia="Arial" w:hAnsi="Arial"/>
          <w:sz w:val="22"/>
          <w:szCs w:val="22"/>
          <w:b w:val="1"/>
          <w:bCs w:val="1"/>
          <w:color w:val="010000"/>
        </w:rPr>
        <w:t xml:space="preserve"> </w:t>
      </w:r>
      <w:r>
        <w:rPr>
          <w:rFonts w:ascii="Arial" w:cs="Arial" w:eastAsia="Arial" w:hAnsi="Arial"/>
          <w:sz w:val="22"/>
          <w:szCs w:val="22"/>
          <w:u w:val="single" w:color="auto"/>
          <w:color w:val="000000"/>
        </w:rPr>
        <w:t>SECTIONS 10.17</w:t>
      </w:r>
      <w:r>
        <w:rPr>
          <w:rFonts w:ascii="Arial" w:cs="Arial" w:eastAsia="Arial" w:hAnsi="Arial"/>
          <w:sz w:val="22"/>
          <w:szCs w:val="22"/>
          <w:b w:val="1"/>
          <w:bCs w:val="1"/>
          <w:color w:val="010000"/>
        </w:rPr>
        <w:t xml:space="preserve"> </w:t>
      </w:r>
      <w:r>
        <w:rPr>
          <w:rFonts w:ascii="Arial" w:cs="Arial" w:eastAsia="Arial" w:hAnsi="Arial"/>
          <w:sz w:val="22"/>
          <w:szCs w:val="22"/>
          <w:color w:val="000000"/>
        </w:rPr>
        <w:t>(GOVERNING LAW)</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AND </w:t>
      </w:r>
      <w:r>
        <w:rPr>
          <w:rFonts w:ascii="Arial" w:cs="Arial" w:eastAsia="Arial" w:hAnsi="Arial"/>
          <w:sz w:val="22"/>
          <w:szCs w:val="22"/>
          <w:u w:val="single" w:color="auto"/>
          <w:color w:val="000000"/>
        </w:rPr>
        <w:t>10.18</w:t>
      </w:r>
      <w:r>
        <w:rPr>
          <w:rFonts w:ascii="Arial" w:cs="Arial" w:eastAsia="Arial" w:hAnsi="Arial"/>
          <w:sz w:val="22"/>
          <w:szCs w:val="22"/>
          <w:color w:val="000000"/>
        </w:rPr>
        <w:t xml:space="preserve"> (FORUM SELECTION; CONSENT TO JURISDICTION) OF THE CREDIT AGREEMENT ARE HEREBY INCORPORATED HEREIN BY REFERENCE, AND SHALL APPLY TO THIS AMENDMENT </w:t>
      </w:r>
      <w:r>
        <w:rPr>
          <w:rFonts w:ascii="Arial" w:cs="Arial" w:eastAsia="Arial" w:hAnsi="Arial"/>
          <w:sz w:val="22"/>
          <w:szCs w:val="22"/>
          <w:i w:val="1"/>
          <w:iCs w:val="1"/>
          <w:color w:val="000000"/>
        </w:rPr>
        <w:t xml:space="preserve">MUTATIS MUTANDIS </w:t>
      </w:r>
      <w:r>
        <w:rPr>
          <w:rFonts w:ascii="Arial" w:cs="Arial" w:eastAsia="Arial" w:hAnsi="Arial"/>
          <w:sz w:val="22"/>
          <w:szCs w:val="22"/>
          <w:color w:val="000000"/>
        </w:rPr>
        <w:t>AS IF FULLY SET FORTH HEREIN.</w:t>
      </w:r>
    </w:p>
    <w:p>
      <w:pPr>
        <w:spacing w:after="0" w:line="18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010000"/>
        </w:rPr>
        <w:t xml:space="preserve">5.10 </w:t>
      </w:r>
      <w:r>
        <w:rPr>
          <w:rFonts w:ascii="Arial" w:cs="Arial" w:eastAsia="Arial" w:hAnsi="Arial"/>
          <w:sz w:val="22"/>
          <w:szCs w:val="22"/>
          <w:b w:val="1"/>
          <w:bCs w:val="1"/>
          <w:u w:val="single" w:color="auto"/>
          <w:color w:val="000000"/>
        </w:rPr>
        <w:t>Final Agreement</w:t>
      </w:r>
      <w:r>
        <w:rPr>
          <w:rFonts w:ascii="Arial" w:cs="Arial" w:eastAsia="Arial" w:hAnsi="Arial"/>
          <w:sz w:val="22"/>
          <w:szCs w:val="22"/>
          <w:b w:val="1"/>
          <w:b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CREDIT AGREEMENT AND THE OTHER LOAN DOCUMENTS,</w:t>
      </w:r>
      <w:r>
        <w:rPr>
          <w:rFonts w:ascii="Arial" w:cs="Arial" w:eastAsia="Arial" w:hAnsi="Arial"/>
          <w:sz w:val="22"/>
          <w:szCs w:val="22"/>
          <w:b w:val="1"/>
          <w:bCs w:val="1"/>
          <w:color w:val="010000"/>
        </w:rPr>
        <w:t xml:space="preserve"> </w:t>
      </w:r>
      <w:r>
        <w:rPr>
          <w:rFonts w:ascii="Arial" w:cs="Arial" w:eastAsia="Arial" w:hAnsi="Arial"/>
          <w:sz w:val="22"/>
          <w:szCs w:val="22"/>
          <w:color w:val="000000"/>
        </w:rPr>
        <w:t>EACH AS AMENDED HEREBY, REPRESENT THE ENTIRE EXPRESSION OF THE PARTIES WITH RESPECT TO THE SUBJECT MATTER HEREOF ON THE DATE THIS AMENDMENT IS EXECUTED. THE CREDIT AGREEMENT AND THE OTHER LOAN DOCUMENTS, AS AMENDED HEREBY, MAY NOT BE CONTRADICTED BY EVIDENCE OF PRIOR, CONTEMPORANEOUS OR SUBSEQUENT ORAL AGREEMENTS OF THE PARTIES. THERE ARE NO UNWRITTEN ORAL AGREEMENTS BETWEEN THE PARTIES. NO MODIFICATION, RESCISSION, WAIVER, RELEASE OR AMENDMENT OF ANY PROVISION OF THIS AMENDMENT SHALL BE MADE, EXCEPT BY A WRITTEN AGREEMENT SIGNED BY BORROWER AND AGENT.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6" w:name="page47"/>
    <w:bookmarkEnd w:id="46"/>
    <w:p>
      <w:pPr>
        <w:ind w:left="660"/>
        <w:spacing w:after="0"/>
        <w:rPr>
          <w:sz w:val="20"/>
          <w:szCs w:val="20"/>
          <w:color w:val="auto"/>
        </w:rPr>
      </w:pPr>
      <w:r>
        <w:rPr>
          <w:rFonts w:ascii="Arial" w:cs="Arial" w:eastAsia="Arial" w:hAnsi="Arial"/>
          <w:sz w:val="19"/>
          <w:szCs w:val="19"/>
          <w:color w:val="auto"/>
        </w:rPr>
        <w:t>IN WITNESS WHEREOF, this Amendment has been executed and is effective as of the date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9"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BORROWER</w:t>
      </w:r>
      <w:r>
        <w:rPr>
          <w:rFonts w:ascii="Arial" w:cs="Arial" w:eastAsia="Arial" w:hAnsi="Arial"/>
          <w:sz w:val="22"/>
          <w:szCs w:val="22"/>
          <w:b w:val="1"/>
          <w:bCs w:val="1"/>
          <w:color w:val="auto"/>
        </w:rPr>
        <w:t>:</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AZIYO BIOLOGICS, INC.</w:t>
      </w:r>
      <w:r>
        <w:rPr>
          <w:rFonts w:ascii="Arial" w:cs="Arial" w:eastAsia="Arial" w:hAnsi="Arial"/>
          <w:sz w:val="22"/>
          <w:szCs w:val="22"/>
          <w:color w:val="auto"/>
        </w:rPr>
        <w:t>,</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 Delaware corporation</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6985</wp:posOffset>
            </wp:positionV>
            <wp:extent cx="27260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Name: Matt Ferguson</w:t>
      </w:r>
    </w:p>
    <w:p>
      <w:pPr>
        <w:ind w:left="4960"/>
        <w:spacing w:after="0"/>
        <w:tabs>
          <w:tab w:leader="none" w:pos="56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1229995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7" w:name="page48"/>
    <w:bookmarkEnd w:id="47"/>
    <w:p>
      <w:pPr>
        <w:ind w:left="4500"/>
        <w:spacing w:after="0"/>
        <w:rPr>
          <w:sz w:val="20"/>
          <w:szCs w:val="20"/>
          <w:color w:val="auto"/>
        </w:rPr>
      </w:pPr>
      <w:r>
        <w:rPr>
          <w:rFonts w:ascii="Arial" w:cs="Arial" w:eastAsia="Arial" w:hAnsi="Arial"/>
          <w:sz w:val="22"/>
          <w:szCs w:val="22"/>
          <w:b w:val="1"/>
          <w:bCs w:val="1"/>
          <w:u w:val="single" w:color="auto"/>
          <w:color w:val="auto"/>
        </w:rPr>
        <w:t>AGENT AND LENDER</w:t>
      </w:r>
      <w:r>
        <w:rPr>
          <w:rFonts w:ascii="Arial" w:cs="Arial" w:eastAsia="Arial" w:hAnsi="Arial"/>
          <w:sz w:val="22"/>
          <w:szCs w:val="22"/>
          <w:b w:val="1"/>
          <w:bCs w:val="1"/>
          <w:color w:val="auto"/>
        </w:rPr>
        <w:t>:</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SWK FUNDING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as Agent and a Lender</w:t>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By: SWK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29210</wp:posOffset>
            </wp:positionV>
            <wp:extent cx="28803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its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-3175</wp:posOffset>
            </wp:positionV>
            <wp:extent cx="28803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920"/>
        <w:spacing w:after="0" w:line="233" w:lineRule="auto"/>
        <w:rPr>
          <w:sz w:val="20"/>
          <w:szCs w:val="20"/>
          <w:color w:val="auto"/>
        </w:rPr>
      </w:pPr>
      <w:r>
        <w:rPr>
          <w:rFonts w:ascii="Arial" w:cs="Arial" w:eastAsia="Arial" w:hAnsi="Arial"/>
          <w:sz w:val="22"/>
          <w:szCs w:val="22"/>
          <w:color w:val="auto"/>
        </w:rPr>
        <w:t>By:</w:t>
      </w:r>
    </w:p>
    <w:p>
      <w:pPr>
        <w:ind w:left="4920"/>
        <w:spacing w:after="0" w:line="231" w:lineRule="auto"/>
        <w:rPr>
          <w:sz w:val="20"/>
          <w:szCs w:val="20"/>
          <w:color w:val="auto"/>
        </w:rPr>
      </w:pPr>
      <w:r>
        <w:rPr>
          <w:rFonts w:ascii="Arial" w:cs="Arial" w:eastAsia="Arial" w:hAnsi="Arial"/>
          <w:sz w:val="22"/>
          <w:szCs w:val="22"/>
          <w:color w:val="auto"/>
        </w:rPr>
        <w:t>Name: Joe D. Staggs</w:t>
      </w:r>
    </w:p>
    <w:p>
      <w:pPr>
        <w:spacing w:after="0" w:line="1" w:lineRule="exact"/>
        <w:rPr>
          <w:sz w:val="20"/>
          <w:szCs w:val="20"/>
          <w:color w:val="auto"/>
        </w:rPr>
      </w:pPr>
    </w:p>
    <w:p>
      <w:pPr>
        <w:ind w:left="4920"/>
        <w:spacing w:after="0"/>
        <w:tabs>
          <w:tab w:leader="none" w:pos="5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904240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48" w:name="page49"/>
    <w:bookmarkEnd w:id="48"/>
    <w:p>
      <w:pPr>
        <w:ind w:left="89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 Randal Mills,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March 31, 2023 of Aziyo Biologics, Inc.;</w:t>
      </w:r>
    </w:p>
    <w:p>
      <w:pPr>
        <w:spacing w:after="0" w:line="26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320"/>
        <w:spacing w:after="0" w:line="311"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12, 2023</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 Randal Mills</w:t>
            </w:r>
          </w:p>
        </w:tc>
      </w:tr>
      <w:tr>
        <w:trPr>
          <w:trHeight w:val="195"/>
        </w:trPr>
        <w:tc>
          <w:tcPr>
            <w:tcW w:w="3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60" w:type="dxa"/>
            <w:vAlign w:val="bottom"/>
          </w:tcPr>
          <w:p>
            <w:pPr>
              <w:jc w:val="center"/>
              <w:spacing w:after="0" w:line="195" w:lineRule="exact"/>
              <w:rPr>
                <w:sz w:val="20"/>
                <w:szCs w:val="20"/>
                <w:color w:val="auto"/>
              </w:rPr>
            </w:pPr>
            <w:r>
              <w:rPr>
                <w:rFonts w:ascii="Arial" w:cs="Arial" w:eastAsia="Arial" w:hAnsi="Arial"/>
                <w:sz w:val="18"/>
                <w:szCs w:val="18"/>
                <w:color w:val="auto"/>
                <w:w w:val="94"/>
              </w:rPr>
              <w:t>C. Randal Mills</w:t>
            </w:r>
          </w:p>
        </w:tc>
      </w:tr>
      <w:tr>
        <w:trPr>
          <w:trHeight w:val="216"/>
        </w:trPr>
        <w:tc>
          <w:tcPr>
            <w:tcW w:w="3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76"/>
        </w:trPr>
        <w:tc>
          <w:tcPr>
            <w:tcW w:w="3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49" w:name="page50"/>
    <w:bookmarkEnd w:id="49"/>
    <w:p>
      <w:pPr>
        <w:ind w:left="89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Ferguson,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March 31, 2023 of Aziyo Biologics, Inc.;</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320"/>
        <w:spacing w:after="0" w:line="311"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12, 2023</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Ferguson</w:t>
            </w:r>
          </w:p>
        </w:tc>
      </w:tr>
      <w:tr>
        <w:trPr>
          <w:trHeight w:val="195"/>
        </w:trPr>
        <w:tc>
          <w:tcPr>
            <w:tcW w:w="3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60" w:type="dxa"/>
            <w:vAlign w:val="bottom"/>
          </w:tcPr>
          <w:p>
            <w:pPr>
              <w:jc w:val="center"/>
              <w:spacing w:after="0" w:line="195" w:lineRule="exact"/>
              <w:rPr>
                <w:sz w:val="20"/>
                <w:szCs w:val="20"/>
                <w:color w:val="auto"/>
              </w:rPr>
            </w:pPr>
            <w:r>
              <w:rPr>
                <w:rFonts w:ascii="Arial" w:cs="Arial" w:eastAsia="Arial" w:hAnsi="Arial"/>
                <w:sz w:val="18"/>
                <w:szCs w:val="18"/>
                <w:color w:val="auto"/>
                <w:w w:val="89"/>
              </w:rPr>
              <w:t>Matthew Ferguson</w:t>
            </w:r>
          </w:p>
        </w:tc>
      </w:tr>
      <w:tr>
        <w:trPr>
          <w:trHeight w:val="216"/>
        </w:trPr>
        <w:tc>
          <w:tcPr>
            <w:tcW w:w="3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77"/>
        </w:trPr>
        <w:tc>
          <w:tcPr>
            <w:tcW w:w="3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50" w:name="page51"/>
    <w:bookmarkEnd w:id="50"/>
    <w:p>
      <w:pPr>
        <w:ind w:left="89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In connection with the Quarterly Report of Aziyo Biologics, Inc. (the “Company”) on Form 10-Q for the quarterly period ended March 31, 2023 as filed with the Securities and Exchange Commission on the date hereof (the “Report”), I certify, pursuant to 18 U.S.C.</w:t>
      </w:r>
    </w:p>
    <w:p>
      <w:pPr>
        <w:ind w:left="140" w:hanging="132"/>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210" w:lineRule="exact"/>
        <w:rPr>
          <w:rFonts w:ascii="Arial" w:cs="Arial" w:eastAsia="Arial" w:hAnsi="Arial"/>
          <w:sz w:val="18"/>
          <w:szCs w:val="18"/>
          <w:color w:val="auto"/>
        </w:rPr>
      </w:pPr>
    </w:p>
    <w:p>
      <w:pPr>
        <w:ind w:left="980" w:hanging="648"/>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12, 2023</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 Randal Mills</w:t>
            </w:r>
          </w:p>
        </w:tc>
      </w:tr>
      <w:tr>
        <w:trPr>
          <w:trHeight w:val="195"/>
        </w:trPr>
        <w:tc>
          <w:tcPr>
            <w:tcW w:w="3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60" w:type="dxa"/>
            <w:vAlign w:val="bottom"/>
          </w:tcPr>
          <w:p>
            <w:pPr>
              <w:jc w:val="center"/>
              <w:spacing w:after="0" w:line="195" w:lineRule="exact"/>
              <w:rPr>
                <w:sz w:val="20"/>
                <w:szCs w:val="20"/>
                <w:color w:val="auto"/>
              </w:rPr>
            </w:pPr>
            <w:r>
              <w:rPr>
                <w:rFonts w:ascii="Arial" w:cs="Arial" w:eastAsia="Arial" w:hAnsi="Arial"/>
                <w:sz w:val="18"/>
                <w:szCs w:val="18"/>
                <w:color w:val="auto"/>
                <w:w w:val="94"/>
              </w:rPr>
              <w:t>C. Randal Mills</w:t>
            </w:r>
          </w:p>
        </w:tc>
      </w:tr>
      <w:tr>
        <w:trPr>
          <w:trHeight w:val="216"/>
        </w:trPr>
        <w:tc>
          <w:tcPr>
            <w:tcW w:w="3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ind w:left="89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March 31,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12, 2023</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Ferguson</w:t>
            </w:r>
          </w:p>
        </w:tc>
      </w:tr>
      <w:tr>
        <w:trPr>
          <w:trHeight w:val="195"/>
        </w:trPr>
        <w:tc>
          <w:tcPr>
            <w:tcW w:w="3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60" w:type="dxa"/>
            <w:vAlign w:val="bottom"/>
          </w:tcPr>
          <w:p>
            <w:pPr>
              <w:jc w:val="center"/>
              <w:spacing w:after="0" w:line="195" w:lineRule="exact"/>
              <w:rPr>
                <w:sz w:val="20"/>
                <w:szCs w:val="20"/>
                <w:color w:val="auto"/>
              </w:rPr>
            </w:pPr>
            <w:r>
              <w:rPr>
                <w:rFonts w:ascii="Arial" w:cs="Arial" w:eastAsia="Arial" w:hAnsi="Arial"/>
                <w:sz w:val="18"/>
                <w:szCs w:val="18"/>
                <w:color w:val="auto"/>
                <w:w w:val="89"/>
              </w:rPr>
              <w:t>Matthew Ferguson</w:t>
            </w:r>
          </w:p>
        </w:tc>
      </w:tr>
      <w:tr>
        <w:trPr>
          <w:trHeight w:val="216"/>
        </w:trPr>
        <w:tc>
          <w:tcPr>
            <w:tcW w:w="3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40"/>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
      <w:numFmt w:val="bullet"/>
      <w:start w:val="1"/>
    </w:lvl>
    <w:lvl w:ilvl="1">
      <w:lvlJc w:val="left"/>
      <w:lvlText w:val="(%2)"/>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62" Type="http://schemas.openxmlformats.org/officeDocument/2006/relationships/hyperlink" Target="https://www.sec.gov/Archives/edgar/data/1708527/000110465920114535/tm2023171d18_ex3-1.htm" TargetMode="External"/><Relationship Id="rId63" Type="http://schemas.openxmlformats.org/officeDocument/2006/relationships/hyperlink" Target="https://www.sec.gov/Archives/edgar/data/1708527/000110465920114535/tm2023171d18_ex3-2.htm" TargetMode="External"/><Relationship Id="rId64" Type="http://schemas.openxmlformats.org/officeDocument/2006/relationships/hyperlink" Target="https://www.sec.gov/Archives/edgar/data/1708527/000110465920104884/tm2023171d8_ex4-1.htm" TargetMode="External"/><Relationship Id="rId65" Type="http://schemas.openxmlformats.org/officeDocument/2006/relationships/hyperlink" Target="https://www.sec.gov/Archives/edgar/data/1708527/000110465920104884/tm2023171d8_ex4-2.htm" TargetMode="External"/><Relationship Id="rId66" Type="http://schemas.openxmlformats.org/officeDocument/2006/relationships/hyperlink" Target="https://www.sec.gov/Archives/edgar/data/1708527/000110465920110107/tm2023171d11_ex4-3.htm" TargetMode="External"/><Relationship Id="rId67" Type="http://schemas.openxmlformats.org/officeDocument/2006/relationships/hyperlink" Target="https://www.sec.gov/Archives/edgar/data/1708527/000110465922091214/tm2223445d1_ex4-1.htm" TargetMode="External"/><Relationship Id="rId68" Type="http://schemas.openxmlformats.org/officeDocument/2006/relationships/hyperlink" Target="https://www.sec.gov/Archives/edgar/data/1708527/000110465922091214/tm2223445d1_ex10-1.htm" TargetMode="External"/><Relationship Id="rId69" Type="http://schemas.openxmlformats.org/officeDocument/2006/relationships/hyperlink" Target="https://www.sec.gov/Archives/edgar/data/1708527/000110465922108538/tm2228193d1_ex10-1.htm" TargetMode="External"/><Relationship Id="rId70" Type="http://schemas.openxmlformats.org/officeDocument/2006/relationships/hyperlink" Target="https://www.sec.gov/Archives/edgar/data/1708527/000155837022017842/azyo-20220930xex10d3.htm" TargetMode="External"/><Relationship Id="rId71" Type="http://schemas.openxmlformats.org/officeDocument/2006/relationships/hyperlink" Target="https://www.sec.gov/Archives/edgar/data/1708527/000155837022017842/azyo-20220930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2023-05-12T16:42:03Z</dcterms:created>
  <dcterms:modified xsi:type="dcterms:W3CDTF">2023-05-12T16:42:03Z</dcterms:modified>
</cp:coreProperties>
</file>