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elut-20260813x8k.htm"/>
      <w:bookmarkStart w:id="1" w:name="kselut20260813x8k"/>
      <w:bookmarkEnd w:id="0"/>
      <w:bookmarkEnd w:id="1"/>
      <w:r>
        <w:rPr/>
        <w:t>​</w:t>
      </w:r>
    </w:p>
    <w:p>
      <w:pPr>
        <w:pStyle w:val="TextBody"/>
        <w:pBdr>
          <w:top w:val="single" w:sz="24" w:space="1" w:color="000000"/>
          <w:bottom w:val="single" w:sz="2"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995ef82e_723c_4d56_b0f4_c49c8b61a774"/>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CURRENT REPORT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Section 13 or 15(d)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of the Securities Exchange Act of 1934</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 of report (Date of earliest event reported): August 13,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46"/>
        </w:rPr>
      </w:pPr>
      <w:r>
        <w:rPr>
          <w:rFonts w:ascii="Times New Roman;Times;serif" w:hAnsi="Times New Roman;Times;serif"/>
          <w:b/>
          <w:sz w:val="46"/>
        </w:rPr>
        <w:t>ELUTIA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DeJD82iN-EW3lwQIh21Tzg_2_2"/>
      <w:bookmarkStart w:id="4" w:name="Tc_toIZ3K09y0iKXWRXEW9TKg_2_1"/>
      <w:bookmarkStart w:id="5" w:name="Tc_k-_OT4m6wU-9_ZNbxYmp9A_2_0"/>
      <w:bookmarkStart w:id="6" w:name="_ac5c1675_33a8_4643_a438_0b6b1f58cae7"/>
      <w:bookmarkStart w:id="7" w:name="Tc_DeJD82iN-EW3lwQIh21Tzg_2_2"/>
      <w:bookmarkStart w:id="8" w:name="Tc_toIZ3K09y0iKXWRXEW9TKg_2_1"/>
      <w:bookmarkStart w:id="9" w:name="Tc_k-_OT4m6wU-9_ZNbxYmp9A_2_0"/>
      <w:bookmarkStart w:id="10" w:name="_ac5c1675_33a8_4643_a438_0b6b1f58cae7"/>
      <w:bookmarkEnd w:id="7"/>
      <w:bookmarkEnd w:id="8"/>
      <w:bookmarkEnd w:id="9"/>
      <w:bookmarkEnd w:id="10"/>
    </w:p>
    <w:tbl>
      <w:tblPr>
        <w:tblW w:w="4848" w:type="dxa"/>
        <w:jc w:val="left"/>
        <w:tblInd w:w="0" w:type="dxa"/>
        <w:tblLayout w:type="fixed"/>
        <w:tblCellMar>
          <w:top w:w="0" w:type="dxa"/>
          <w:left w:w="0" w:type="dxa"/>
          <w:bottom w:w="0" w:type="dxa"/>
          <w:right w:w="0" w:type="dxa"/>
        </w:tblCellMar>
      </w:tblPr>
      <w:tblGrid>
        <w:gridCol w:w="2161"/>
        <w:gridCol w:w="1126"/>
        <w:gridCol w:w="156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001-39577</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47-4790334</w:t>
            </w:r>
          </w:p>
        </w:tc>
      </w:tr>
      <w:tr>
        <w:trPr/>
        <w:tc>
          <w:tcPr>
            <w:tcW w:w="21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w:t>
              <w:br/>
              <w:t>of incorporation)</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w:t>
              <w:br/>
              <w:t>File Number)</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11" w:name="Narr_SfFhXGj8w0uFmG2S_QsgCA"/>
      <w:bookmarkEnd w:id="11"/>
      <w:r>
        <w:rPr>
          <w:rFonts w:ascii="Times New Roman;Times;serif" w:hAnsi="Times New Roman;Times;serif"/>
          <w:b/>
          <w:sz w:val="18"/>
        </w:rPr>
        <w:t>20 Firstfield Road</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Gaithersburg, MD</w:t>
      </w:r>
      <w:r>
        <w:rPr>
          <w:rFonts w:ascii="Times New Roman;Times;serif" w:hAnsi="Times New Roman;Times;serif"/>
          <w:sz w:val="20"/>
        </w:rPr>
        <w:t xml:space="preserve"> </w:t>
      </w:r>
      <w:r>
        <w:rPr>
          <w:rFonts w:ascii="Times New Roman;Times;serif" w:hAnsi="Times New Roman;Times;serif"/>
          <w:b/>
          <w:sz w:val="18"/>
        </w:rPr>
        <w:t>20878</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(240) 247-1170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include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 w:name="Tc_aa615AR7K0-lbNdF_N2gYg_1_1"/>
      <w:bookmarkStart w:id="13" w:name="_25c73d1d_9874_4846_a76b_38e8765fadac"/>
      <w:bookmarkStart w:id="14" w:name="Tc_aa615AR7K0-lbNdF_N2gYg_1_1"/>
      <w:bookmarkStart w:id="15" w:name="_25c73d1d_9874_4846_a76b_38e8765fadac"/>
      <w:bookmarkEnd w:id="14"/>
      <w:bookmarkEnd w:id="15"/>
    </w:p>
    <w:tbl>
      <w:tblPr>
        <w:tblW w:w="6887" w:type="dxa"/>
        <w:jc w:val="left"/>
        <w:tblInd w:w="0" w:type="dxa"/>
        <w:tblLayout w:type="fixed"/>
        <w:tblCellMar>
          <w:top w:w="0" w:type="dxa"/>
          <w:left w:w="0" w:type="dxa"/>
          <w:bottom w:w="0" w:type="dxa"/>
          <w:right w:w="0" w:type="dxa"/>
        </w:tblCellMar>
      </w:tblPr>
      <w:tblGrid>
        <w:gridCol w:w="331"/>
        <w:gridCol w:w="655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0185" cy="29210"/>
                      <wp:effectExtent l="0" t="0" r="0" b="0"/>
                      <wp:wrapNone/>
                      <wp:docPr id="1" name="Frame1"/>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163060" cy="29210"/>
                      <wp:effectExtent l="0" t="0" r="0" b="0"/>
                      <wp:wrapNone/>
                      <wp:docPr id="2" name="Frame2"/>
                      <a:graphic xmlns:a="http://schemas.openxmlformats.org/drawingml/2006/main">
                        <a:graphicData uri="http://schemas.microsoft.com/office/word/2010/wordprocessingShape">
                          <wps:wsp>
                            <wps:cNvSpPr txBox="1"/>
                            <wps:spPr>
                              <a:xfrm>
                                <a:off x="0" y="0"/>
                                <a:ext cx="4163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65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Written communications pursuant to Rule 425 under the Securities Act (17 CFR 230.425) </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6" w:name="Tc_9PSN-I8b10efBy6c0JL00A_1_1"/>
      <w:bookmarkStart w:id="17" w:name="_9717c8e3_5e6a_4302_865f_bedc511f862c"/>
      <w:bookmarkStart w:id="18" w:name="Tc_9PSN-I8b10efBy6c0JL00A_1_1"/>
      <w:bookmarkStart w:id="19" w:name="_9717c8e3_5e6a_4302_865f_bedc511f862c"/>
      <w:bookmarkEnd w:id="18"/>
      <w:bookmarkEnd w:id="19"/>
    </w:p>
    <w:tbl>
      <w:tblPr>
        <w:tblW w:w="6887" w:type="dxa"/>
        <w:jc w:val="left"/>
        <w:tblInd w:w="0" w:type="dxa"/>
        <w:tblLayout w:type="fixed"/>
        <w:tblCellMar>
          <w:top w:w="0" w:type="dxa"/>
          <w:left w:w="0" w:type="dxa"/>
          <w:bottom w:w="0" w:type="dxa"/>
          <w:right w:w="0" w:type="dxa"/>
        </w:tblCellMar>
      </w:tblPr>
      <w:tblGrid>
        <w:gridCol w:w="331"/>
        <w:gridCol w:w="655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0185" cy="29210"/>
                      <wp:effectExtent l="0" t="0" r="0" b="0"/>
                      <wp:wrapNone/>
                      <wp:docPr id="3" name="Frame3"/>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163060" cy="29210"/>
                      <wp:effectExtent l="0" t="0" r="0" b="0"/>
                      <wp:wrapNone/>
                      <wp:docPr id="4" name="Frame4"/>
                      <a:graphic xmlns:a="http://schemas.openxmlformats.org/drawingml/2006/main">
                        <a:graphicData uri="http://schemas.microsoft.com/office/word/2010/wordprocessingShape">
                          <wps:wsp>
                            <wps:cNvSpPr txBox="1"/>
                            <wps:spPr>
                              <a:xfrm>
                                <a:off x="0" y="0"/>
                                <a:ext cx="4163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65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Soliciting material pursuant to Rule 14a-12 under the Exchange Act (17 CFR 240.14a-12) </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 w:name="Tc_2orOLn-YmEODLEIOAdAmxA_1_1"/>
      <w:bookmarkStart w:id="21" w:name="_1aa53a83_7957_49a4_bbb8_1d8b89f4883a"/>
      <w:bookmarkStart w:id="22" w:name="Tc_2orOLn-YmEODLEIOAdAmxA_1_1"/>
      <w:bookmarkStart w:id="23" w:name="_1aa53a83_7957_49a4_bbb8_1d8b89f4883a"/>
      <w:bookmarkEnd w:id="22"/>
      <w:bookmarkEnd w:id="23"/>
    </w:p>
    <w:tbl>
      <w:tblPr>
        <w:tblW w:w="8477" w:type="dxa"/>
        <w:jc w:val="left"/>
        <w:tblInd w:w="0" w:type="dxa"/>
        <w:tblLayout w:type="fixed"/>
        <w:tblCellMar>
          <w:top w:w="0" w:type="dxa"/>
          <w:left w:w="0" w:type="dxa"/>
          <w:bottom w:w="0" w:type="dxa"/>
          <w:right w:w="0" w:type="dxa"/>
        </w:tblCellMar>
      </w:tblPr>
      <w:tblGrid>
        <w:gridCol w:w="331"/>
        <w:gridCol w:w="814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0185" cy="29210"/>
                      <wp:effectExtent l="0" t="0" r="0" b="0"/>
                      <wp:wrapNone/>
                      <wp:docPr id="5" name="Frame5"/>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172710" cy="29210"/>
                      <wp:effectExtent l="0" t="0" r="0" b="0"/>
                      <wp:wrapNone/>
                      <wp:docPr id="6" name="Frame6"/>
                      <a:graphic xmlns:a="http://schemas.openxmlformats.org/drawingml/2006/main">
                        <a:graphicData uri="http://schemas.microsoft.com/office/word/2010/wordprocessingShape">
                          <wps:wsp>
                            <wps:cNvSpPr txBox="1"/>
                            <wps:spPr>
                              <a:xfrm>
                                <a:off x="0" y="0"/>
                                <a:ext cx="517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81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Pre-commencement communications pursuant to Rule 14d-2(b) under the Exchange Act (17 CFR 240.14d-2(b)) </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4" w:name="Tc_HgCRzWD8E0uNkiRH26cvHA_1_1"/>
      <w:bookmarkStart w:id="25" w:name="_cd75ab8b_a273_45bf_a2d0_ce2120262987"/>
      <w:bookmarkStart w:id="26" w:name="Tc_HgCRzWD8E0uNkiRH26cvHA_1_1"/>
      <w:bookmarkStart w:id="27" w:name="_cd75ab8b_a273_45bf_a2d0_ce2120262987"/>
      <w:bookmarkEnd w:id="26"/>
      <w:bookmarkEnd w:id="27"/>
    </w:p>
    <w:tbl>
      <w:tblPr>
        <w:tblW w:w="8417" w:type="dxa"/>
        <w:jc w:val="left"/>
        <w:tblInd w:w="0" w:type="dxa"/>
        <w:tblLayout w:type="fixed"/>
        <w:tblCellMar>
          <w:top w:w="0" w:type="dxa"/>
          <w:left w:w="0" w:type="dxa"/>
          <w:bottom w:w="0" w:type="dxa"/>
          <w:right w:w="0" w:type="dxa"/>
        </w:tblCellMar>
      </w:tblPr>
      <w:tblGrid>
        <w:gridCol w:w="331"/>
        <w:gridCol w:w="808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0185" cy="29210"/>
                      <wp:effectExtent l="0" t="0" r="0" b="0"/>
                      <wp:wrapNone/>
                      <wp:docPr id="7" name="Frame7"/>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134610" cy="29210"/>
                      <wp:effectExtent l="0" t="0" r="0" b="0"/>
                      <wp:wrapNone/>
                      <wp:docPr id="8" name="Frame8"/>
                      <a:graphic xmlns:a="http://schemas.openxmlformats.org/drawingml/2006/main">
                        <a:graphicData uri="http://schemas.microsoft.com/office/word/2010/wordprocessingShape">
                          <wps:wsp>
                            <wps:cNvSpPr txBox="1"/>
                            <wps:spPr>
                              <a:xfrm>
                                <a:off x="0" y="0"/>
                                <a:ext cx="5134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8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Pre-commencement communications pursuant to Rule 13e-4(c) under the Exchange Act (17 CFR 240.13e-4(c))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8" w:name="Tc_yYEJpn7k1ESlO0nPOHjkpg_2_4"/>
      <w:bookmarkStart w:id="29" w:name="Tc_Wwpo8xcMM0CJ26PHf8Acsw_1_4"/>
      <w:bookmarkStart w:id="30" w:name="Tc_j-kwM1DZUUi4kfjgfT-_0g_1_2"/>
      <w:bookmarkStart w:id="31" w:name="Tc_LF5gWAbqs02AZv5rc420GQ_1_0"/>
      <w:bookmarkStart w:id="32" w:name="_35485c5a_d0be_41c5_bcf6_62e3f89fa978"/>
      <w:bookmarkStart w:id="33" w:name="Tc_yYEJpn7k1ESlO0nPOHjkpg_2_4"/>
      <w:bookmarkStart w:id="34" w:name="Tc_Wwpo8xcMM0CJ26PHf8Acsw_1_4"/>
      <w:bookmarkStart w:id="35" w:name="Tc_j-kwM1DZUUi4kfjgfT-_0g_1_2"/>
      <w:bookmarkStart w:id="36" w:name="Tc_LF5gWAbqs02AZv5rc420GQ_1_0"/>
      <w:bookmarkStart w:id="37" w:name="_35485c5a_d0be_41c5_bcf6_62e3f89fa978"/>
      <w:bookmarkEnd w:id="33"/>
      <w:bookmarkEnd w:id="34"/>
      <w:bookmarkEnd w:id="35"/>
      <w:bookmarkEnd w:id="36"/>
      <w:bookmarkEnd w:id="37"/>
    </w:p>
    <w:tbl>
      <w:tblPr>
        <w:tblW w:w="8045" w:type="dxa"/>
        <w:jc w:val="left"/>
        <w:tblInd w:w="0" w:type="dxa"/>
        <w:tblLayout w:type="fixed"/>
        <w:tblCellMar>
          <w:top w:w="0" w:type="dxa"/>
          <w:left w:w="0" w:type="dxa"/>
          <w:bottom w:w="0" w:type="dxa"/>
          <w:right w:w="0" w:type="dxa"/>
        </w:tblCellMar>
      </w:tblPr>
      <w:tblGrid>
        <w:gridCol w:w="3811"/>
        <w:gridCol w:w="346"/>
        <w:gridCol w:w="1441"/>
        <w:gridCol w:w="346"/>
        <w:gridCol w:w="210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419985" cy="29210"/>
                      <wp:effectExtent l="0" t="0" r="0" b="0"/>
                      <wp:wrapNone/>
                      <wp:docPr id="9" name="Frame9"/>
                      <a:graphic xmlns:a="http://schemas.openxmlformats.org/drawingml/2006/main">
                        <a:graphicData uri="http://schemas.microsoft.com/office/word/2010/wordprocessingShape">
                          <wps:wsp>
                            <wps:cNvSpPr txBox="1"/>
                            <wps:spPr>
                              <a:xfrm>
                                <a:off x="0" y="0"/>
                                <a:ext cx="2419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29210"/>
                      <wp:effectExtent l="0" t="0" r="0" b="0"/>
                      <wp:wrapNone/>
                      <wp:docPr id="10" name="Frame1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15035" cy="29210"/>
                      <wp:effectExtent l="0" t="0" r="0" b="0"/>
                      <wp:wrapNone/>
                      <wp:docPr id="11" name="Frame11"/>
                      <a:graphic xmlns:a="http://schemas.openxmlformats.org/drawingml/2006/main">
                        <a:graphicData uri="http://schemas.microsoft.com/office/word/2010/wordprocessingShape">
                          <wps:wsp>
                            <wps:cNvSpPr txBox="1"/>
                            <wps:spPr>
                              <a:xfrm>
                                <a:off x="0" y="0"/>
                                <a:ext cx="915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29210"/>
                      <wp:effectExtent l="0" t="0" r="0" b="0"/>
                      <wp:wrapNone/>
                      <wp:docPr id="12" name="Frame1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4135" cy="29210"/>
                      <wp:effectExtent l="0" t="0" r="0" b="0"/>
                      <wp:wrapNone/>
                      <wp:docPr id="13" name="Frame13"/>
                      <a:graphic xmlns:a="http://schemas.openxmlformats.org/drawingml/2006/main">
                        <a:graphicData uri="http://schemas.microsoft.com/office/word/2010/wordprocessingShape">
                          <wps:wsp>
                            <wps:cNvSpPr txBox="1"/>
                            <wps:spPr>
                              <a:xfrm>
                                <a:off x="0" y="0"/>
                                <a:ext cx="1334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1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w:t>
              <w:br/>
              <w:t>on which registered</w:t>
            </w:r>
          </w:p>
        </w:tc>
      </w:tr>
      <w:tr>
        <w:trPr/>
        <w:tc>
          <w:tcPr>
            <w:tcW w:w="38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A Common Stock, $0.001 par value per share</w:t>
            </w:r>
          </w:p>
        </w:tc>
        <w:tc>
          <w:tcPr>
            <w:tcW w:w="346" w:type="dxa"/>
            <w:tcBorders/>
            <w:vAlign w:val="center"/>
          </w:tcPr>
          <w:p>
            <w:pPr>
              <w:pStyle w:val="TableContents"/>
              <w:bidi w:val="0"/>
              <w:spacing w:before="0" w:after="0"/>
              <w:ind w:left="0" w:right="0" w:hanging="0"/>
              <w:jc w:val="left"/>
              <w:rPr/>
            </w:pPr>
            <w:r>
              <w:rPr/>
              <w:t> </w:t>
            </w:r>
          </w:p>
        </w:tc>
        <w:tc>
          <w:tcPr>
            <w:tcW w:w="14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ELUT</w:t>
            </w:r>
          </w:p>
        </w:tc>
        <w:tc>
          <w:tcPr>
            <w:tcW w:w="346" w:type="dxa"/>
            <w:tcBorders/>
            <w:vAlign w:val="center"/>
          </w:tcPr>
          <w:p>
            <w:pPr>
              <w:pStyle w:val="TableContents"/>
              <w:bidi w:val="0"/>
              <w:spacing w:before="0" w:after="0"/>
              <w:ind w:left="0" w:right="0" w:hanging="0"/>
              <w:jc w:val="left"/>
              <w:rPr/>
            </w:pPr>
            <w:r>
              <w:rPr/>
              <w:t> </w:t>
            </w:r>
          </w:p>
        </w:tc>
        <w:tc>
          <w:tcPr>
            <w:tcW w:w="21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ind w:left="600" w:right="600" w:hanging="0"/>
        <w:jc w:val="left"/>
        <w:rPr>
          <w:sz w:val="4"/>
          <w:szCs w:val="4"/>
        </w:rPr>
      </w:pPr>
      <w:r>
        <w:rPr>
          <w:sz w:val="4"/>
          <w:szCs w:val="4"/>
        </w:rPr>
      </w:r>
      <w:bookmarkStart w:id="38" w:name="_317e1f83_3cef_41e0_9802_7553ecc16e02"/>
      <w:bookmarkStart w:id="39" w:name="_317e1f83_3cef_41e0_9802_7553ecc16e02"/>
      <w:bookmarkEnd w:id="39"/>
    </w:p>
    <w:tbl>
      <w:tblPr>
        <w:tblW w:w="5432" w:type="dxa"/>
        <w:jc w:val="left"/>
        <w:tblInd w:w="0" w:type="dxa"/>
        <w:tblLayout w:type="fixed"/>
        <w:tblCellMar>
          <w:top w:w="0" w:type="dxa"/>
          <w:left w:w="0" w:type="dxa"/>
          <w:bottom w:w="0" w:type="dxa"/>
          <w:right w:w="0" w:type="dxa"/>
        </w:tblCellMar>
      </w:tblPr>
      <w:tblGrid>
        <w:gridCol w:w="976"/>
        <w:gridCol w:w="4456"/>
      </w:tblGrid>
      <w:tr>
        <w:trPr/>
        <w:tc>
          <w:tcPr>
            <w:tcW w:w="976" w:type="dxa"/>
            <w:tcBorders/>
            <w:vAlign w:val="center"/>
          </w:tcPr>
          <w:p>
            <w:pPr>
              <w:pStyle w:val="TableContents"/>
              <w:bidi w:val="0"/>
              <w:spacing w:before="0" w:after="240"/>
              <w:jc w:val="both"/>
              <w:rPr>
                <w:rFonts w:ascii="Times New Roman;Times;serif" w:hAnsi="Times New Roman;Times;serif"/>
                <w:b/>
                <w:sz w:val="21"/>
              </w:rPr>
            </w:pPr>
            <w:r>
              <w:rPr>
                <w:rFonts w:ascii="Times New Roman;Times;serif" w:hAnsi="Times New Roman;Times;serif"/>
                <w:b/>
                <w:sz w:val="21"/>
              </w:rPr>
              <w:t>Item 2.02</w:t>
            </w:r>
          </w:p>
        </w:tc>
        <w:tc>
          <w:tcPr>
            <w:tcW w:w="4456" w:type="dxa"/>
            <w:tcBorders/>
            <w:vAlign w:val="center"/>
          </w:tcPr>
          <w:p>
            <w:pPr>
              <w:pStyle w:val="TableContents"/>
              <w:bidi w:val="0"/>
              <w:spacing w:before="0" w:after="240"/>
              <w:jc w:val="both"/>
              <w:rPr>
                <w:rFonts w:ascii="Times New Roman;Times;serif" w:hAnsi="Times New Roman;Times;serif"/>
                <w:b/>
                <w:sz w:val="21"/>
              </w:rPr>
            </w:pPr>
            <w:r>
              <w:rPr>
                <w:rFonts w:ascii="Times New Roman;Times;serif" w:hAnsi="Times New Roman;Times;serif"/>
                <w:b/>
                <w:sz w:val="21"/>
              </w:rPr>
              <w:t>Results of Operations and Financial Condition.</w:t>
            </w:r>
          </w:p>
        </w:tc>
      </w:tr>
    </w:tbl>
    <w:p>
      <w:pPr>
        <w:pStyle w:val="TextBody"/>
        <w:bidi w:val="0"/>
        <w:spacing w:before="0" w:after="0"/>
        <w:ind w:left="0" w:right="0" w:firstLine="720"/>
        <w:jc w:val="both"/>
        <w:rPr>
          <w:rFonts w:ascii="Times New Roman;Times;serif" w:hAnsi="Times New Roman;Times;serif"/>
          <w:sz w:val="21"/>
        </w:rPr>
      </w:pPr>
      <w:r>
        <w:rPr>
          <w:rFonts w:ascii="Times New Roman;Times;serif" w:hAnsi="Times New Roman;Times;serif"/>
          <w:sz w:val="21"/>
        </w:rPr>
        <w:t>On August 13, 2026, Elutia Inc. (the “Company” or “Elutia”) issued a press release announcing its results for the second quarter ended June 30, 2026. A copy of the Company’s press release is furnished as Exhibit 99.1 to this Current Report on Form 8-K and is incorporated herein by reference.</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1"/>
        </w:rPr>
      </w:pPr>
      <w:r>
        <w:rPr>
          <w:rFonts w:ascii="Times New Roman;Times;serif" w:hAnsi="Times New Roman;Times;serif"/>
          <w:sz w:val="21"/>
        </w:rPr>
        <w:t>The information in this Item 2.02 of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tbl>
      <w:tblPr>
        <w:tblW w:w="4322" w:type="dxa"/>
        <w:jc w:val="left"/>
        <w:tblInd w:w="0" w:type="dxa"/>
        <w:tblLayout w:type="fixed"/>
        <w:tblCellMar>
          <w:top w:w="0" w:type="dxa"/>
          <w:left w:w="0" w:type="dxa"/>
          <w:bottom w:w="0" w:type="dxa"/>
          <w:right w:w="0" w:type="dxa"/>
        </w:tblCellMar>
      </w:tblPr>
      <w:tblGrid>
        <w:gridCol w:w="976"/>
        <w:gridCol w:w="3346"/>
      </w:tblGrid>
      <w:tr>
        <w:trPr/>
        <w:tc>
          <w:tcPr>
            <w:tcW w:w="976" w:type="dxa"/>
            <w:tcBorders/>
            <w:vAlign w:val="center"/>
          </w:tcPr>
          <w:p>
            <w:pPr>
              <w:pStyle w:val="TableContents"/>
              <w:bidi w:val="0"/>
              <w:spacing w:before="0" w:after="240"/>
              <w:jc w:val="both"/>
              <w:rPr>
                <w:rFonts w:ascii="Times New Roman;Times;serif" w:hAnsi="Times New Roman;Times;serif"/>
                <w:b/>
                <w:sz w:val="21"/>
              </w:rPr>
            </w:pPr>
            <w:r>
              <w:rPr>
                <w:rFonts w:ascii="Times New Roman;Times;serif" w:hAnsi="Times New Roman;Times;serif"/>
                <w:b/>
                <w:sz w:val="21"/>
              </w:rPr>
              <w:t>Item 9.01</w:t>
            </w:r>
          </w:p>
        </w:tc>
        <w:tc>
          <w:tcPr>
            <w:tcW w:w="3346" w:type="dxa"/>
            <w:tcBorders/>
            <w:vAlign w:val="center"/>
          </w:tcPr>
          <w:p>
            <w:pPr>
              <w:pStyle w:val="TableContents"/>
              <w:bidi w:val="0"/>
              <w:spacing w:before="0" w:after="240"/>
              <w:jc w:val="both"/>
              <w:rPr>
                <w:rFonts w:ascii="Times New Roman;Times;serif" w:hAnsi="Times New Roman;Times;serif"/>
                <w:b/>
                <w:sz w:val="21"/>
              </w:rPr>
            </w:pPr>
            <w:r>
              <w:rPr>
                <w:rFonts w:ascii="Times New Roman;Times;serif" w:hAnsi="Times New Roman;Times;serif"/>
                <w:b/>
                <w:sz w:val="21"/>
              </w:rPr>
              <w:t>Financial Statements and Exhibits.</w:t>
            </w:r>
          </w:p>
        </w:tc>
      </w:tr>
    </w:tbl>
    <w:tbl>
      <w:tblPr>
        <w:tblW w:w="1292" w:type="dxa"/>
        <w:jc w:val="left"/>
        <w:tblInd w:w="0" w:type="dxa"/>
        <w:tblLayout w:type="fixed"/>
        <w:tblCellMar>
          <w:top w:w="0" w:type="dxa"/>
          <w:left w:w="0" w:type="dxa"/>
          <w:bottom w:w="0" w:type="dxa"/>
          <w:right w:w="0" w:type="dxa"/>
        </w:tblCellMar>
      </w:tblPr>
      <w:tblGrid>
        <w:gridCol w:w="376"/>
        <w:gridCol w:w="916"/>
      </w:tblGrid>
      <w:tr>
        <w:trPr/>
        <w:tc>
          <w:tcPr>
            <w:tcW w:w="376" w:type="dxa"/>
            <w:tcBorders/>
            <w:vAlign w:val="center"/>
          </w:tcPr>
          <w:p>
            <w:pPr>
              <w:pStyle w:val="TableContents"/>
              <w:bidi w:val="0"/>
              <w:spacing w:before="0" w:after="240"/>
              <w:jc w:val="both"/>
              <w:rPr>
                <w:rFonts w:ascii="Times New Roman;Times;serif" w:hAnsi="Times New Roman;Times;serif"/>
                <w:sz w:val="21"/>
              </w:rPr>
            </w:pPr>
            <w:r>
              <w:rPr>
                <w:rFonts w:ascii="Times New Roman;Times;serif" w:hAnsi="Times New Roman;Times;serif"/>
                <w:sz w:val="21"/>
              </w:rPr>
              <w:t>(d)</w:t>
            </w:r>
          </w:p>
        </w:tc>
        <w:tc>
          <w:tcPr>
            <w:tcW w:w="916" w:type="dxa"/>
            <w:tcBorders/>
            <w:vAlign w:val="center"/>
          </w:tcPr>
          <w:p>
            <w:pPr>
              <w:pStyle w:val="TableContents"/>
              <w:bidi w:val="0"/>
              <w:spacing w:before="0" w:after="240"/>
              <w:jc w:val="both"/>
              <w:rPr>
                <w:rFonts w:ascii="Times New Roman;Times;serif" w:hAnsi="Times New Roman;Times;serif"/>
                <w:sz w:val="21"/>
              </w:rPr>
            </w:pPr>
            <w:r>
              <w:rPr>
                <w:rFonts w:ascii="Times New Roman;Times;serif" w:hAnsi="Times New Roman;Times;serif"/>
                <w:sz w:val="21"/>
              </w:rPr>
              <w:t>Exhibits.</w:t>
            </w:r>
          </w:p>
        </w:tc>
      </w:tr>
    </w:tbl>
    <w:tbl>
      <w:tblPr>
        <w:tblW w:w="7521" w:type="dxa"/>
        <w:jc w:val="left"/>
        <w:tblInd w:w="0" w:type="dxa"/>
        <w:tblLayout w:type="fixed"/>
        <w:tblCellMar>
          <w:top w:w="0" w:type="dxa"/>
          <w:left w:w="0" w:type="dxa"/>
          <w:bottom w:w="0" w:type="dxa"/>
          <w:right w:w="0" w:type="dxa"/>
        </w:tblCellMar>
      </w:tblPr>
      <w:tblGrid>
        <w:gridCol w:w="1171"/>
        <w:gridCol w:w="109"/>
        <w:gridCol w:w="6241"/>
      </w:tblGrid>
      <w:tr>
        <w:trPr/>
        <w:tc>
          <w:tcPr>
            <w:tcW w:w="1171" w:type="dxa"/>
            <w:tcBorders/>
            <w:vAlign w:val="center"/>
          </w:tcPr>
          <w:p>
            <w:pPr>
              <w:pStyle w:val="TableContents"/>
              <w:bidi w:val="0"/>
              <w:spacing w:before="0" w:after="0"/>
              <w:ind w:left="0" w:right="0" w:hanging="0"/>
              <w:jc w:val="both"/>
              <w:rPr>
                <w:rFonts w:ascii="Times New Roman;Times;serif" w:hAnsi="Times New Roman;Times;serif"/>
                <w:b/>
                <w:sz w:val="21"/>
              </w:rPr>
            </w:pPr>
            <w:r>
              <w:rPr>
                <w:rFonts w:ascii="Times New Roman;Times;serif" w:hAnsi="Times New Roman;Times;serif"/>
                <w:b/>
                <w:sz w:val="21"/>
              </w:rPr>
              <w:t>Exhibit No.</w:t>
            </w:r>
          </w:p>
        </w:tc>
        <w:tc>
          <w:tcPr>
            <w:tcW w:w="109" w:type="dxa"/>
            <w:tcBorders/>
            <w:vAlign w:val="center"/>
          </w:tcPr>
          <w:p>
            <w:pPr>
              <w:pStyle w:val="TableContents"/>
              <w:bidi w:val="0"/>
              <w:spacing w:before="0" w:after="0"/>
              <w:ind w:left="0" w:right="0" w:hanging="0"/>
              <w:jc w:val="both"/>
              <w:rPr/>
            </w:pPr>
            <w:r>
              <w:rPr/>
              <w:t>​</w:t>
            </w:r>
          </w:p>
        </w:tc>
        <w:tc>
          <w:tcPr>
            <w:tcW w:w="6241" w:type="dxa"/>
            <w:tcBorders/>
            <w:vAlign w:val="center"/>
          </w:tcPr>
          <w:p>
            <w:pPr>
              <w:pStyle w:val="TableContents"/>
              <w:bidi w:val="0"/>
              <w:spacing w:before="0" w:after="0"/>
              <w:ind w:left="0" w:right="0" w:hanging="0"/>
              <w:jc w:val="both"/>
              <w:rPr>
                <w:rFonts w:ascii="Times New Roman;Times;serif" w:hAnsi="Times New Roman;Times;serif"/>
                <w:b/>
                <w:sz w:val="21"/>
              </w:rPr>
            </w:pPr>
            <w:r>
              <w:rPr>
                <w:rFonts w:ascii="Times New Roman;Times;serif" w:hAnsi="Times New Roman;Times;serif"/>
                <w:b/>
                <w:sz w:val="21"/>
              </w:rPr>
              <w:t>Exhibit Description</w:t>
            </w:r>
          </w:p>
        </w:tc>
      </w:tr>
      <w:tr>
        <w:trPr/>
        <w:tc>
          <w:tcPr>
            <w:tcW w:w="11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241" w:type="dxa"/>
            <w:tcBorders/>
            <w:vAlign w:val="center"/>
          </w:tcPr>
          <w:p>
            <w:pPr>
              <w:pStyle w:val="TableContents"/>
              <w:bidi w:val="0"/>
              <w:spacing w:before="0" w:after="0"/>
              <w:ind w:left="0" w:right="0" w:hanging="0"/>
              <w:jc w:val="both"/>
              <w:rPr/>
            </w:pPr>
            <w:r>
              <w:rPr/>
              <w:t>​</w:t>
            </w:r>
          </w:p>
        </w:tc>
      </w:tr>
      <w:tr>
        <w:trPr/>
        <w:tc>
          <w:tcPr>
            <w:tcW w:w="1171"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99.1</w:t>
            </w:r>
          </w:p>
        </w:tc>
        <w:tc>
          <w:tcPr>
            <w:tcW w:w="109" w:type="dxa"/>
            <w:tcBorders/>
            <w:vAlign w:val="center"/>
          </w:tcPr>
          <w:p>
            <w:pPr>
              <w:pStyle w:val="TableContents"/>
              <w:bidi w:val="0"/>
              <w:spacing w:before="0" w:after="0"/>
              <w:ind w:left="0" w:right="0" w:hanging="0"/>
              <w:jc w:val="both"/>
              <w:rPr/>
            </w:pPr>
            <w:r>
              <w:rPr/>
              <w:t>​</w:t>
            </w:r>
          </w:p>
        </w:tc>
        <w:tc>
          <w:tcPr>
            <w:tcW w:w="6241" w:type="dxa"/>
            <w:tcBorders/>
            <w:vAlign w:val="center"/>
          </w:tcPr>
          <w:p>
            <w:pPr>
              <w:pStyle w:val="TableContents"/>
              <w:bidi w:val="0"/>
              <w:spacing w:before="0" w:after="0"/>
              <w:ind w:left="0" w:right="0" w:hanging="0"/>
              <w:jc w:val="both"/>
              <w:rPr/>
            </w:pPr>
            <w:hyperlink w:anchor="elut-20260813xex99d1.htm">
              <w:r>
                <w:rPr>
                  <w:rStyle w:val="InternetLink"/>
                  <w:rFonts w:ascii="Times New Roman;Times;serif" w:hAnsi="Times New Roman;Times;serif"/>
                  <w:b w:val="false"/>
                  <w:i w:val="false"/>
                  <w:caps w:val="false"/>
                  <w:smallCaps w:val="false"/>
                  <w:sz w:val="20"/>
                </w:rPr>
                <w:t>Press Release of Elutia Inc. dated August 13, 2026</w:t>
              </w:r>
            </w:hyperlink>
          </w:p>
        </w:tc>
      </w:tr>
      <w:tr>
        <w:trPr/>
        <w:tc>
          <w:tcPr>
            <w:tcW w:w="11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241" w:type="dxa"/>
            <w:tcBorders/>
            <w:vAlign w:val="center"/>
          </w:tcPr>
          <w:p>
            <w:pPr>
              <w:pStyle w:val="TableContents"/>
              <w:bidi w:val="0"/>
              <w:spacing w:before="0" w:after="0"/>
              <w:ind w:left="0" w:right="0" w:hanging="0"/>
              <w:jc w:val="both"/>
              <w:rPr/>
            </w:pPr>
            <w:r>
              <w:rPr/>
              <w:t>​</w:t>
            </w:r>
          </w:p>
        </w:tc>
      </w:tr>
      <w:tr>
        <w:trPr/>
        <w:tc>
          <w:tcPr>
            <w:tcW w:w="1171"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104</w:t>
            </w:r>
          </w:p>
        </w:tc>
        <w:tc>
          <w:tcPr>
            <w:tcW w:w="109" w:type="dxa"/>
            <w:tcBorders/>
            <w:vAlign w:val="center"/>
          </w:tcPr>
          <w:p>
            <w:pPr>
              <w:pStyle w:val="TableContents"/>
              <w:bidi w:val="0"/>
              <w:spacing w:before="0" w:after="0"/>
              <w:ind w:left="0" w:right="0" w:hanging="0"/>
              <w:jc w:val="both"/>
              <w:rPr/>
            </w:pPr>
            <w:r>
              <w:rPr/>
              <w:t>​</w:t>
            </w:r>
          </w:p>
        </w:tc>
        <w:tc>
          <w:tcPr>
            <w:tcW w:w="6241"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Cover Page Interactive Data File (formatted as Inline XBRL document)</w:t>
            </w:r>
          </w:p>
        </w:tc>
      </w:tr>
    </w:tbl>
    <w:p>
      <w:pPr>
        <w:pStyle w:val="TextBody"/>
        <w:bidi w:val="0"/>
        <w:spacing w:before="0" w:after="0"/>
        <w:ind w:left="0" w:right="0" w:hanging="0"/>
        <w:jc w:val="left"/>
        <w:rPr/>
      </w:pPr>
      <w:r>
        <w:rPr/>
        <w:t>​</w:t>
      </w:r>
    </w:p>
    <w:p>
      <w:pPr>
        <w:pStyle w:val="TextBody"/>
        <w:pBdr/>
        <w:bidi w:val="0"/>
        <w:spacing w:before="0" w:after="240"/>
        <w:ind w:left="0" w:right="0" w:hanging="1440"/>
        <w:jc w:val="left"/>
        <w:rPr/>
      </w:pPr>
      <w:r>
        <w:rPr/>
        <w:t>​</w:t>
      </w:r>
    </w:p>
    <w:p>
      <w:pPr>
        <w:pStyle w:val="TextBody"/>
        <w:bidi w:val="0"/>
        <w:spacing w:before="0" w:after="0"/>
        <w:ind w:left="0" w:right="0" w:hanging="0"/>
        <w:jc w:val="left"/>
        <w:rPr/>
      </w:pPr>
      <w:bookmarkStart w:id="40" w:name="_21eb1bc3_3850_4b6a_818b_7765744c1731"/>
      <w:bookmarkEnd w:id="40"/>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4368" w:type="dxa"/>
        <w:jc w:val="left"/>
        <w:tblInd w:w="0" w:type="dxa"/>
        <w:tblLayout w:type="fixed"/>
        <w:tblCellMar>
          <w:top w:w="0" w:type="dxa"/>
          <w:left w:w="0" w:type="dxa"/>
          <w:bottom w:w="0" w:type="dxa"/>
          <w:right w:w="0" w:type="dxa"/>
        </w:tblCellMar>
      </w:tblPr>
      <w:tblGrid>
        <w:gridCol w:w="1951"/>
        <w:gridCol w:w="406"/>
        <w:gridCol w:w="201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 </w:t>
            </w:r>
          </w:p>
        </w:tc>
        <w:tc>
          <w:tcPr>
            <w:tcW w:w="24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ELUTIA INC.</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Ferguson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Ferguson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b/>
          <w:sz w:val="20"/>
        </w:rPr>
      </w:pPr>
      <w:bookmarkStart w:id="41" w:name="elut-20260813xex99d1.htm"/>
      <w:bookmarkStart w:id="42" w:name="kselut20260813xex99d1"/>
      <w:bookmarkEnd w:id="41"/>
      <w:bookmarkEnd w:id="42"/>
      <w:r>
        <w:rPr>
          <w:rFonts w:ascii="Arial;Helvetica;sans-serif" w:hAnsi="Arial;Helvetica;sans-serif"/>
          <w:b/>
          <w:sz w:val="20"/>
        </w:rPr>
        <w:t>Exhibit 99.1</w:t>
      </w:r>
      <w:r>
        <w:br w:type="page"/>
      </w:r>
    </w:p>
    <w:p>
      <w:pPr>
        <w:pStyle w:val="TextBody"/>
        <w:bidi w:val="0"/>
        <w:spacing w:before="0" w:after="0"/>
        <w:ind w:left="0" w:right="0" w:hanging="0"/>
        <w:jc w:val="left"/>
        <w:rPr/>
      </w:pPr>
      <w:r>
        <w:rPr/>
        <w:drawing>
          <wp:inline distT="0" distB="0" distL="0" distR="0">
            <wp:extent cx="1809750" cy="565150"/>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1809750" cy="565150"/>
                    </a:xfrm>
                    <a:prstGeom prst="rect">
                      <a:avLst/>
                    </a:prstGeom>
                  </pic:spPr>
                </pic:pic>
              </a:graphicData>
            </a:graphic>
          </wp:inline>
        </w:drawing>
      </w:r>
    </w:p>
    <w:p>
      <w:pPr>
        <w:pStyle w:val="TextBody"/>
        <w:bidi w:val="0"/>
        <w:spacing w:lineRule="auto" w:line="357" w:before="0" w:after="0"/>
        <w:ind w:left="0" w:right="0" w:hanging="0"/>
        <w:jc w:val="left"/>
        <w:rPr>
          <w:color w:val="8E999D"/>
        </w:rPr>
      </w:pPr>
      <w:r>
        <w:rPr>
          <w:color w:val="8E999D"/>
        </w:rPr>
        <w:t>​</w:t>
      </w:r>
    </w:p>
    <w:p>
      <w:pPr>
        <w:pStyle w:val="TextBody"/>
        <w:bidi w:val="0"/>
        <w:spacing w:lineRule="auto" w:line="357" w:before="0" w:after="0"/>
        <w:ind w:left="0" w:right="0" w:hanging="0"/>
        <w:jc w:val="left"/>
        <w:rPr>
          <w:rFonts w:ascii="Arial;Helvetica;sans-serif" w:hAnsi="Arial;Helvetica;sans-serif"/>
          <w:b/>
          <w:color w:val="1B2E5A"/>
          <w:sz w:val="32"/>
        </w:rPr>
      </w:pPr>
      <w:r>
        <w:rPr>
          <w:rFonts w:ascii="Arial;Helvetica;sans-serif" w:hAnsi="Arial;Helvetica;sans-serif"/>
          <w:b/>
          <w:color w:val="1B2E5A"/>
          <w:sz w:val="32"/>
        </w:rPr>
        <w:t>Elutia Secures Up to $26 Million to Fund NXT-41x Through Commercial Launch; Reports Second Quarter 2026 Results</w:t>
      </w:r>
    </w:p>
    <w:p>
      <w:pPr>
        <w:pStyle w:val="TextBody"/>
        <w:bidi w:val="0"/>
        <w:spacing w:lineRule="auto" w:line="331" w:before="0" w:after="0"/>
        <w:ind w:left="0" w:right="0" w:hanging="0"/>
        <w:jc w:val="left"/>
        <w:rPr>
          <w:color w:val="375D84"/>
        </w:rPr>
      </w:pPr>
      <w:r>
        <w:rPr>
          <w:color w:val="375D84"/>
        </w:rPr>
        <w:t>​</w:t>
      </w:r>
    </w:p>
    <w:p>
      <w:pPr>
        <w:pStyle w:val="TextBody"/>
        <w:bidi w:val="0"/>
        <w:spacing w:lineRule="auto" w:line="331" w:before="0" w:after="0"/>
        <w:ind w:left="0" w:right="0" w:hanging="0"/>
        <w:jc w:val="left"/>
        <w:rPr>
          <w:rFonts w:ascii="Arial;Helvetica;sans-serif" w:hAnsi="Arial;Helvetica;sans-serif"/>
          <w:b/>
          <w:color w:val="375D84"/>
          <w:sz w:val="22"/>
        </w:rPr>
      </w:pPr>
      <w:r>
        <w:rPr>
          <w:rFonts w:ascii="Arial;Helvetica;sans-serif" w:hAnsi="Arial;Helvetica;sans-serif"/>
          <w:b/>
          <w:color w:val="375D84"/>
          <w:sz w:val="22"/>
        </w:rPr>
        <w:t>Independent Blinded Survey of 50 Plastic Surgeons Validates Demand; NXT-41 and NXT-41x Remain On-Track</w:t>
      </w:r>
    </w:p>
    <w:p>
      <w:pPr>
        <w:pStyle w:val="TextBody"/>
        <w:bidi w:val="0"/>
        <w:spacing w:lineRule="auto" w:line="331" w:before="0" w:after="0"/>
        <w:ind w:left="0" w:right="0" w:hanging="0"/>
        <w:jc w:val="left"/>
        <w:rPr>
          <w:color w:val="222222"/>
        </w:rPr>
      </w:pPr>
      <w:r>
        <w:rPr>
          <w:color w:val="222222"/>
        </w:rPr>
        <w:t>​</w:t>
      </w:r>
    </w:p>
    <w:tbl>
      <w:tblPr>
        <w:tblW w:w="7788" w:type="dxa"/>
        <w:jc w:val="left"/>
        <w:tblInd w:w="0" w:type="dxa"/>
        <w:tblLayout w:type="fixed"/>
        <w:tblCellMar>
          <w:top w:w="0" w:type="dxa"/>
          <w:left w:w="0" w:type="dxa"/>
          <w:bottom w:w="0" w:type="dxa"/>
          <w:right w:w="0" w:type="dxa"/>
        </w:tblCellMar>
      </w:tblPr>
      <w:tblGrid>
        <w:gridCol w:w="23"/>
        <w:gridCol w:w="170"/>
        <w:gridCol w:w="7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7595" w:type="dxa"/>
            <w:tcBorders/>
            <w:vAlign w:val="center"/>
          </w:tcPr>
          <w:p>
            <w:pPr>
              <w:pStyle w:val="TableContents"/>
              <w:bidi w:val="0"/>
              <w:spacing w:before="0" w:after="283"/>
              <w:jc w:val="left"/>
              <w:rPr/>
            </w:pPr>
            <w:r>
              <w:rPr>
                <w:rFonts w:ascii="Arial;Helvetica;sans-serif" w:hAnsi="Arial;Helvetica;sans-serif"/>
                <w:b/>
                <w:i w:val="false"/>
                <w:caps w:val="false"/>
                <w:smallCaps w:val="false"/>
                <w:color w:val="1B2E5A"/>
                <w:sz w:val="20"/>
              </w:rPr>
              <w:t xml:space="preserve">Funded through launch: </w:t>
            </w:r>
            <w:r>
              <w:rPr>
                <w:rFonts w:ascii="Arial;Helvetica;sans-serif" w:hAnsi="Arial;Helvetica;sans-serif"/>
                <w:b w:val="false"/>
                <w:i w:val="false"/>
                <w:caps w:val="false"/>
                <w:smallCaps w:val="false"/>
                <w:color w:val="1B2E5A"/>
                <w:sz w:val="20"/>
              </w:rPr>
              <w:t xml:space="preserve">secured up to </w:t>
            </w:r>
            <w:r>
              <w:rPr>
                <w:rFonts w:ascii="Arial;Helvetica;sans-serif" w:hAnsi="Arial;Helvetica;sans-serif"/>
                <w:b w:val="false"/>
                <w:i w:val="false"/>
                <w:caps w:val="false"/>
                <w:smallCaps w:val="false"/>
                <w:sz w:val="20"/>
              </w:rPr>
              <w:t>$26 million of capital without an equity offering</w:t>
            </w:r>
          </w:p>
        </w:tc>
      </w:tr>
    </w:tbl>
    <w:tbl>
      <w:tblPr>
        <w:tblW w:w="9618" w:type="dxa"/>
        <w:jc w:val="left"/>
        <w:tblInd w:w="0" w:type="dxa"/>
        <w:tblLayout w:type="fixed"/>
        <w:tblCellMar>
          <w:top w:w="0" w:type="dxa"/>
          <w:left w:w="0" w:type="dxa"/>
          <w:bottom w:w="0" w:type="dxa"/>
          <w:right w:w="0" w:type="dxa"/>
        </w:tblCellMar>
      </w:tblPr>
      <w:tblGrid>
        <w:gridCol w:w="23"/>
        <w:gridCol w:w="170"/>
        <w:gridCol w:w="94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9425" w:type="dxa"/>
            <w:tcBorders/>
            <w:vAlign w:val="center"/>
          </w:tcPr>
          <w:p>
            <w:pPr>
              <w:pStyle w:val="TableContents"/>
              <w:bidi w:val="0"/>
              <w:spacing w:before="0" w:after="283"/>
              <w:jc w:val="left"/>
              <w:rPr/>
            </w:pPr>
            <w:r>
              <w:rPr>
                <w:rFonts w:ascii="Arial;Helvetica;sans-serif" w:hAnsi="Arial;Helvetica;sans-serif"/>
                <w:b/>
                <w:i w:val="false"/>
                <w:caps w:val="false"/>
                <w:smallCaps w:val="false"/>
                <w:color w:val="1B2E5A"/>
                <w:sz w:val="20"/>
              </w:rPr>
              <w:t xml:space="preserve">The unmet need is real: </w:t>
            </w:r>
            <w:r>
              <w:rPr>
                <w:rFonts w:ascii="Arial;Helvetica;sans-serif" w:hAnsi="Arial;Helvetica;sans-serif"/>
                <w:b w:val="false"/>
                <w:i w:val="false"/>
                <w:caps w:val="false"/>
                <w:smallCaps w:val="false"/>
                <w:sz w:val="20"/>
              </w:rPr>
              <w:t>86% of surgeons surveyed say the matrices they use today increase infection risk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pPr>
            <w:r>
              <w:rPr>
                <w:rFonts w:ascii="Arial;Helvetica;sans-serif" w:hAnsi="Arial;Helvetica;sans-serif"/>
                <w:b/>
                <w:i w:val="false"/>
                <w:caps w:val="false"/>
                <w:smallCaps w:val="false"/>
                <w:color w:val="1B2E5A"/>
                <w:sz w:val="20"/>
              </w:rPr>
              <w:t xml:space="preserve">The demand is strong: </w:t>
            </w:r>
            <w:r>
              <w:rPr>
                <w:rFonts w:ascii="Arial;Helvetica;sans-serif" w:hAnsi="Arial;Helvetica;sans-serif"/>
                <w:b w:val="false"/>
                <w:i w:val="false"/>
                <w:caps w:val="false"/>
                <w:smallCaps w:val="false"/>
                <w:sz w:val="20"/>
              </w:rPr>
              <w:t>96% of surgeons surveyed are interested in adopting NXT-41x; 92% responded they would champion it at their hospital value analysis committee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pPr>
            <w:r>
              <w:rPr>
                <w:rFonts w:ascii="Arial;Helvetica;sans-serif" w:hAnsi="Arial;Helvetica;sans-serif"/>
                <w:b/>
                <w:i w:val="false"/>
                <w:caps w:val="false"/>
                <w:smallCaps w:val="false"/>
                <w:color w:val="1B2E5A"/>
                <w:sz w:val="20"/>
              </w:rPr>
              <w:t xml:space="preserve">On track: </w:t>
            </w:r>
            <w:r>
              <w:rPr>
                <w:rFonts w:ascii="Arial;Helvetica;sans-serif" w:hAnsi="Arial;Helvetica;sans-serif"/>
                <w:b w:val="false"/>
                <w:i w:val="false"/>
                <w:caps w:val="false"/>
                <w:smallCaps w:val="false"/>
                <w:sz w:val="20"/>
              </w:rPr>
              <w:t>NXT-41 FDA clearance decision expected in 4Q 2026; NXT-41x FDA clearance decision expected in 1H 2027</w:t>
            </w:r>
          </w:p>
        </w:tc>
      </w:tr>
    </w:tbl>
    <w:tbl>
      <w:tblPr>
        <w:tblW w:w="216" w:type="dxa"/>
        <w:jc w:val="left"/>
        <w:tblInd w:w="0" w:type="dxa"/>
        <w:tblLayout w:type="fixed"/>
        <w:tblCellMar>
          <w:top w:w="0" w:type="dxa"/>
          <w:left w:w="0" w:type="dxa"/>
          <w:bottom w:w="0" w:type="dxa"/>
          <w:right w:w="0" w:type="dxa"/>
        </w:tblCellMar>
      </w:tblPr>
      <w:tblGrid>
        <w:gridCol w:w="23"/>
        <w:gridCol w:w="1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b/>
          <w:sz w:val="20"/>
        </w:rPr>
        <w:t xml:space="preserve">GAITHERSBURG, Md., August 13, 2026 (GLOBE NEWSWIRE) -- </w:t>
      </w:r>
      <w:r>
        <w:rPr>
          <w:rFonts w:ascii="Arial;Helvetica;sans-serif" w:hAnsi="Arial;Helvetica;sans-serif"/>
          <w:sz w:val="20"/>
        </w:rPr>
        <w:t>Elutia Inc. (Nasdaq: ELUT) (“Elutia” or the “Company”), a pioneer in drug-eluting biomatrix technologies, today provided a business update and announced financial results for the second quarter ended June 30, 2026.</w:t>
      </w:r>
    </w:p>
    <w:p>
      <w:pPr>
        <w:pStyle w:val="TextBody"/>
        <w:bidi w:val="0"/>
        <w:spacing w:lineRule="auto" w:line="295" w:before="0" w:after="0"/>
        <w:ind w:left="0" w:right="0" w:hanging="0"/>
        <w:jc w:val="left"/>
        <w:rPr/>
      </w:pPr>
      <w:r>
        <w:rPr/>
        <w:t>​</w:t>
      </w:r>
    </w:p>
    <w:tbl>
      <w:tblPr>
        <w:tblW w:w="10205" w:type="dxa"/>
        <w:jc w:val="left"/>
        <w:tblInd w:w="-15" w:type="dxa"/>
        <w:tblLayout w:type="fixed"/>
        <w:tblCellMar>
          <w:top w:w="0" w:type="dxa"/>
          <w:left w:w="185" w:type="dxa"/>
          <w:bottom w:w="0" w:type="dxa"/>
          <w:right w:w="0" w:type="dxa"/>
        </w:tblCellMar>
      </w:tblPr>
      <w:tblGrid>
        <w:gridCol w:w="10205"/>
      </w:tblGrid>
      <w:tr>
        <w:trPr/>
        <w:tc>
          <w:tcPr>
            <w:tcW w:w="10205" w:type="dxa"/>
            <w:tcBorders>
              <w:left w:val="single" w:sz="12" w:space="0" w:color="7AC144"/>
            </w:tcBorders>
            <w:vAlign w:val="center"/>
          </w:tcPr>
          <w:p>
            <w:pPr>
              <w:pStyle w:val="TableContents"/>
              <w:bidi w:val="0"/>
              <w:spacing w:lineRule="auto" w:line="295" w:before="0" w:after="0"/>
              <w:ind w:left="0" w:right="0" w:hanging="0"/>
              <w:jc w:val="left"/>
              <w:rPr/>
            </w:pPr>
            <w:r>
              <w:rPr/>
              <w:t>“</w:t>
            </w:r>
            <w:r>
              <w:rPr>
                <w:rFonts w:ascii="Arial;Helvetica;sans-serif" w:hAnsi="Arial;Helvetica;sans-serif"/>
                <w:sz w:val="20"/>
              </w:rPr>
              <w:t>We have intentionally focused Elutia where our strengths create the greatest value for patients and shareholders,” said Dr. Randy Mills, Chief Executive Officer of Elutia. “We believe we are now funded through the anticipated clearance and full commercial launch of NXT-41x, our antibiotic-eluting biomatrix for use in plastic and reconstructive surgical procedures. And we did it without an equity offering.</w:t>
            </w:r>
          </w:p>
          <w:p>
            <w:pPr>
              <w:pStyle w:val="TableContents"/>
              <w:bidi w:val="0"/>
              <w:spacing w:lineRule="auto" w:line="295" w:before="0" w:after="0"/>
              <w:ind w:left="0" w:right="0" w:hanging="0"/>
              <w:jc w:val="left"/>
              <w:rPr/>
            </w:pPr>
            <w:r>
              <w:rPr/>
              <w:t>​</w:t>
            </w:r>
          </w:p>
          <w:p>
            <w:pPr>
              <w:pStyle w:val="TableContents"/>
              <w:bidi w:val="0"/>
              <w:spacing w:lineRule="auto" w:line="295" w:before="0" w:after="0"/>
              <w:ind w:left="0" w:right="0" w:hanging="0"/>
              <w:jc w:val="left"/>
              <w:rPr/>
            </w:pPr>
            <w:r>
              <w:rPr/>
              <w:t>“</w:t>
            </w:r>
            <w:r>
              <w:rPr>
                <w:rFonts w:ascii="Arial;Helvetica;sans-serif" w:hAnsi="Arial;Helvetica;sans-serif"/>
                <w:sz w:val="20"/>
              </w:rPr>
              <w:t>As we approach anticipated FDA clearance decisions and launch, surgeon interest in NXT-41x has exceeded our expectations. In an independent study of 50 board-certified plastic and reconstructive surgeons, 86% said matrices used today increase infection risk, 96% believed our antibiotic combination would be effective at preventing infection, and 92% said they would help get NXT-41x approved at their hospital’s value analysis committee.</w:t>
            </w:r>
          </w:p>
          <w:p>
            <w:pPr>
              <w:pStyle w:val="TableContents"/>
              <w:bidi w:val="0"/>
              <w:spacing w:lineRule="auto" w:line="295" w:before="0" w:after="0"/>
              <w:ind w:left="0" w:right="0" w:hanging="0"/>
              <w:jc w:val="left"/>
              <w:rPr/>
            </w:pPr>
            <w:r>
              <w:rPr/>
              <w:t>​</w:t>
            </w:r>
          </w:p>
          <w:p>
            <w:pPr>
              <w:pStyle w:val="TableContents"/>
              <w:bidi w:val="0"/>
              <w:spacing w:lineRule="auto" w:line="295" w:before="0" w:after="0"/>
              <w:ind w:left="0" w:right="0" w:hanging="0"/>
              <w:jc w:val="left"/>
              <w:rPr/>
            </w:pPr>
            <w:r>
              <w:rPr/>
              <w:t>“</w:t>
            </w:r>
            <w:r>
              <w:rPr>
                <w:rFonts w:ascii="Arial;Helvetica;sans-serif" w:hAnsi="Arial;Helvetica;sans-serif"/>
                <w:sz w:val="20"/>
              </w:rPr>
              <w:t>Having successfully created value with this technology in the pacemaker market, we are now applying it to a larger market with a substantially greater unmet need. And we believe we have the team and capital to execute.”</w:t>
            </w:r>
          </w:p>
        </w:tc>
      </w:tr>
    </w:tbl>
    <w:p>
      <w:pPr>
        <w:pStyle w:val="TextBody"/>
        <w:bidi w:val="0"/>
        <w:spacing w:before="0" w:after="0"/>
        <w:ind w:left="0" w:right="0" w:hanging="0"/>
        <w:jc w:val="left"/>
        <w:rPr>
          <w:color w:val="222222"/>
        </w:rPr>
      </w:pPr>
      <w:r>
        <w:rPr>
          <w:color w:val="222222"/>
        </w:rPr>
        <w:t>​</w:t>
      </w:r>
    </w:p>
    <w:p>
      <w:pPr>
        <w:pStyle w:val="TextBody"/>
        <w:pBdr>
          <w:bottom w:val="single" w:sz="8" w:space="4" w:color="7AC144"/>
        </w:pBdr>
        <w:bidi w:val="0"/>
        <w:spacing w:before="0" w:after="0"/>
        <w:ind w:left="0" w:right="0" w:hanging="0"/>
        <w:jc w:val="left"/>
        <w:rPr>
          <w:rFonts w:ascii="Arial;Helvetica;sans-serif" w:hAnsi="Arial;Helvetica;sans-serif"/>
          <w:b/>
          <w:color w:val="1B2E5A"/>
          <w:sz w:val="21"/>
        </w:rPr>
      </w:pPr>
      <w:r>
        <w:rPr>
          <w:rFonts w:ascii="Arial;Helvetica;sans-serif" w:hAnsi="Arial;Helvetica;sans-serif"/>
          <w:b/>
          <w:color w:val="1B2E5A"/>
          <w:sz w:val="21"/>
        </w:rPr>
        <w:t>Capital Secured to Support NXT-41x Through Clearance and Commercial Launch</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Elutia has secured up to $26 million of additional capital to support the Company through the anticipated clearance of NXT-41x and its first full year of commercial launch in 2028, without an equity offering: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 million credit facility, including $10 million funded at closing and an additional $5 million available following NXT-41x FDA clearance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 to $11 million from the SimpliDerm divestiture, including $8 million in cash at closing and up to $3 million in contingent technology transfer and commercial milestone payments</w:t>
            </w:r>
          </w:p>
        </w:tc>
      </w:tr>
    </w:tbl>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In addition, the Company anticipates receiving the full $8 million held in escrow from the 2025 divestiture of the BioEnvelope business, with release expected in the fourth quarter of this year.</w:t>
      </w:r>
    </w:p>
    <w:p>
      <w:pPr>
        <w:pStyle w:val="TextBody"/>
        <w:pBdr/>
        <w:bidi w:val="0"/>
        <w:spacing w:before="0" w:after="0"/>
        <w:ind w:left="0" w:right="0" w:hanging="0"/>
        <w:jc w:val="left"/>
        <w:rPr>
          <w:color w:val="1B2E5A"/>
        </w:rPr>
      </w:pPr>
      <w:r>
        <w:rPr>
          <w:color w:val="1B2E5A"/>
        </w:rPr>
        <w:t>​</w:t>
      </w:r>
    </w:p>
    <w:p>
      <w:pPr>
        <w:pStyle w:val="TextBody"/>
        <w:pBdr>
          <w:bottom w:val="single" w:sz="8" w:space="4" w:color="7AC144"/>
        </w:pBdr>
        <w:bidi w:val="0"/>
        <w:spacing w:before="0" w:after="0"/>
        <w:ind w:left="0" w:right="0" w:hanging="0"/>
        <w:jc w:val="left"/>
        <w:rPr>
          <w:rFonts w:ascii="Arial;Helvetica;sans-serif" w:hAnsi="Arial;Helvetica;sans-serif"/>
          <w:b/>
          <w:color w:val="1B2E5A"/>
          <w:sz w:val="21"/>
        </w:rPr>
      </w:pPr>
      <w:r>
        <w:rPr>
          <w:rFonts w:ascii="Arial;Helvetica;sans-serif" w:hAnsi="Arial;Helvetica;sans-serif"/>
          <w:b/>
          <w:color w:val="1B2E5A"/>
          <w:sz w:val="21"/>
        </w:rPr>
        <w:t>Independent Blinded Survey Validates Surgeon Demand for NXT-41x</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An independent market research firm conducted a blinded survey of 50 board-certified plastic and reconstructive surgeons across 28 states. The surgeons average 11.6 years in practice and perform about 140 complex reconstructive procedures annually.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left"/>
        <w:rPr>
          <w:rFonts w:ascii="Arial;Helvetica;sans-serif" w:hAnsi="Arial;Helvetica;sans-serif"/>
          <w:b/>
          <w:color w:val="375D84"/>
          <w:sz w:val="20"/>
        </w:rPr>
      </w:pPr>
      <w:r>
        <w:rPr>
          <w:rFonts w:ascii="Arial;Helvetica;sans-serif" w:hAnsi="Arial;Helvetica;sans-serif"/>
          <w:b/>
          <w:color w:val="375D84"/>
          <w:sz w:val="20"/>
        </w:rPr>
        <w:t>Surgeons Say the Problem Is Real</w:t>
      </w:r>
    </w:p>
    <w:tbl>
      <w:tblPr>
        <w:tblW w:w="8898" w:type="dxa"/>
        <w:jc w:val="left"/>
        <w:tblInd w:w="0" w:type="dxa"/>
        <w:tblLayout w:type="fixed"/>
        <w:tblCellMar>
          <w:top w:w="0" w:type="dxa"/>
          <w:left w:w="0" w:type="dxa"/>
          <w:bottom w:w="0" w:type="dxa"/>
          <w:right w:w="0" w:type="dxa"/>
        </w:tblCellMar>
      </w:tblPr>
      <w:tblGrid>
        <w:gridCol w:w="23"/>
        <w:gridCol w:w="170"/>
        <w:gridCol w:w="87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87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Surgeons estimate a 17% surgical-site infection rate in the published literature for these procedures.</w:t>
            </w:r>
          </w:p>
        </w:tc>
      </w:tr>
    </w:tbl>
    <w:tbl>
      <w:tblPr>
        <w:tblW w:w="8868" w:type="dxa"/>
        <w:jc w:val="left"/>
        <w:tblInd w:w="0" w:type="dxa"/>
        <w:tblLayout w:type="fixed"/>
        <w:tblCellMar>
          <w:top w:w="0" w:type="dxa"/>
          <w:left w:w="0" w:type="dxa"/>
          <w:bottom w:w="0" w:type="dxa"/>
          <w:right w:w="0" w:type="dxa"/>
        </w:tblCellMar>
      </w:tblPr>
      <w:tblGrid>
        <w:gridCol w:w="23"/>
        <w:gridCol w:w="170"/>
        <w:gridCol w:w="86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86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86% (95% confidence interval (CI): 74–93%) report that matrices used today increase infection risk.</w:t>
            </w:r>
          </w:p>
        </w:tc>
      </w:tr>
    </w:tbl>
    <w:p>
      <w:pPr>
        <w:pStyle w:val="TextBody"/>
        <w:bidi w:val="0"/>
        <w:spacing w:before="140" w:after="66"/>
        <w:ind w:left="0" w:right="0" w:hanging="0"/>
        <w:jc w:val="left"/>
        <w:rPr>
          <w:rFonts w:ascii="Arial;Helvetica;sans-serif" w:hAnsi="Arial;Helvetica;sans-serif"/>
          <w:b/>
          <w:color w:val="375D84"/>
          <w:sz w:val="20"/>
        </w:rPr>
      </w:pPr>
      <w:r>
        <w:rPr>
          <w:rFonts w:ascii="Arial;Helvetica;sans-serif" w:hAnsi="Arial;Helvetica;sans-serif"/>
          <w:b/>
          <w:color w:val="375D84"/>
          <w:sz w:val="20"/>
        </w:rPr>
        <w:t>Surgeons View NXT-41x as Differentiated and Mechanistically Sound</w:t>
      </w:r>
    </w:p>
    <w:tbl>
      <w:tblPr>
        <w:tblW w:w="7518" w:type="dxa"/>
        <w:jc w:val="left"/>
        <w:tblInd w:w="0" w:type="dxa"/>
        <w:tblLayout w:type="fixed"/>
        <w:tblCellMar>
          <w:top w:w="0" w:type="dxa"/>
          <w:left w:w="0" w:type="dxa"/>
          <w:bottom w:w="0" w:type="dxa"/>
          <w:right w:w="0" w:type="dxa"/>
        </w:tblCellMar>
      </w:tblPr>
      <w:tblGrid>
        <w:gridCol w:w="23"/>
        <w:gridCol w:w="170"/>
        <w:gridCol w:w="73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73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98% (CI: 90–99.6%) rated NXT-41x new and different from products available today.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96% (CI: 87–99%) rated the combination of rifampin and minocycline effective, with 64% (CI: 50–76%) describing it as extremely effective at reducing surgical site infections. No respondents rated the combination ineffective.</w:t>
            </w:r>
          </w:p>
        </w:tc>
      </w:tr>
    </w:tbl>
    <w:p>
      <w:pPr>
        <w:pStyle w:val="TextBody"/>
        <w:bidi w:val="0"/>
        <w:spacing w:before="140" w:after="66"/>
        <w:ind w:left="0" w:right="0" w:hanging="0"/>
        <w:jc w:val="left"/>
        <w:rPr>
          <w:rFonts w:ascii="Arial;Helvetica;sans-serif" w:hAnsi="Arial;Helvetica;sans-serif"/>
          <w:b/>
          <w:color w:val="375D84"/>
          <w:sz w:val="20"/>
        </w:rPr>
      </w:pPr>
      <w:r>
        <w:rPr>
          <w:rFonts w:ascii="Arial;Helvetica;sans-serif" w:hAnsi="Arial;Helvetica;sans-serif"/>
          <w:b/>
          <w:color w:val="375D84"/>
          <w:sz w:val="20"/>
        </w:rPr>
        <w:t xml:space="preserve">Surgeon Intent to Adopt NXT-41x Is Strong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100% (CI: 93–100%) indicated they would use NXT-41x in diabetic patients and in patients with high BMI, who together represent approximately one third of all reconstruction patients.</w:t>
            </w:r>
          </w:p>
        </w:tc>
      </w:tr>
    </w:tbl>
    <w:tbl>
      <w:tblPr>
        <w:tblW w:w="7983" w:type="dxa"/>
        <w:jc w:val="left"/>
        <w:tblInd w:w="0" w:type="dxa"/>
        <w:tblLayout w:type="fixed"/>
        <w:tblCellMar>
          <w:top w:w="0" w:type="dxa"/>
          <w:left w:w="0" w:type="dxa"/>
          <w:bottom w:w="0" w:type="dxa"/>
          <w:right w:w="0" w:type="dxa"/>
        </w:tblCellMar>
      </w:tblPr>
      <w:tblGrid>
        <w:gridCol w:w="23"/>
        <w:gridCol w:w="170"/>
        <w:gridCol w:w="77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77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96% (CI: 87–99%) expressed interest in incorporating NXT-41x into their general practice.</w:t>
            </w:r>
          </w:p>
        </w:tc>
      </w:tr>
    </w:tbl>
    <w:tbl>
      <w:tblPr>
        <w:tblW w:w="10203" w:type="dxa"/>
        <w:jc w:val="left"/>
        <w:tblInd w:w="0" w:type="dxa"/>
        <w:tblLayout w:type="fixed"/>
        <w:tblCellMar>
          <w:top w:w="0" w:type="dxa"/>
          <w:left w:w="0" w:type="dxa"/>
          <w:bottom w:w="0" w:type="dxa"/>
          <w:right w:w="0" w:type="dxa"/>
        </w:tblCellMar>
      </w:tblPr>
      <w:tblGrid>
        <w:gridCol w:w="23"/>
        <w:gridCol w:w="170"/>
        <w:gridCol w:w="10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92% (CI: 81–97%) indicated willingness to approach their hospital value analysis committee in support of NXT-41x.</w:t>
            </w:r>
          </w:p>
        </w:tc>
      </w:tr>
    </w:tbl>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Interest measures are based on ratings of 4 or 5 on a five-point scale. All results are reported with 95% Wilson confidence intervals; where responses were unanimous, the lower bound of the interval is 93%.</w:t>
      </w:r>
    </w:p>
    <w:p>
      <w:pPr>
        <w:pStyle w:val="TextBody"/>
        <w:bidi w:val="0"/>
        <w:spacing w:lineRule="auto" w:line="295" w:before="0" w:after="0"/>
        <w:ind w:left="0" w:right="0" w:hanging="0"/>
        <w:jc w:val="left"/>
        <w:rPr/>
      </w:pPr>
      <w:r>
        <w:rPr/>
        <w:t>​</w:t>
      </w:r>
    </w:p>
    <w:p>
      <w:pPr>
        <w:pStyle w:val="TextBody"/>
        <w:pBdr>
          <w:bottom w:val="single" w:sz="8" w:space="4" w:color="7AC144"/>
        </w:pBdr>
        <w:bidi w:val="0"/>
        <w:spacing w:before="0" w:after="0"/>
        <w:ind w:left="0" w:right="0" w:hanging="0"/>
        <w:jc w:val="left"/>
        <w:rPr>
          <w:rFonts w:ascii="Arial;Helvetica;sans-serif" w:hAnsi="Arial;Helvetica;sans-serif"/>
          <w:b/>
          <w:color w:val="1B2E5A"/>
          <w:sz w:val="21"/>
        </w:rPr>
      </w:pPr>
      <w:r>
        <w:rPr>
          <w:rFonts w:ascii="Arial;Helvetica;sans-serif" w:hAnsi="Arial;Helvetica;sans-serif"/>
          <w:b/>
          <w:color w:val="1B2E5A"/>
          <w:sz w:val="21"/>
        </w:rPr>
        <w:t>Regulatory Review and Manufacturing Progressing on Schedule</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Regulatory and development activities for both NXT-41 (biologic surgical matrix without drug) and NXT-41x continue to advance according to plan. Elutia recently held a productive meeting with the FDA regarding the NXT-41 submission, which remains on track. The Company continues to expect FDA clearance for NXT-41 in the fourth quarter of 2026 and for NXT-41x in the first half of 2027.</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Elutia also completed the installation and operational qualification of its automated drug-coating system for commercial manufacturing. The system is designed to support target gross margins in excess of 80% at scale.</w:t>
      </w:r>
    </w:p>
    <w:p>
      <w:pPr>
        <w:pStyle w:val="TextBody"/>
        <w:pBdr/>
        <w:bidi w:val="0"/>
        <w:spacing w:before="0" w:after="0"/>
        <w:ind w:left="0" w:right="0" w:hanging="0"/>
        <w:jc w:val="left"/>
        <w:rPr>
          <w:color w:val="1B2E5A"/>
        </w:rPr>
      </w:pPr>
      <w:r>
        <w:rPr>
          <w:color w:val="1B2E5A"/>
        </w:rPr>
        <w:t>​</w:t>
      </w:r>
    </w:p>
    <w:p>
      <w:pPr>
        <w:pStyle w:val="TextBody"/>
        <w:pBdr>
          <w:bottom w:val="single" w:sz="8" w:space="4" w:color="7AC144"/>
        </w:pBdr>
        <w:bidi w:val="0"/>
        <w:spacing w:before="0" w:after="0"/>
        <w:ind w:left="0" w:right="0" w:hanging="0"/>
        <w:jc w:val="left"/>
        <w:rPr>
          <w:rFonts w:ascii="Arial;Helvetica;sans-serif" w:hAnsi="Arial;Helvetica;sans-serif"/>
          <w:b/>
          <w:color w:val="1B2E5A"/>
          <w:sz w:val="21"/>
        </w:rPr>
      </w:pPr>
      <w:r>
        <w:rPr>
          <w:rFonts w:ascii="Arial;Helvetica;sans-serif" w:hAnsi="Arial;Helvetica;sans-serif"/>
          <w:b/>
          <w:color w:val="1B2E5A"/>
          <w:sz w:val="21"/>
        </w:rPr>
        <w:t>Product Divestitures Further Sharpen the Company’s Focus</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 xml:space="preserve">On July 16, 2026, Elutia signed a definitive agreement to sell its SimpliDerm business for up to $11 million in total consideration, including up to $3 million in contingent technology transfer and commercial milestone payments over the 18 months following closing, with closing expected in the third quarter of 2026. The Company’s previously announced strategic process for its Cardiovascular business also continues to advance. Together with the 2025 divestiture of the BioEnvelope business, these transactions extend Elutia’s runway and focus the organization on the launch of NXT-41x in the second half of 2027. </w:t>
      </w:r>
    </w:p>
    <w:p>
      <w:pPr>
        <w:pStyle w:val="TextBody"/>
        <w:bidi w:val="0"/>
        <w:spacing w:lineRule="auto" w:line="295" w:before="0" w:after="0"/>
        <w:ind w:left="0" w:right="0" w:hanging="0"/>
        <w:jc w:val="left"/>
        <w:rPr/>
      </w:pPr>
      <w:r>
        <w:rPr/>
        <w:t>​</w:t>
      </w:r>
    </w:p>
    <w:p>
      <w:pPr>
        <w:pStyle w:val="TextBody"/>
        <w:bidi w:val="0"/>
        <w:spacing w:lineRule="auto" w:line="295" w:before="0" w:after="0"/>
        <w:ind w:left="0" w:right="0" w:hanging="0"/>
        <w:jc w:val="left"/>
        <w:rPr/>
      </w:pPr>
      <w:r>
        <w:rPr/>
        <w:t>​</w:t>
      </w:r>
    </w:p>
    <w:p>
      <w:pPr>
        <w:pStyle w:val="TextBody"/>
        <w:bidi w:val="0"/>
        <w:spacing w:lineRule="auto" w:line="295"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pBdr>
          <w:bottom w:val="single" w:sz="8" w:space="4" w:color="7AC144"/>
        </w:pBdr>
        <w:bidi w:val="0"/>
        <w:spacing w:before="0" w:after="0"/>
        <w:ind w:left="0" w:right="0" w:hanging="0"/>
        <w:jc w:val="left"/>
        <w:rPr>
          <w:rFonts w:ascii="Arial;Helvetica;sans-serif" w:hAnsi="Arial;Helvetica;sans-serif"/>
          <w:b/>
          <w:color w:val="1B2E5A"/>
          <w:sz w:val="21"/>
        </w:rPr>
      </w:pPr>
      <w:r>
        <w:rPr>
          <w:rFonts w:ascii="Arial;Helvetica;sans-serif" w:hAnsi="Arial;Helvetica;sans-serif"/>
          <w:b/>
          <w:color w:val="1B2E5A"/>
          <w:sz w:val="21"/>
        </w:rPr>
        <w:t>Funded Catalysts Ahead</w:t>
      </w:r>
    </w:p>
    <w:tbl>
      <w:tblPr>
        <w:tblW w:w="5792" w:type="dxa"/>
        <w:jc w:val="left"/>
        <w:tblInd w:w="0" w:type="dxa"/>
        <w:tblLayout w:type="fixed"/>
        <w:tblCellMar>
          <w:top w:w="80" w:type="dxa"/>
          <w:left w:w="0" w:type="dxa"/>
          <w:bottom w:w="80" w:type="dxa"/>
          <w:right w:w="0" w:type="dxa"/>
        </w:tblCellMar>
      </w:tblPr>
      <w:tblGrid>
        <w:gridCol w:w="4066"/>
        <w:gridCol w:w="1726"/>
      </w:tblGrid>
      <w:tr>
        <w:trPr/>
        <w:tc>
          <w:tcPr>
            <w:tcW w:w="4066" w:type="dxa"/>
            <w:tcBorders>
              <w:top w:val="single" w:sz="2" w:space="0" w:color="D6DBE2"/>
              <w:bottom w:val="single" w:sz="2" w:space="0" w:color="D6DBE2"/>
            </w:tcBorders>
            <w:shd w:fill="1B2E5A" w:val="clear"/>
            <w:vAlign w:val="center"/>
          </w:tcPr>
          <w:p>
            <w:pPr>
              <w:pStyle w:val="TableContents"/>
              <w:bidi w:val="0"/>
              <w:spacing w:before="0" w:after="0"/>
              <w:ind w:left="0" w:right="0" w:hanging="0"/>
              <w:jc w:val="left"/>
              <w:rPr>
                <w:rFonts w:ascii="Arial;Helvetica;sans-serif" w:hAnsi="Arial;Helvetica;sans-serif"/>
                <w:b/>
                <w:color w:val="FFFFFF"/>
                <w:sz w:val="20"/>
              </w:rPr>
            </w:pPr>
            <w:r>
              <w:rPr>
                <w:rFonts w:ascii="Arial;Helvetica;sans-serif" w:hAnsi="Arial;Helvetica;sans-serif"/>
                <w:b/>
                <w:color w:val="FFFFFF"/>
                <w:sz w:val="20"/>
              </w:rPr>
              <w:t>Milestone</w:t>
            </w:r>
          </w:p>
        </w:tc>
        <w:tc>
          <w:tcPr>
            <w:tcW w:w="1726" w:type="dxa"/>
            <w:tcBorders>
              <w:top w:val="single" w:sz="2" w:space="0" w:color="D6DBE2"/>
              <w:bottom w:val="single" w:sz="2" w:space="0" w:color="D6DBE2"/>
            </w:tcBorders>
            <w:shd w:fill="1B2E5A" w:val="clear"/>
            <w:vAlign w:val="center"/>
          </w:tcPr>
          <w:p>
            <w:pPr>
              <w:pStyle w:val="TableContents"/>
              <w:bidi w:val="0"/>
              <w:spacing w:before="0" w:after="0"/>
              <w:ind w:left="0" w:right="0" w:hanging="0"/>
              <w:jc w:val="right"/>
              <w:rPr>
                <w:rFonts w:ascii="Arial;Helvetica;sans-serif" w:hAnsi="Arial;Helvetica;sans-serif"/>
                <w:b/>
                <w:color w:val="FFFFFF"/>
                <w:sz w:val="20"/>
              </w:rPr>
            </w:pPr>
            <w:r>
              <w:rPr>
                <w:rFonts w:ascii="Arial;Helvetica;sans-serif" w:hAnsi="Arial;Helvetica;sans-serif"/>
                <w:b/>
                <w:color w:val="FFFFFF"/>
                <w:sz w:val="20"/>
              </w:rPr>
              <w:t>Expected Timing</w:t>
            </w:r>
          </w:p>
        </w:tc>
      </w:tr>
      <w:tr>
        <w:trPr/>
        <w:tc>
          <w:tcPr>
            <w:tcW w:w="4066" w:type="dxa"/>
            <w:tcBorders>
              <w:top w:val="single" w:sz="2" w:space="0" w:color="D6DBE2"/>
              <w:bottom w:val="single" w:sz="2" w:space="0" w:color="D6DBE2"/>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SimpliDerm business divestiture closing</w:t>
            </w:r>
          </w:p>
        </w:tc>
        <w:tc>
          <w:tcPr>
            <w:tcW w:w="1726" w:type="dxa"/>
            <w:tcBorders>
              <w:top w:val="single" w:sz="2" w:space="0" w:color="D6DBE2"/>
              <w:bottom w:val="single" w:sz="2" w:space="0" w:color="D6DBE2"/>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3Q 2026</w:t>
            </w:r>
          </w:p>
        </w:tc>
      </w:tr>
      <w:tr>
        <w:trPr/>
        <w:tc>
          <w:tcPr>
            <w:tcW w:w="4066" w:type="dxa"/>
            <w:tcBorders>
              <w:top w:val="single" w:sz="2" w:space="0" w:color="D6DBE2"/>
              <w:bottom w:val="single" w:sz="2" w:space="0" w:color="D6DBE2"/>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Potential cardiovascular business transaction</w:t>
            </w:r>
          </w:p>
        </w:tc>
        <w:tc>
          <w:tcPr>
            <w:tcW w:w="1726" w:type="dxa"/>
            <w:tcBorders>
              <w:top w:val="single" w:sz="2" w:space="0" w:color="D6DBE2"/>
              <w:bottom w:val="single" w:sz="2" w:space="0" w:color="D6DBE2"/>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2H 2026</w:t>
            </w:r>
          </w:p>
        </w:tc>
      </w:tr>
      <w:tr>
        <w:trPr/>
        <w:tc>
          <w:tcPr>
            <w:tcW w:w="4066" w:type="dxa"/>
            <w:tcBorders>
              <w:top w:val="single" w:sz="2" w:space="0" w:color="D6DBE2"/>
              <w:bottom w:val="single" w:sz="2" w:space="0" w:color="D6DBE2"/>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$8 million BioEnvelope escrow release</w:t>
            </w:r>
          </w:p>
        </w:tc>
        <w:tc>
          <w:tcPr>
            <w:tcW w:w="1726" w:type="dxa"/>
            <w:tcBorders>
              <w:top w:val="single" w:sz="2" w:space="0" w:color="D6DBE2"/>
              <w:bottom w:val="single" w:sz="2" w:space="0" w:color="D6DBE2"/>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4Q 2026</w:t>
            </w:r>
          </w:p>
        </w:tc>
      </w:tr>
      <w:tr>
        <w:trPr/>
        <w:tc>
          <w:tcPr>
            <w:tcW w:w="4066" w:type="dxa"/>
            <w:tcBorders>
              <w:top w:val="single" w:sz="2" w:space="0" w:color="D6DBE2"/>
              <w:bottom w:val="single" w:sz="2" w:space="0" w:color="D6DBE2"/>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NXT-41 FDA clearance decision</w:t>
            </w:r>
          </w:p>
        </w:tc>
        <w:tc>
          <w:tcPr>
            <w:tcW w:w="1726" w:type="dxa"/>
            <w:tcBorders>
              <w:top w:val="single" w:sz="2" w:space="0" w:color="D6DBE2"/>
              <w:bottom w:val="single" w:sz="2" w:space="0" w:color="D6DBE2"/>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4Q 2026</w:t>
            </w:r>
          </w:p>
        </w:tc>
      </w:tr>
      <w:tr>
        <w:trPr/>
        <w:tc>
          <w:tcPr>
            <w:tcW w:w="4066" w:type="dxa"/>
            <w:tcBorders>
              <w:top w:val="single" w:sz="2" w:space="0" w:color="D6DBE2"/>
              <w:bottom w:val="single" w:sz="2" w:space="0" w:color="D6DBE2"/>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NXT-41x FDA clearance decision</w:t>
            </w:r>
          </w:p>
        </w:tc>
        <w:tc>
          <w:tcPr>
            <w:tcW w:w="1726" w:type="dxa"/>
            <w:tcBorders>
              <w:top w:val="single" w:sz="2" w:space="0" w:color="D6DBE2"/>
              <w:bottom w:val="single" w:sz="2" w:space="0" w:color="D6DBE2"/>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1H 2027</w:t>
            </w:r>
          </w:p>
        </w:tc>
      </w:tr>
      <w:tr>
        <w:trPr/>
        <w:tc>
          <w:tcPr>
            <w:tcW w:w="4066" w:type="dxa"/>
            <w:tcBorders>
              <w:top w:val="single" w:sz="2" w:space="0" w:color="D6DBE2"/>
              <w:bottom w:val="single" w:sz="2" w:space="0" w:color="D6DBE2"/>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NXT-41x commercial soft launch</w:t>
            </w:r>
          </w:p>
        </w:tc>
        <w:tc>
          <w:tcPr>
            <w:tcW w:w="1726" w:type="dxa"/>
            <w:tcBorders>
              <w:top w:val="single" w:sz="2" w:space="0" w:color="D6DBE2"/>
              <w:bottom w:val="single" w:sz="2" w:space="0" w:color="D6DBE2"/>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2H 2027</w:t>
            </w:r>
          </w:p>
        </w:tc>
      </w:tr>
      <w:tr>
        <w:trPr/>
        <w:tc>
          <w:tcPr>
            <w:tcW w:w="4066" w:type="dxa"/>
            <w:tcBorders>
              <w:top w:val="single" w:sz="2" w:space="0" w:color="D6DBE2"/>
              <w:bottom w:val="single" w:sz="2" w:space="0" w:color="D6DBE2"/>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NXT-41x full commercial launch</w:t>
            </w:r>
          </w:p>
        </w:tc>
        <w:tc>
          <w:tcPr>
            <w:tcW w:w="1726" w:type="dxa"/>
            <w:tcBorders>
              <w:top w:val="single" w:sz="2" w:space="0" w:color="D6DBE2"/>
              <w:bottom w:val="single" w:sz="2" w:space="0" w:color="D6DBE2"/>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2028</w:t>
            </w:r>
          </w:p>
        </w:tc>
      </w:tr>
    </w:tbl>
    <w:p>
      <w:pPr>
        <w:pStyle w:val="TextBody"/>
        <w:pBdr/>
        <w:bidi w:val="0"/>
        <w:spacing w:before="0" w:after="0"/>
        <w:ind w:left="0" w:right="0" w:hanging="0"/>
        <w:jc w:val="left"/>
        <w:rPr>
          <w:color w:val="1B2E5A"/>
        </w:rPr>
      </w:pPr>
      <w:r>
        <w:rPr>
          <w:color w:val="1B2E5A"/>
        </w:rPr>
        <w:t>​</w:t>
      </w:r>
    </w:p>
    <w:p>
      <w:pPr>
        <w:pStyle w:val="TextBody"/>
        <w:pBdr>
          <w:bottom w:val="single" w:sz="8" w:space="4" w:color="7AC144"/>
        </w:pBdr>
        <w:bidi w:val="0"/>
        <w:spacing w:before="0" w:after="0"/>
        <w:ind w:left="0" w:right="0" w:hanging="0"/>
        <w:jc w:val="left"/>
        <w:rPr>
          <w:rFonts w:ascii="Arial;Helvetica;sans-serif" w:hAnsi="Arial;Helvetica;sans-serif"/>
          <w:b/>
          <w:color w:val="1B2E5A"/>
          <w:sz w:val="21"/>
        </w:rPr>
      </w:pPr>
      <w:r>
        <w:rPr>
          <w:rFonts w:ascii="Arial;Helvetica;sans-serif" w:hAnsi="Arial;Helvetica;sans-serif"/>
          <w:b/>
          <w:color w:val="1B2E5A"/>
          <w:sz w:val="21"/>
        </w:rPr>
        <w:t>Second Quarter 2026 Financial Results</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Net sales and operating results discussed below reflect continuing operations. For the three-month period ended June 30, 2026, as compared to the same period of 2025:</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Overall net sales were $2.4 million, compared to $2.7 million. The decrease was the result of $0.7 million reduction in SimpliDerm revenue due to a production disruption with the product’s contract manufacturer, offset by a $0.4 million increase in Cardiovascular revenue due to the transition back to direct sales.</w:t>
            </w:r>
          </w:p>
        </w:tc>
      </w:tr>
    </w:tbl>
    <w:tbl>
      <w:tblPr>
        <w:tblW w:w="5853" w:type="dxa"/>
        <w:jc w:val="left"/>
        <w:tblInd w:w="0" w:type="dxa"/>
        <w:tblLayout w:type="fixed"/>
        <w:tblCellMar>
          <w:top w:w="0" w:type="dxa"/>
          <w:left w:w="0" w:type="dxa"/>
          <w:bottom w:w="0" w:type="dxa"/>
          <w:right w:w="0" w:type="dxa"/>
        </w:tblCellMar>
      </w:tblPr>
      <w:tblGrid>
        <w:gridCol w:w="23"/>
        <w:gridCol w:w="17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56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Gross margin on a GAAP basis was 59.6%, compared to 52.9%.</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Adjusted gross margin (a non-GAAP measure which excludes non-cash amortization of intangibles) was 70.7%, compared to 62.7%. A reconciliation of GAAP gross margin to adjusted gross margin is included in the accompanying financial tables.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operating expenses were $9.4 million, compared to $9.8 million. The decrease was driven by a $1.9 million reduction in net litigation costs, partially offset by a $1.5 million increase in research and development expense supporting the NXT-41 and NXT-41x programs.</w:t>
            </w:r>
          </w:p>
        </w:tc>
      </w:tr>
    </w:tbl>
    <w:tbl>
      <w:tblPr>
        <w:tblW w:w="5808" w:type="dxa"/>
        <w:jc w:val="left"/>
        <w:tblInd w:w="0" w:type="dxa"/>
        <w:tblLayout w:type="fixed"/>
        <w:tblCellMar>
          <w:top w:w="0" w:type="dxa"/>
          <w:left w:w="0" w:type="dxa"/>
          <w:bottom w:w="0" w:type="dxa"/>
          <w:right w:w="0" w:type="dxa"/>
        </w:tblCellMar>
      </w:tblPr>
      <w:tblGrid>
        <w:gridCol w:w="23"/>
        <w:gridCol w:w="170"/>
        <w:gridCol w:w="56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56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Loss from operations was $8.0 million, compared to $8.4 million.</w:t>
            </w:r>
          </w:p>
        </w:tc>
      </w:tr>
    </w:tbl>
    <w:tbl>
      <w:tblPr>
        <w:tblW w:w="7053" w:type="dxa"/>
        <w:jc w:val="left"/>
        <w:tblInd w:w="0" w:type="dxa"/>
        <w:tblLayout w:type="fixed"/>
        <w:tblCellMar>
          <w:top w:w="0" w:type="dxa"/>
          <w:left w:w="0" w:type="dxa"/>
          <w:bottom w:w="0" w:type="dxa"/>
          <w:right w:w="0" w:type="dxa"/>
        </w:tblCellMar>
      </w:tblPr>
      <w:tblGrid>
        <w:gridCol w:w="23"/>
        <w:gridCol w:w="170"/>
        <w:gridCol w:w="6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68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loss from continuing operations was $7.6 million, compared to $7.1 million.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was no loss from discontinued operations in the second quarter of 2026, compared to a loss of $2.5 million in the second quarter of 2025.</w:t>
            </w:r>
          </w:p>
        </w:tc>
      </w:tr>
    </w:tbl>
    <w:tbl>
      <w:tblPr>
        <w:tblW w:w="4698" w:type="dxa"/>
        <w:jc w:val="left"/>
        <w:tblInd w:w="0" w:type="dxa"/>
        <w:tblLayout w:type="fixed"/>
        <w:tblCellMar>
          <w:top w:w="0" w:type="dxa"/>
          <w:left w:w="0" w:type="dxa"/>
          <w:bottom w:w="0" w:type="dxa"/>
          <w:right w:w="0" w:type="dxa"/>
        </w:tblCellMar>
      </w:tblPr>
      <w:tblGrid>
        <w:gridCol w:w="23"/>
        <w:gridCol w:w="170"/>
        <w:gridCol w:w="45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45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loss was $7.6 million, compared to $9.6 million.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Adjusted EBITDA (a non-GAAP measure that excludes from net loss certain non-operating, non-cash and non-recurring items) was a loss of $4.6 million, compared to a loss of $3.0 million. A reconciliation of net loss to adjusted EBITDA is included in the accompanying financial tables.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and cash equivalents at June 30, 2026 were $19.9 million. This cash position is expected to be augmented by up to an additional $34 million from signed transactions, including $10 million already received from Avenue Capital Group pursuant to a new loan agreement, $8 million held in escrow in connection with the 2025 divestiture of the BioEnvelope business, up to $11 million from the sale of the SimpliDerm business and an additional $5 million available from the Avenue Capital loan facility following FDA clearance of NXT-41x.</w:t>
            </w:r>
          </w:p>
        </w:tc>
      </w:tr>
    </w:tbl>
    <w:p>
      <w:pPr>
        <w:pStyle w:val="TextBody"/>
        <w:bidi w:val="0"/>
        <w:spacing w:lineRule="auto" w:line="295" w:before="0" w:after="0"/>
        <w:ind w:left="0" w:right="0" w:hanging="0"/>
        <w:jc w:val="left"/>
        <w:rPr/>
      </w:pPr>
      <w:r>
        <w:rPr/>
        <w:t>​</w:t>
      </w:r>
    </w:p>
    <w:p>
      <w:pPr>
        <w:pStyle w:val="TextBody"/>
        <w:pBdr>
          <w:bottom w:val="single" w:sz="8" w:space="4" w:color="7AC144"/>
        </w:pBdr>
        <w:bidi w:val="0"/>
        <w:spacing w:before="0" w:after="0"/>
        <w:ind w:left="0" w:right="0" w:hanging="0"/>
        <w:jc w:val="left"/>
        <w:rPr>
          <w:rFonts w:ascii="Arial;Helvetica;sans-serif" w:hAnsi="Arial;Helvetica;sans-serif"/>
          <w:b/>
          <w:color w:val="1B2E5A"/>
          <w:sz w:val="21"/>
        </w:rPr>
      </w:pPr>
      <w:r>
        <w:rPr>
          <w:rFonts w:ascii="Arial;Helvetica;sans-serif" w:hAnsi="Arial;Helvetica;sans-serif"/>
          <w:b/>
          <w:color w:val="1B2E5A"/>
          <w:sz w:val="21"/>
        </w:rPr>
        <w:t>Conference Call</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Elutia will host a conference call on August 13, 2026 at 5:00 p.m. Eastern Time / 2:00 p.m. Pacific Time to discuss its second quarter 2026 financial results and business performance.</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The conference call can be accessed using the following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sz w:val="20"/>
        </w:rPr>
        <w:t>Webcast:</w:t>
      </w:r>
      <w:r>
        <w:rPr>
          <w:rFonts w:ascii="Arial;Helvetica;sans-serif" w:hAnsi="Arial;Helvetica;sans-serif"/>
          <w:sz w:val="20"/>
        </w:rPr>
        <w:t> Click here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sz w:val="20"/>
        </w:rPr>
        <w:t>Dial-In:</w:t>
      </w:r>
      <w:r>
        <w:rPr>
          <w:rFonts w:ascii="Arial;Helvetica;sans-serif" w:hAnsi="Arial;Helvetica;sans-serif"/>
          <w:sz w:val="20"/>
        </w:rPr>
        <w:t> Click here</w:t>
      </w:r>
    </w:p>
    <w:p>
      <w:pPr>
        <w:pStyle w:val="TextBody"/>
        <w:bidi w:val="0"/>
        <w:spacing w:lineRule="auto" w:line="295" w:before="0" w:after="0"/>
        <w:ind w:left="0" w:right="0" w:hanging="0"/>
        <w:jc w:val="left"/>
        <w:rPr/>
      </w:pPr>
      <w:r>
        <w:rPr/>
        <w:t>​</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To receive the dial-in number, as well as your personalized PIN, you must register at the above link. Once registered, you will also have the option to have the system dial out to you once the conference call begins. If you forget your PIN prior to the conference call, you can simply re-register.</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Please log in approximately 10 minutes prior to the scheduled start time. A live and archived webcast of the event will be available on the "Investors" section of the Elutia website at http://investors.elutia.com/.</w:t>
      </w:r>
    </w:p>
    <w:p>
      <w:pPr>
        <w:pStyle w:val="TextBody"/>
        <w:pBdr/>
        <w:bidi w:val="0"/>
        <w:spacing w:before="0" w:after="0"/>
        <w:ind w:left="0" w:right="0" w:hanging="0"/>
        <w:jc w:val="left"/>
        <w:rPr>
          <w:color w:val="1B2E5A"/>
        </w:rPr>
      </w:pPr>
      <w:r>
        <w:rPr>
          <w:color w:val="1B2E5A"/>
        </w:rPr>
        <w:t>​</w:t>
      </w:r>
    </w:p>
    <w:p>
      <w:pPr>
        <w:pStyle w:val="TextBody"/>
        <w:pBdr>
          <w:bottom w:val="single" w:sz="8" w:space="4" w:color="7AC144"/>
        </w:pBdr>
        <w:bidi w:val="0"/>
        <w:spacing w:before="0" w:after="0"/>
        <w:ind w:left="0" w:right="0" w:hanging="0"/>
        <w:jc w:val="left"/>
        <w:rPr>
          <w:rFonts w:ascii="Arial;Helvetica;sans-serif" w:hAnsi="Arial;Helvetica;sans-serif"/>
          <w:b/>
          <w:color w:val="1B2E5A"/>
          <w:sz w:val="21"/>
        </w:rPr>
      </w:pPr>
      <w:r>
        <w:rPr>
          <w:rFonts w:ascii="Arial;Helvetica;sans-serif" w:hAnsi="Arial;Helvetica;sans-serif"/>
          <w:b/>
          <w:color w:val="1B2E5A"/>
          <w:sz w:val="21"/>
        </w:rPr>
        <w:t>About Elutia</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Elutia develops and commercializes drug-eluting biomatrix products to improve compatibility between medical devices and the patients who need them. With a growing population in need of implantable technologies, Elutia’s mission is humanizing medicine so patients can thrive without compromise. For more information, visit www.Elutia.com.</w:t>
      </w:r>
    </w:p>
    <w:p>
      <w:pPr>
        <w:pStyle w:val="TextBody"/>
        <w:pBdr/>
        <w:bidi w:val="0"/>
        <w:spacing w:before="0" w:after="0"/>
        <w:ind w:left="0" w:right="0" w:hanging="0"/>
        <w:jc w:val="left"/>
        <w:rPr>
          <w:color w:val="1B2E5A"/>
        </w:rPr>
      </w:pPr>
      <w:r>
        <w:rPr>
          <w:color w:val="1B2E5A"/>
        </w:rPr>
        <w:t>​</w:t>
      </w:r>
    </w:p>
    <w:p>
      <w:pPr>
        <w:pStyle w:val="TextBody"/>
        <w:pBdr>
          <w:bottom w:val="single" w:sz="8" w:space="4" w:color="7AC144"/>
        </w:pBdr>
        <w:bidi w:val="0"/>
        <w:spacing w:before="0" w:after="0"/>
        <w:ind w:left="0" w:right="0" w:hanging="0"/>
        <w:jc w:val="left"/>
        <w:rPr>
          <w:rFonts w:ascii="Arial;Helvetica;sans-serif" w:hAnsi="Arial;Helvetica;sans-serif"/>
          <w:b/>
          <w:color w:val="1B2E5A"/>
          <w:sz w:val="21"/>
        </w:rPr>
      </w:pPr>
      <w:r>
        <w:rPr>
          <w:rFonts w:ascii="Arial;Helvetica;sans-serif" w:hAnsi="Arial;Helvetica;sans-serif"/>
          <w:b/>
          <w:color w:val="1B2E5A"/>
          <w:sz w:val="21"/>
        </w:rPr>
        <w:t>Non-GAAP Disclosure</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In addition to the Company’s financial results determined in accordance with U.S. GAAP, the Company provides non-GAAP measures that it determines to be useful in evaluating its operating performance and liquidity. The Company presents in this press release the following non-GAAP financial measures: earnings before interest, taxes, depreciation and amortization ("EBITDA"), adjusted earnings before interest, taxes, depreciation and amortization ("adjusted EBITDA"), adjusted gross margin and adjusted gross profit. The Company defines EBITDA as GAAP net loss excluding interest expense, income tax expense, depreciation and amortization, and the Company defines adjusted EBITDA as EBITDA excluding income or loss from discontinued operations, stock-based compensation, FiberCel and VBM litigation costs, loss or gain on revaluation of warrant liability, warrant issuance expenses and loss or gain on revaluation of revenue interest obligation. The Company defines adjusted gross profit and adjusted gross margin as GAAP gross profit and GAAP gross margin, respectively, excluding amortization of acquired intangible assets. The amortization of these intangible assets will recur in future periods until such intangible assets have been fully amortized. Management believes that presentation of non-GAAP financial measures provides useful supplemental information to investors and facilitates the analysis of the Company’s core operating results and comparison of operating results across reporting periods. The Company uses this non-GAAP financial information to establish budgets, manage the Company’s business, and set incentive and compensation arrangements. Non-GAAP financial information, when taken collectively, may be helpful to investors because it provides consistency and comparability with past financial performance. However, non-GAAP financial information is presented for supplemental information purposes only, has limitations as an analytical tool and should not be considered in isolation or as a substitute for financial information presented in accordance with U.S. GAAP. For a reconciliation of these non-GAAP measures to GAAP, see below "Non-GAAP Reconciliations of EBITDA and Adjusted EBITDA" and "Non-GAAP Reconciliations of Adjusted Gross Profit and Adjusted Gross Margin."</w:t>
      </w:r>
    </w:p>
    <w:p>
      <w:pPr>
        <w:pStyle w:val="TextBody"/>
        <w:pBdr/>
        <w:bidi w:val="0"/>
        <w:spacing w:before="0" w:after="0"/>
        <w:ind w:left="0" w:right="0" w:hanging="0"/>
        <w:jc w:val="left"/>
        <w:rPr>
          <w:color w:val="1B2E5A"/>
        </w:rPr>
      </w:pPr>
      <w:r>
        <w:rPr>
          <w:color w:val="1B2E5A"/>
        </w:rPr>
        <w:t>​</w:t>
      </w:r>
    </w:p>
    <w:p>
      <w:pPr>
        <w:pStyle w:val="TextBody"/>
        <w:pBdr>
          <w:bottom w:val="single" w:sz="8" w:space="4" w:color="7AC144"/>
        </w:pBdr>
        <w:bidi w:val="0"/>
        <w:spacing w:before="0" w:after="0"/>
        <w:ind w:left="0" w:right="0" w:hanging="0"/>
        <w:jc w:val="left"/>
        <w:rPr>
          <w:rFonts w:ascii="Arial;Helvetica;sans-serif" w:hAnsi="Arial;Helvetica;sans-serif"/>
          <w:b/>
          <w:color w:val="1B2E5A"/>
          <w:sz w:val="21"/>
        </w:rPr>
      </w:pPr>
      <w:r>
        <w:rPr>
          <w:rFonts w:ascii="Arial;Helvetica;sans-serif" w:hAnsi="Arial;Helvetica;sans-serif"/>
          <w:b/>
          <w:color w:val="1B2E5A"/>
          <w:sz w:val="21"/>
        </w:rPr>
        <w:t>Forward-Looking Statements</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 xml:space="preserve">This press release contains "forward-looking statements" within the meaning of Section 27A of the Securities Act of 1933, as amended, and Section 21E of the Securities Exchange Act of 1934, as amended. Forward-looking statements can be identified by words such as "projects," "may," "will," "could," "would," "should," "believes," "expects," "anticipates," "estimates," "intends," "plans," "potential," "promise" or similar references to future periods. All statements contained in this press release that do not relate to matters of historical fact should be considered forward-looking statements, including any statements and information concerning our future interactions with the U.S. Food and Drug Administration ("FDA") regarding NXT-41 and NXT-41x; expectations for FDA clearance of NXT-41 and NXT-41x, including the timing and anticipated success thereof; preparations for the commercial launch of NXT-41x, including the timing, scale and anticipated success thereof; the sufficiency of our capital resources to fund the Company through anticipated FDA clearance and the first full year of commercial launch of NXT-41x without an equity offering; the availability of the additional $5 million tranche under our Avenue Capital financing; the expected closing of the sale of our SimpliDerm business and our receipt of the associated contingent technology transfer and commercial milestone payments; the outcome and timing of the previously announced strategic process for our Cardiovascular business; the anticipated release of the $8 million held in escrow in connection with the divestiture of the BioEnvelope business; the results, interpretation and predictive value of the independent blinded surgeon survey described in this press release, including surgeons’ stated intent to adopt NXT-41x and to support it before hospital value analysis committees; the size of the plastic and reconstructive surgery market and the potential of the Company’s next-generation drug-eluting biomatrix pipeline to compete in that market; expectations regarding manufacturing capacity, scale and target gross margins; and any statements regarding future liability with respect to the FiberCel and VBM litigation. These forward-looking statements are based on our management’s beliefs and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assumptions and on information currently available to us. Additionally, such forward-looking statements are subject to a number of known and unknown risks, uncertainties and other important factors that may cause our actual results, performance or achievements to be materially different from any future results, performance or achievements expressed or implied in the forward-looking statements, including, but not limited to the following: our ability to enhance our products, expand our product indications and develop, acquire and commercialize additional product offerings, including NXT-41 and NXT-41x; our ability to obtain regulatory approval or other marketing authorizations by the U.S. Food and Drug Administration and comparable foreign authorities for our products and product candidates, including NXT-41 and NXT-41x; our ability to comply with the covenants under, and to draw the remaining availability under, our credit facility; physician awareness of the distinctive characteristics, benefits, safety, clinical efficacy and cost-effectiveness of our products; our ability to achieve or sustain profitability; our ability to regain compliance with Nasdaq’s minimum bid price requirement and otherwise maintain compliance with any other listing requirement of Nasdaq Capital Market, and our ability to maintain a listing of our Class A common stock on the Nasdaq Capital Market; our ability to raise funds in the future in the amounts and at the times needed; our ability to service our indebtedness; the risk of product liability claims and our ability to obtain or maintain adequate product liability insurance; risks relating to the pending sale of the SimpliDerm business, including the occurrence of any event, change or circumstance that could delay the sale of the SimpliDerm business or give rise to termination of the related asset purchase agreement, the risk that the technology transfer and commercial milestone payments from the sale of the SimpliDerm business are reduced, delayed, or not earned or received, the outcome of any legal proceedings instituted against us following announcement of the sale of the SimpliDerm business, the inability to consummate the sale of the SimpliDerm business due to failure to satisfy closing conditions; the risk that the sale of the SimpliDerm business disrupts our current plans and operations, including distraction of management and employees, and costs related to the sale of the SimpliDerm business; our ability to complete any strategic transaction involving our Cardiovascular business, on the anticipated timeline and terms, or at all, and to realize the anticipated benefits of that transaction; our ability to defend against the various lawsuits and claims related to our former FiberCel and other bone viable matrix (“VBM”) products and avoid a material adverse financial consequence; the continued and future acceptance of our products by the medical community; our dependence on independent sales agents to generate a substantial portion of our net sales; our dependence on a limited number of third-party suppliers and manufacturers, which, in certain cases are exclusive suppliers for products essential to our business; our ability to compete against other companies, most of which have longer operating histories, more established products and/or greater resources than we do; pricing pressure as a result of cost-containment efforts of our customers, purchasing groups, third-party payors and governmental organizations could adversely affect our sales and profitability; our ability to obtain, maintain and adequately protect our intellectual property rights; and other important factors which can be found in the "Risk Factors" section of Elutia’s public filings with the Securities and Exchange Commission ("SEC"), including Elutia’s Annual Report on Form 10-K for the year ended December 31, 2025, as such factors may be updated from time to time in Elutia’s other filings with the SEC, including Elutia’s Quarterly Reports on Form 10-Q, accessible on the SEC’s website at www.sec.gov and the Investor Relations page of Elutia’s website at https://investors.elutia.com. Because forward-looking statements are inherently subject to risks and uncertainties, you should not rely on these forward-looking statements as predictions of future events. Any forward-looking statement made by Elutia in this press release is based only on information currently available and speaks only as of the date on which it is made. Except as required by applicable law, Elutia expressly disclaims any obligations to publicly update any forward-looking statements, whether written or oral, that may be made from time to time, whether as a result of new information, future developments or otherwise.</w:t>
      </w:r>
    </w:p>
    <w:p>
      <w:pPr>
        <w:pStyle w:val="TextBody"/>
        <w:bidi w:val="0"/>
        <w:spacing w:lineRule="auto" w:line="295" w:before="0" w:after="0"/>
        <w:ind w:left="0" w:right="0" w:hanging="0"/>
        <w:jc w:val="left"/>
        <w:rPr/>
      </w:pPr>
      <w:r>
        <w:rPr/>
        <w:t>​</w:t>
      </w:r>
    </w:p>
    <w:p>
      <w:pPr>
        <w:pStyle w:val="TextBody"/>
        <w:bidi w:val="0"/>
        <w:spacing w:lineRule="auto" w:line="295" w:before="0" w:after="0"/>
        <w:ind w:left="0" w:right="0" w:hanging="0"/>
        <w:jc w:val="left"/>
        <w:rPr>
          <w:rFonts w:ascii="Arial;Helvetica;sans-serif" w:hAnsi="Arial;Helvetica;sans-serif"/>
          <w:b/>
          <w:sz w:val="20"/>
        </w:rPr>
      </w:pPr>
      <w:r>
        <w:rPr>
          <w:rFonts w:ascii="Arial;Helvetica;sans-serif" w:hAnsi="Arial;Helvetica;sans-serif"/>
          <w:b/>
          <w:sz w:val="20"/>
        </w:rPr>
        <w:t>Investors:</w:t>
      </w:r>
    </w:p>
    <w:p>
      <w:pPr>
        <w:pStyle w:val="TextBody"/>
        <w:bidi w:val="0"/>
        <w:spacing w:lineRule="auto" w:line="295" w:before="0" w:after="0"/>
        <w:ind w:left="0" w:right="0" w:hanging="0"/>
        <w:jc w:val="left"/>
        <w:rPr>
          <w:rFonts w:ascii="Arial;Helvetica;sans-serif" w:hAnsi="Arial;Helvetica;sans-serif"/>
          <w:sz w:val="20"/>
        </w:rPr>
      </w:pPr>
      <w:r>
        <w:rPr>
          <w:rFonts w:ascii="Arial;Helvetica;sans-serif" w:hAnsi="Arial;Helvetica;sans-serif"/>
          <w:sz w:val="20"/>
        </w:rPr>
        <w:t>Elutia Investor Relations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ir@elutia.com</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tbl>
      <w:tblPr>
        <w:tblW w:w="6381" w:type="dxa"/>
        <w:jc w:val="left"/>
        <w:tblInd w:w="0" w:type="dxa"/>
        <w:tblLayout w:type="fixed"/>
        <w:tblCellMar>
          <w:top w:w="0" w:type="dxa"/>
          <w:left w:w="0" w:type="dxa"/>
          <w:bottom w:w="0" w:type="dxa"/>
          <w:right w:w="0" w:type="dxa"/>
        </w:tblCellMar>
      </w:tblPr>
      <w:tblGrid>
        <w:gridCol w:w="3416"/>
        <w:gridCol w:w="64"/>
        <w:gridCol w:w="1171"/>
        <w:gridCol w:w="109"/>
        <w:gridCol w:w="1621"/>
      </w:tblGrid>
      <w:tr>
        <w:trPr/>
        <w:tc>
          <w:tcPr>
            <w:tcW w:w="341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ELUTIA INC.</w:t>
            </w:r>
          </w:p>
        </w:tc>
        <w:tc>
          <w:tcPr>
            <w:tcW w:w="2965" w:type="dxa"/>
            <w:gridSpan w:val="4"/>
            <w:tcBorders/>
            <w:vAlign w:val="center"/>
          </w:tcPr>
          <w:p>
            <w:pPr>
              <w:pStyle w:val="TableContents"/>
              <w:bidi w:val="0"/>
              <w:spacing w:before="0" w:after="0"/>
              <w:ind w:left="0" w:right="0" w:hanging="0"/>
              <w:jc w:val="left"/>
              <w:rPr/>
            </w:pPr>
            <w:r>
              <w:rPr/>
              <w:t>​</w:t>
            </w:r>
          </w:p>
        </w:tc>
      </w:tr>
      <w:tr>
        <w:trPr/>
        <w:tc>
          <w:tcPr>
            <w:tcW w:w="6381" w:type="dxa"/>
            <w:gridSpan w:val="5"/>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CONSOLIDATED BALANCE SHEET DATA</w:t>
            </w:r>
          </w:p>
        </w:tc>
      </w:tr>
      <w:tr>
        <w:trPr/>
        <w:tc>
          <w:tcPr>
            <w:tcW w:w="6381" w:type="dxa"/>
            <w:gridSpan w:val="5"/>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(Unaudited, in thousands)</w:t>
            </w:r>
          </w:p>
        </w:tc>
      </w:tr>
      <w:tr>
        <w:trPr/>
        <w:tc>
          <w:tcPr>
            <w:tcW w:w="3480" w:type="dxa"/>
            <w:gridSpan w:val="2"/>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Assets</w:t>
            </w:r>
          </w:p>
        </w:tc>
        <w:tc>
          <w:tcPr>
            <w:tcW w:w="1171" w:type="dxa"/>
            <w:tcBorders>
              <w:bottom w:val="single" w:sz="2" w:space="0" w:color="1B2E5A"/>
            </w:tcBorders>
            <w:tcMar>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June 30, 2026</w:t>
            </w:r>
          </w:p>
        </w:tc>
        <w:tc>
          <w:tcPr>
            <w:tcW w:w="109" w:type="dxa"/>
            <w:tcBorders/>
            <w:vAlign w:val="center"/>
          </w:tcPr>
          <w:p>
            <w:pPr>
              <w:pStyle w:val="TableContents"/>
              <w:bidi w:val="0"/>
              <w:spacing w:before="0" w:after="0"/>
              <w:ind w:left="0" w:right="0" w:hanging="0"/>
              <w:jc w:val="right"/>
              <w:rPr/>
            </w:pPr>
            <w:r>
              <w:rPr/>
              <w:t>​</w:t>
            </w:r>
          </w:p>
        </w:tc>
        <w:tc>
          <w:tcPr>
            <w:tcW w:w="1621" w:type="dxa"/>
            <w:tcBorders>
              <w:bottom w:val="single" w:sz="2" w:space="0" w:color="1B2E5A"/>
            </w:tcBorders>
            <w:tcMar>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December 31, 2025</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Current assets:</w:t>
            </w:r>
          </w:p>
        </w:tc>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Cash and cash equivalents</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$ 19,896</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$ 36,350</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Accounts receivable, net</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1,438</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1,734</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Inventory</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2,649</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2,617</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Insurance receivables of litigation costs</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3,854</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4,846</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Prepaid expense and other current assets</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9,378</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10,271</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Total current assets</w:t>
            </w:r>
          </w:p>
        </w:tc>
        <w:tc>
          <w:tcPr>
            <w:tcW w:w="1171"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37,215</w:t>
            </w:r>
          </w:p>
        </w:tc>
        <w:tc>
          <w:tcPr>
            <w:tcW w:w="109" w:type="dxa"/>
            <w:tcBorders/>
            <w:vAlign w:val="center"/>
          </w:tcPr>
          <w:p>
            <w:pPr>
              <w:pStyle w:val="TableContents"/>
              <w:bidi w:val="0"/>
              <w:spacing w:before="0" w:after="0"/>
              <w:ind w:left="0" w:right="0" w:hanging="0"/>
              <w:jc w:val="right"/>
              <w:rPr/>
            </w:pPr>
            <w:r>
              <w:rPr/>
              <w:t>​</w:t>
            </w:r>
          </w:p>
        </w:tc>
        <w:tc>
          <w:tcPr>
            <w:tcW w:w="1621"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55,818</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Property and equipment, net</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2,922</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2,511</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Intangible assets, net</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990</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1,529</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Operating lease right-of-use assets, and other</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2,522</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2,492</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Total assets</w:t>
            </w:r>
          </w:p>
        </w:tc>
        <w:tc>
          <w:tcPr>
            <w:tcW w:w="1171"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$ 43,649</w:t>
            </w:r>
          </w:p>
        </w:tc>
        <w:tc>
          <w:tcPr>
            <w:tcW w:w="109" w:type="dxa"/>
            <w:tcBorders/>
            <w:vAlign w:val="center"/>
          </w:tcPr>
          <w:p>
            <w:pPr>
              <w:pStyle w:val="TableContents"/>
              <w:bidi w:val="0"/>
              <w:spacing w:before="0" w:after="0"/>
              <w:ind w:left="0" w:right="0" w:hanging="0"/>
              <w:jc w:val="right"/>
              <w:rPr/>
            </w:pPr>
            <w:r>
              <w:rPr/>
              <w:t>​</w:t>
            </w:r>
          </w:p>
        </w:tc>
        <w:tc>
          <w:tcPr>
            <w:tcW w:w="1621"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$ 62,350</w:t>
            </w:r>
          </w:p>
        </w:tc>
      </w:tr>
      <w:tr>
        <w:trPr/>
        <w:tc>
          <w:tcPr>
            <w:tcW w:w="3480" w:type="dxa"/>
            <w:gridSpan w:val="2"/>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Liabilities and Stockholders' Equity</w:t>
            </w:r>
          </w:p>
        </w:tc>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Current liabilities:</w:t>
            </w:r>
          </w:p>
        </w:tc>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Accounts payable and accrued expenses</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$ 8,329</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$ 9,143</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Current portion of revenue interest obligation</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6,412</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4,400</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Contingent liability for legal proceedings</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5,619</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11,241</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Current operating lease liabilities</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685</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355</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Total current liabilities</w:t>
            </w:r>
          </w:p>
        </w:tc>
        <w:tc>
          <w:tcPr>
            <w:tcW w:w="1171"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21,045</w:t>
            </w:r>
          </w:p>
        </w:tc>
        <w:tc>
          <w:tcPr>
            <w:tcW w:w="109" w:type="dxa"/>
            <w:tcBorders/>
            <w:vAlign w:val="center"/>
          </w:tcPr>
          <w:p>
            <w:pPr>
              <w:pStyle w:val="TableContents"/>
              <w:bidi w:val="0"/>
              <w:spacing w:before="0" w:after="0"/>
              <w:ind w:left="0" w:right="0" w:hanging="0"/>
              <w:jc w:val="right"/>
              <w:rPr/>
            </w:pPr>
            <w:r>
              <w:rPr/>
              <w:t>​</w:t>
            </w:r>
          </w:p>
        </w:tc>
        <w:tc>
          <w:tcPr>
            <w:tcW w:w="1621"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25,139</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Long-term revenue interest obligation</w:t>
            </w:r>
          </w:p>
        </w:tc>
        <w:tc>
          <w:tcPr>
            <w:tcW w:w="11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2,828</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Warrant liability</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3,163</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3,124</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Long-term operating lease liabilities</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3,695</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3,587</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Total liabilities</w:t>
            </w:r>
          </w:p>
        </w:tc>
        <w:tc>
          <w:tcPr>
            <w:tcW w:w="1171"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27,903</w:t>
            </w:r>
          </w:p>
        </w:tc>
        <w:tc>
          <w:tcPr>
            <w:tcW w:w="109" w:type="dxa"/>
            <w:tcBorders/>
            <w:vAlign w:val="center"/>
          </w:tcPr>
          <w:p>
            <w:pPr>
              <w:pStyle w:val="TableContents"/>
              <w:bidi w:val="0"/>
              <w:spacing w:before="0" w:after="0"/>
              <w:ind w:left="0" w:right="0" w:hanging="0"/>
              <w:jc w:val="right"/>
              <w:rPr/>
            </w:pPr>
            <w:r>
              <w:rPr/>
              <w:t>​</w:t>
            </w:r>
          </w:p>
        </w:tc>
        <w:tc>
          <w:tcPr>
            <w:tcW w:w="1621"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34,678</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Stockholders' equity:</w:t>
            </w:r>
          </w:p>
        </w:tc>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Common stock</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44</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43</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Additional paid-in capital</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207,030</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203,842</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Accumulated deficit</w:t>
            </w:r>
          </w:p>
        </w:tc>
        <w:tc>
          <w:tcPr>
            <w:tcW w:w="117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(191,328)</w:t>
            </w:r>
          </w:p>
        </w:tc>
        <w:tc>
          <w:tcPr>
            <w:tcW w:w="109" w:type="dxa"/>
            <w:tcBorders/>
            <w:vAlign w:val="center"/>
          </w:tcPr>
          <w:p>
            <w:pPr>
              <w:pStyle w:val="TableContents"/>
              <w:bidi w:val="0"/>
              <w:spacing w:before="0" w:after="0"/>
              <w:ind w:left="0" w:right="0" w:hanging="0"/>
              <w:jc w:val="right"/>
              <w:rPr/>
            </w:pPr>
            <w:r>
              <w:rPr/>
              <w:t>​</w:t>
            </w:r>
          </w:p>
        </w:tc>
        <w:tc>
          <w:tcPr>
            <w:tcW w:w="162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(176,213)</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Total stockholders' equity</w:t>
            </w:r>
          </w:p>
        </w:tc>
        <w:tc>
          <w:tcPr>
            <w:tcW w:w="1171"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15,746</w:t>
            </w:r>
          </w:p>
        </w:tc>
        <w:tc>
          <w:tcPr>
            <w:tcW w:w="109" w:type="dxa"/>
            <w:tcBorders/>
            <w:vAlign w:val="center"/>
          </w:tcPr>
          <w:p>
            <w:pPr>
              <w:pStyle w:val="TableContents"/>
              <w:bidi w:val="0"/>
              <w:spacing w:before="0" w:after="0"/>
              <w:ind w:left="0" w:right="0" w:hanging="0"/>
              <w:jc w:val="right"/>
              <w:rPr/>
            </w:pPr>
            <w:r>
              <w:rPr/>
              <w:t>​</w:t>
            </w:r>
          </w:p>
        </w:tc>
        <w:tc>
          <w:tcPr>
            <w:tcW w:w="1621"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27,672</w:t>
            </w:r>
          </w:p>
        </w:tc>
      </w:tr>
      <w:tr>
        <w:trPr/>
        <w:tc>
          <w:tcPr>
            <w:tcW w:w="3480" w:type="dxa"/>
            <w:gridSpan w:val="2"/>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Total liabilities and stockholders' equity</w:t>
            </w:r>
          </w:p>
        </w:tc>
        <w:tc>
          <w:tcPr>
            <w:tcW w:w="1171"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$ 43,649</w:t>
            </w:r>
          </w:p>
        </w:tc>
        <w:tc>
          <w:tcPr>
            <w:tcW w:w="109" w:type="dxa"/>
            <w:tcBorders/>
            <w:vAlign w:val="center"/>
          </w:tcPr>
          <w:p>
            <w:pPr>
              <w:pStyle w:val="TableContents"/>
              <w:bidi w:val="0"/>
              <w:spacing w:before="0" w:after="0"/>
              <w:ind w:left="0" w:right="0" w:hanging="0"/>
              <w:jc w:val="right"/>
              <w:rPr/>
            </w:pPr>
            <w:r>
              <w:rPr/>
              <w:t>​</w:t>
            </w:r>
          </w:p>
        </w:tc>
        <w:tc>
          <w:tcPr>
            <w:tcW w:w="1621"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$ 62,350</w:t>
            </w:r>
          </w:p>
        </w:tc>
      </w:tr>
    </w:tbl>
    <w:p>
      <w:pPr>
        <w:pStyle w:val="TextBody"/>
        <w:bidi w:val="0"/>
        <w:spacing w:lineRule="auto" w:line="295" w:before="0" w:after="0"/>
        <w:ind w:left="0" w:right="0" w:hanging="0"/>
        <w:jc w:val="left"/>
        <w:rPr>
          <w:color w:val="222222"/>
        </w:rPr>
      </w:pPr>
      <w:r>
        <w:rPr>
          <w:color w:val="222222"/>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tbl>
      <w:tblPr>
        <w:tblW w:w="9861" w:type="dxa"/>
        <w:jc w:val="left"/>
        <w:tblInd w:w="0" w:type="dxa"/>
        <w:tblLayout w:type="fixed"/>
        <w:tblCellMar>
          <w:top w:w="0" w:type="dxa"/>
          <w:left w:w="0" w:type="dxa"/>
          <w:bottom w:w="0" w:type="dxa"/>
          <w:right w:w="0" w:type="dxa"/>
        </w:tblCellMar>
      </w:tblPr>
      <w:tblGrid>
        <w:gridCol w:w="3764"/>
        <w:gridCol w:w="345"/>
        <w:gridCol w:w="165"/>
        <w:gridCol w:w="635"/>
        <w:gridCol w:w="281"/>
        <w:gridCol w:w="239"/>
        <w:gridCol w:w="2013"/>
        <w:gridCol w:w="125"/>
        <w:gridCol w:w="1059"/>
        <w:gridCol w:w="125"/>
        <w:gridCol w:w="1110"/>
      </w:tblGrid>
      <w:tr>
        <w:trPr/>
        <w:tc>
          <w:tcPr>
            <w:tcW w:w="3764"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ELUTIA INC.</w:t>
            </w:r>
          </w:p>
        </w:tc>
        <w:tc>
          <w:tcPr>
            <w:tcW w:w="345" w:type="dxa"/>
            <w:tcBorders/>
            <w:vAlign w:val="center"/>
          </w:tcPr>
          <w:p>
            <w:pPr>
              <w:pStyle w:val="TableContents"/>
              <w:bidi w:val="0"/>
              <w:spacing w:before="0" w:after="0"/>
              <w:ind w:left="0" w:right="0" w:hanging="0"/>
              <w:jc w:val="left"/>
              <w:rPr/>
            </w:pPr>
            <w:r>
              <w:rPr/>
              <w:t>​</w:t>
            </w:r>
          </w:p>
        </w:tc>
        <w:tc>
          <w:tcPr>
            <w:tcW w:w="800" w:type="dxa"/>
            <w:gridSpan w:val="2"/>
            <w:tcBorders/>
            <w:vAlign w:val="center"/>
          </w:tcPr>
          <w:p>
            <w:pPr>
              <w:pStyle w:val="TableContents"/>
              <w:bidi w:val="0"/>
              <w:spacing w:before="0" w:after="0"/>
              <w:ind w:left="0" w:right="0" w:hanging="0"/>
              <w:jc w:val="left"/>
              <w:rPr/>
            </w:pPr>
            <w:r>
              <w:rPr/>
              <w:t>​</w:t>
            </w:r>
          </w:p>
        </w:tc>
        <w:tc>
          <w:tcPr>
            <w:tcW w:w="4952" w:type="dxa"/>
            <w:gridSpan w:val="7"/>
            <w:tcBorders/>
            <w:vAlign w:val="center"/>
          </w:tcPr>
          <w:p>
            <w:pPr>
              <w:pStyle w:val="TableContents"/>
              <w:bidi w:val="0"/>
              <w:spacing w:before="0" w:after="0"/>
              <w:ind w:left="0" w:right="0" w:hanging="0"/>
              <w:jc w:val="left"/>
              <w:rPr/>
            </w:pPr>
            <w:r>
              <w:rPr/>
              <w:t>​</w:t>
            </w:r>
          </w:p>
        </w:tc>
      </w:tr>
      <w:tr>
        <w:trPr/>
        <w:tc>
          <w:tcPr>
            <w:tcW w:w="9861" w:type="dxa"/>
            <w:gridSpan w:val="11"/>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CONSOLIDATED STATEMENT OF OPERATIONS</w:t>
            </w:r>
          </w:p>
        </w:tc>
      </w:tr>
      <w:tr>
        <w:trPr/>
        <w:tc>
          <w:tcPr>
            <w:tcW w:w="9861" w:type="dxa"/>
            <w:gridSpan w:val="11"/>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(Unaudited, in thousands, except share and per share data)</w:t>
            </w:r>
          </w:p>
        </w:tc>
      </w:tr>
      <w:tr>
        <w:trPr/>
        <w:tc>
          <w:tcPr>
            <w:tcW w:w="4274" w:type="dxa"/>
            <w:gridSpan w:val="3"/>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201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left"/>
              <w:rPr/>
            </w:pPr>
            <w:r>
              <w:rPr/>
              <w:t>​</w:t>
            </w:r>
          </w:p>
        </w:tc>
      </w:tr>
      <w:tr>
        <w:trPr/>
        <w:tc>
          <w:tcPr>
            <w:tcW w:w="4274" w:type="dxa"/>
            <w:gridSpan w:val="3"/>
            <w:tcBorders/>
            <w:vAlign w:val="center"/>
          </w:tcPr>
          <w:p>
            <w:pPr>
              <w:pStyle w:val="TableContents"/>
              <w:bidi w:val="0"/>
              <w:spacing w:before="0" w:after="0"/>
              <w:ind w:left="0" w:right="0" w:hanging="0"/>
              <w:jc w:val="left"/>
              <w:rPr/>
            </w:pPr>
            <w:r>
              <w:rPr/>
              <w:t>​</w:t>
            </w:r>
          </w:p>
        </w:tc>
        <w:tc>
          <w:tcPr>
            <w:tcW w:w="3168" w:type="dxa"/>
            <w:gridSpan w:val="4"/>
            <w:tcBorders/>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Three months ended June 30,</w:t>
            </w:r>
          </w:p>
        </w:tc>
        <w:tc>
          <w:tcPr>
            <w:tcW w:w="125" w:type="dxa"/>
            <w:tcBorders/>
            <w:vAlign w:val="center"/>
          </w:tcPr>
          <w:p>
            <w:pPr>
              <w:pStyle w:val="TableContents"/>
              <w:bidi w:val="0"/>
              <w:spacing w:before="0" w:after="0"/>
              <w:ind w:left="0" w:right="0" w:hanging="0"/>
              <w:jc w:val="center"/>
              <w:rPr/>
            </w:pPr>
            <w:r>
              <w:rPr/>
              <w:t>​</w:t>
            </w:r>
          </w:p>
        </w:tc>
        <w:tc>
          <w:tcPr>
            <w:tcW w:w="2294" w:type="dxa"/>
            <w:gridSpan w:val="3"/>
            <w:tcBorders/>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Six months ended June 30,</w:t>
            </w:r>
          </w:p>
        </w:tc>
      </w:tr>
      <w:tr>
        <w:trPr/>
        <w:tc>
          <w:tcPr>
            <w:tcW w:w="4274" w:type="dxa"/>
            <w:gridSpan w:val="3"/>
            <w:tcBorders/>
            <w:vAlign w:val="center"/>
          </w:tcPr>
          <w:p>
            <w:pPr>
              <w:pStyle w:val="TableContents"/>
              <w:bidi w:val="0"/>
              <w:spacing w:before="0" w:after="0"/>
              <w:ind w:left="0" w:right="0" w:hanging="0"/>
              <w:jc w:val="left"/>
              <w:rPr/>
            </w:pPr>
            <w:r>
              <w:rPr/>
              <w:t>​</w:t>
            </w:r>
          </w:p>
        </w:tc>
        <w:tc>
          <w:tcPr>
            <w:tcW w:w="916" w:type="dxa"/>
            <w:gridSpan w:val="2"/>
            <w:tcBorders>
              <w:top w:val="single" w:sz="18" w:space="0" w:color="000000"/>
              <w:bottom w:val="single" w:sz="2" w:space="0" w:color="000000"/>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2026</w:t>
            </w:r>
          </w:p>
        </w:tc>
        <w:tc>
          <w:tcPr>
            <w:tcW w:w="239" w:type="dxa"/>
            <w:tcBorders>
              <w:top w:val="single" w:sz="18" w:space="0" w:color="000000"/>
            </w:tcBorders>
            <w:tcMar>
              <w:top w:w="30" w:type="dxa"/>
            </w:tcMar>
            <w:vAlign w:val="center"/>
          </w:tcPr>
          <w:p>
            <w:pPr>
              <w:pStyle w:val="TableContents"/>
              <w:bidi w:val="0"/>
              <w:spacing w:before="0" w:after="0"/>
              <w:ind w:left="0" w:right="0" w:hanging="0"/>
              <w:jc w:val="right"/>
              <w:rPr/>
            </w:pPr>
            <w:r>
              <w:rPr/>
              <w:t>​</w:t>
            </w:r>
          </w:p>
        </w:tc>
        <w:tc>
          <w:tcPr>
            <w:tcW w:w="2013" w:type="dxa"/>
            <w:tcBorders>
              <w:top w:val="single" w:sz="18" w:space="0" w:color="000000"/>
              <w:bottom w:val="single" w:sz="2" w:space="0" w:color="000000"/>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2025</w:t>
            </w:r>
          </w:p>
        </w:tc>
        <w:tc>
          <w:tcPr>
            <w:tcW w:w="125" w:type="dxa"/>
            <w:tcBorders/>
            <w:vAlign w:val="center"/>
          </w:tcPr>
          <w:p>
            <w:pPr>
              <w:pStyle w:val="TableContents"/>
              <w:bidi w:val="0"/>
              <w:spacing w:before="0" w:after="0"/>
              <w:ind w:left="0" w:right="0" w:hanging="0"/>
              <w:jc w:val="right"/>
              <w:rPr/>
            </w:pPr>
            <w:r>
              <w:rPr/>
              <w:t>​</w:t>
            </w:r>
          </w:p>
        </w:tc>
        <w:tc>
          <w:tcPr>
            <w:tcW w:w="1059" w:type="dxa"/>
            <w:tcBorders>
              <w:top w:val="single" w:sz="18" w:space="0" w:color="000000"/>
              <w:bottom w:val="single" w:sz="2" w:space="0" w:color="000000"/>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2026</w:t>
            </w:r>
          </w:p>
        </w:tc>
        <w:tc>
          <w:tcPr>
            <w:tcW w:w="125" w:type="dxa"/>
            <w:tcBorders>
              <w:top w:val="single" w:sz="18" w:space="0" w:color="000000"/>
            </w:tcBorders>
            <w:tcMar>
              <w:top w:w="30" w:type="dxa"/>
            </w:tcMar>
            <w:vAlign w:val="center"/>
          </w:tcPr>
          <w:p>
            <w:pPr>
              <w:pStyle w:val="TableContents"/>
              <w:bidi w:val="0"/>
              <w:spacing w:before="0" w:after="0"/>
              <w:ind w:left="0" w:right="0" w:hanging="0"/>
              <w:jc w:val="right"/>
              <w:rPr/>
            </w:pPr>
            <w:r>
              <w:rPr/>
              <w:t>​</w:t>
            </w:r>
          </w:p>
        </w:tc>
        <w:tc>
          <w:tcPr>
            <w:tcW w:w="1110" w:type="dxa"/>
            <w:tcBorders>
              <w:top w:val="single" w:sz="18" w:space="0" w:color="000000"/>
              <w:bottom w:val="single" w:sz="2" w:space="0" w:color="000000"/>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2025</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Net sales</w:t>
            </w:r>
          </w:p>
        </w:tc>
        <w:tc>
          <w:tcPr>
            <w:tcW w:w="916" w:type="dxa"/>
            <w:gridSpan w:val="2"/>
            <w:tcBorders>
              <w:top w:val="single" w:sz="2" w:space="0" w:color="000000"/>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$ 2,427</w:t>
            </w:r>
          </w:p>
        </w:tc>
        <w:tc>
          <w:tcPr>
            <w:tcW w:w="239" w:type="dxa"/>
            <w:tcBorders/>
            <w:vAlign w:val="center"/>
          </w:tcPr>
          <w:p>
            <w:pPr>
              <w:pStyle w:val="TableContents"/>
              <w:bidi w:val="0"/>
              <w:spacing w:before="0" w:after="0"/>
              <w:ind w:left="0" w:right="0" w:hanging="0"/>
              <w:jc w:val="right"/>
              <w:rPr/>
            </w:pPr>
            <w:r>
              <w:rPr/>
              <w:t>​</w:t>
            </w:r>
          </w:p>
        </w:tc>
        <w:tc>
          <w:tcPr>
            <w:tcW w:w="2013" w:type="dxa"/>
            <w:tcBorders>
              <w:top w:val="single" w:sz="2" w:space="0" w:color="000000"/>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$ 2,747</w:t>
            </w:r>
          </w:p>
        </w:tc>
        <w:tc>
          <w:tcPr>
            <w:tcW w:w="125" w:type="dxa"/>
            <w:tcBorders/>
            <w:vAlign w:val="center"/>
          </w:tcPr>
          <w:p>
            <w:pPr>
              <w:pStyle w:val="TableContents"/>
              <w:bidi w:val="0"/>
              <w:spacing w:before="0" w:after="0"/>
              <w:ind w:left="0" w:right="0" w:hanging="0"/>
              <w:jc w:val="right"/>
              <w:rPr/>
            </w:pPr>
            <w:r>
              <w:rPr/>
              <w:t>​</w:t>
            </w:r>
          </w:p>
        </w:tc>
        <w:tc>
          <w:tcPr>
            <w:tcW w:w="1059" w:type="dxa"/>
            <w:tcBorders>
              <w:top w:val="single" w:sz="2" w:space="0" w:color="000000"/>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$ 5,541</w:t>
            </w:r>
          </w:p>
        </w:tc>
        <w:tc>
          <w:tcPr>
            <w:tcW w:w="125" w:type="dxa"/>
            <w:tcBorders/>
            <w:vAlign w:val="center"/>
          </w:tcPr>
          <w:p>
            <w:pPr>
              <w:pStyle w:val="TableContents"/>
              <w:bidi w:val="0"/>
              <w:spacing w:before="0" w:after="0"/>
              <w:ind w:left="0" w:right="0" w:hanging="0"/>
              <w:jc w:val="right"/>
              <w:rPr/>
            </w:pPr>
            <w:r>
              <w:rPr/>
              <w:t>​</w:t>
            </w:r>
          </w:p>
        </w:tc>
        <w:tc>
          <w:tcPr>
            <w:tcW w:w="1110" w:type="dxa"/>
            <w:tcBorders>
              <w:top w:val="single" w:sz="2" w:space="0" w:color="000000"/>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$ 5,698</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Cost of goods sold</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980</w:t>
            </w:r>
          </w:p>
        </w:tc>
        <w:tc>
          <w:tcPr>
            <w:tcW w:w="239" w:type="dxa"/>
            <w:tcBorders/>
            <w:vAlign w:val="center"/>
          </w:tcPr>
          <w:p>
            <w:pPr>
              <w:pStyle w:val="TableContents"/>
              <w:bidi w:val="0"/>
              <w:spacing w:before="0" w:after="0"/>
              <w:ind w:left="0" w:right="0" w:hanging="0"/>
              <w:jc w:val="right"/>
              <w:rPr/>
            </w:pPr>
            <w:r>
              <w:rPr/>
              <w:t>​</w:t>
            </w:r>
          </w:p>
        </w:tc>
        <w:tc>
          <w:tcPr>
            <w:tcW w:w="2013"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1,294</w:t>
            </w:r>
          </w:p>
        </w:tc>
        <w:tc>
          <w:tcPr>
            <w:tcW w:w="125" w:type="dxa"/>
            <w:tcBorders/>
            <w:vAlign w:val="center"/>
          </w:tcPr>
          <w:p>
            <w:pPr>
              <w:pStyle w:val="TableContents"/>
              <w:bidi w:val="0"/>
              <w:spacing w:before="0" w:after="0"/>
              <w:ind w:left="0" w:right="0" w:hanging="0"/>
              <w:jc w:val="righ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2,292</w:t>
            </w:r>
          </w:p>
        </w:tc>
        <w:tc>
          <w:tcPr>
            <w:tcW w:w="125"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2,863</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Gross profit</w:t>
            </w:r>
          </w:p>
        </w:tc>
        <w:tc>
          <w:tcPr>
            <w:tcW w:w="916" w:type="dxa"/>
            <w:gridSpan w:val="2"/>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1,447</w:t>
            </w:r>
          </w:p>
        </w:tc>
        <w:tc>
          <w:tcPr>
            <w:tcW w:w="239" w:type="dxa"/>
            <w:tcBorders/>
            <w:vAlign w:val="center"/>
          </w:tcPr>
          <w:p>
            <w:pPr>
              <w:pStyle w:val="TableContents"/>
              <w:bidi w:val="0"/>
              <w:spacing w:before="0" w:after="0"/>
              <w:ind w:left="0" w:right="0" w:hanging="0"/>
              <w:jc w:val="right"/>
              <w:rPr/>
            </w:pPr>
            <w:r>
              <w:rPr/>
              <w:t>​</w:t>
            </w:r>
          </w:p>
        </w:tc>
        <w:tc>
          <w:tcPr>
            <w:tcW w:w="2013"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1,453</w:t>
            </w:r>
          </w:p>
        </w:tc>
        <w:tc>
          <w:tcPr>
            <w:tcW w:w="125" w:type="dxa"/>
            <w:tcBorders/>
            <w:vAlign w:val="center"/>
          </w:tcPr>
          <w:p>
            <w:pPr>
              <w:pStyle w:val="TableContents"/>
              <w:bidi w:val="0"/>
              <w:spacing w:before="0" w:after="0"/>
              <w:ind w:left="0" w:right="0" w:hanging="0"/>
              <w:jc w:val="right"/>
              <w:rPr/>
            </w:pPr>
            <w:r>
              <w:rPr/>
              <w:t>​</w:t>
            </w:r>
          </w:p>
        </w:tc>
        <w:tc>
          <w:tcPr>
            <w:tcW w:w="1059"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3,249</w:t>
            </w:r>
          </w:p>
        </w:tc>
        <w:tc>
          <w:tcPr>
            <w:tcW w:w="125" w:type="dxa"/>
            <w:tcBorders/>
            <w:vAlign w:val="center"/>
          </w:tcPr>
          <w:p>
            <w:pPr>
              <w:pStyle w:val="TableContents"/>
              <w:bidi w:val="0"/>
              <w:spacing w:before="0" w:after="0"/>
              <w:ind w:left="0" w:right="0" w:hanging="0"/>
              <w:jc w:val="right"/>
              <w:rPr/>
            </w:pPr>
            <w:r>
              <w:rPr/>
              <w:t>​</w:t>
            </w:r>
          </w:p>
        </w:tc>
        <w:tc>
          <w:tcPr>
            <w:tcW w:w="1110"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2,835</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Operating expenses:</w:t>
            </w:r>
          </w:p>
        </w:tc>
        <w:tc>
          <w:tcPr>
            <w:tcW w:w="916" w:type="dxa"/>
            <w:gridSpan w:val="2"/>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201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left"/>
              <w:rPr/>
            </w:pPr>
            <w:r>
              <w:rPr/>
              <w:t>​</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Sales and marketing</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1,366</w:t>
            </w:r>
          </w:p>
        </w:tc>
        <w:tc>
          <w:tcPr>
            <w:tcW w:w="239" w:type="dxa"/>
            <w:tcBorders/>
            <w:vAlign w:val="center"/>
          </w:tcPr>
          <w:p>
            <w:pPr>
              <w:pStyle w:val="TableContents"/>
              <w:bidi w:val="0"/>
              <w:spacing w:before="0" w:after="0"/>
              <w:ind w:left="0" w:right="0" w:hanging="0"/>
              <w:jc w:val="right"/>
              <w:rPr/>
            </w:pPr>
            <w:r>
              <w:rPr/>
              <w:t>​</w:t>
            </w:r>
          </w:p>
        </w:tc>
        <w:tc>
          <w:tcPr>
            <w:tcW w:w="2013"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1,273</w:t>
            </w:r>
          </w:p>
        </w:tc>
        <w:tc>
          <w:tcPr>
            <w:tcW w:w="125" w:type="dxa"/>
            <w:tcBorders/>
            <w:vAlign w:val="center"/>
          </w:tcPr>
          <w:p>
            <w:pPr>
              <w:pStyle w:val="TableContents"/>
              <w:bidi w:val="0"/>
              <w:spacing w:before="0" w:after="0"/>
              <w:ind w:left="0" w:right="0" w:hanging="0"/>
              <w:jc w:val="righ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2,846</w:t>
            </w:r>
          </w:p>
        </w:tc>
        <w:tc>
          <w:tcPr>
            <w:tcW w:w="125"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2,268</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General and administrative</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3,454</w:t>
            </w:r>
          </w:p>
        </w:tc>
        <w:tc>
          <w:tcPr>
            <w:tcW w:w="239" w:type="dxa"/>
            <w:tcBorders/>
            <w:vAlign w:val="center"/>
          </w:tcPr>
          <w:p>
            <w:pPr>
              <w:pStyle w:val="TableContents"/>
              <w:bidi w:val="0"/>
              <w:spacing w:before="0" w:after="0"/>
              <w:ind w:left="0" w:right="0" w:hanging="0"/>
              <w:jc w:val="right"/>
              <w:rPr/>
            </w:pPr>
            <w:r>
              <w:rPr/>
              <w:t>​</w:t>
            </w:r>
          </w:p>
        </w:tc>
        <w:tc>
          <w:tcPr>
            <w:tcW w:w="2013"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3,552</w:t>
            </w:r>
          </w:p>
        </w:tc>
        <w:tc>
          <w:tcPr>
            <w:tcW w:w="125" w:type="dxa"/>
            <w:tcBorders/>
            <w:vAlign w:val="center"/>
          </w:tcPr>
          <w:p>
            <w:pPr>
              <w:pStyle w:val="TableContents"/>
              <w:bidi w:val="0"/>
              <w:spacing w:before="0" w:after="0"/>
              <w:ind w:left="0" w:right="0" w:hanging="0"/>
              <w:jc w:val="righ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7,545</w:t>
            </w:r>
          </w:p>
        </w:tc>
        <w:tc>
          <w:tcPr>
            <w:tcW w:w="125"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7,273</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Research and development</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2,527</w:t>
            </w:r>
          </w:p>
        </w:tc>
        <w:tc>
          <w:tcPr>
            <w:tcW w:w="239" w:type="dxa"/>
            <w:tcBorders/>
            <w:vAlign w:val="center"/>
          </w:tcPr>
          <w:p>
            <w:pPr>
              <w:pStyle w:val="TableContents"/>
              <w:bidi w:val="0"/>
              <w:spacing w:before="0" w:after="0"/>
              <w:ind w:left="0" w:right="0" w:hanging="0"/>
              <w:jc w:val="right"/>
              <w:rPr/>
            </w:pPr>
            <w:r>
              <w:rPr/>
              <w:t>​</w:t>
            </w:r>
          </w:p>
        </w:tc>
        <w:tc>
          <w:tcPr>
            <w:tcW w:w="2013"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989</w:t>
            </w:r>
          </w:p>
        </w:tc>
        <w:tc>
          <w:tcPr>
            <w:tcW w:w="125" w:type="dxa"/>
            <w:tcBorders/>
            <w:vAlign w:val="center"/>
          </w:tcPr>
          <w:p>
            <w:pPr>
              <w:pStyle w:val="TableContents"/>
              <w:bidi w:val="0"/>
              <w:spacing w:before="0" w:after="0"/>
              <w:ind w:left="0" w:right="0" w:hanging="0"/>
              <w:jc w:val="righ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4,500</w:t>
            </w:r>
          </w:p>
        </w:tc>
        <w:tc>
          <w:tcPr>
            <w:tcW w:w="125"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1,860</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Litigation costs, net</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2,057</w:t>
            </w:r>
          </w:p>
        </w:tc>
        <w:tc>
          <w:tcPr>
            <w:tcW w:w="239" w:type="dxa"/>
            <w:tcBorders/>
            <w:vAlign w:val="center"/>
          </w:tcPr>
          <w:p>
            <w:pPr>
              <w:pStyle w:val="TableContents"/>
              <w:bidi w:val="0"/>
              <w:spacing w:before="0" w:after="0"/>
              <w:ind w:left="0" w:right="0" w:hanging="0"/>
              <w:jc w:val="right"/>
              <w:rPr/>
            </w:pPr>
            <w:r>
              <w:rPr/>
              <w:t>​</w:t>
            </w:r>
          </w:p>
        </w:tc>
        <w:tc>
          <w:tcPr>
            <w:tcW w:w="2013"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4,004</w:t>
            </w:r>
          </w:p>
        </w:tc>
        <w:tc>
          <w:tcPr>
            <w:tcW w:w="125" w:type="dxa"/>
            <w:tcBorders/>
            <w:vAlign w:val="center"/>
          </w:tcPr>
          <w:p>
            <w:pPr>
              <w:pStyle w:val="TableContents"/>
              <w:bidi w:val="0"/>
              <w:spacing w:before="0" w:after="0"/>
              <w:ind w:left="0" w:right="0" w:hanging="0"/>
              <w:jc w:val="righ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2,663</w:t>
            </w:r>
          </w:p>
        </w:tc>
        <w:tc>
          <w:tcPr>
            <w:tcW w:w="125"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6,576</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Total operating expenses</w:t>
            </w:r>
          </w:p>
        </w:tc>
        <w:tc>
          <w:tcPr>
            <w:tcW w:w="916" w:type="dxa"/>
            <w:gridSpan w:val="2"/>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9,404</w:t>
            </w:r>
          </w:p>
        </w:tc>
        <w:tc>
          <w:tcPr>
            <w:tcW w:w="239" w:type="dxa"/>
            <w:tcBorders/>
            <w:vAlign w:val="center"/>
          </w:tcPr>
          <w:p>
            <w:pPr>
              <w:pStyle w:val="TableContents"/>
              <w:bidi w:val="0"/>
              <w:spacing w:before="0" w:after="0"/>
              <w:ind w:left="0" w:right="0" w:hanging="0"/>
              <w:jc w:val="right"/>
              <w:rPr/>
            </w:pPr>
            <w:r>
              <w:rPr/>
              <w:t>​</w:t>
            </w:r>
          </w:p>
        </w:tc>
        <w:tc>
          <w:tcPr>
            <w:tcW w:w="2013"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9,818</w:t>
            </w:r>
          </w:p>
        </w:tc>
        <w:tc>
          <w:tcPr>
            <w:tcW w:w="125" w:type="dxa"/>
            <w:tcBorders/>
            <w:vAlign w:val="center"/>
          </w:tcPr>
          <w:p>
            <w:pPr>
              <w:pStyle w:val="TableContents"/>
              <w:bidi w:val="0"/>
              <w:spacing w:before="0" w:after="0"/>
              <w:ind w:left="0" w:right="0" w:hanging="0"/>
              <w:jc w:val="right"/>
              <w:rPr/>
            </w:pPr>
            <w:r>
              <w:rPr/>
              <w:t>​</w:t>
            </w:r>
          </w:p>
        </w:tc>
        <w:tc>
          <w:tcPr>
            <w:tcW w:w="1059"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17,554</w:t>
            </w:r>
          </w:p>
        </w:tc>
        <w:tc>
          <w:tcPr>
            <w:tcW w:w="125" w:type="dxa"/>
            <w:tcBorders/>
            <w:vAlign w:val="center"/>
          </w:tcPr>
          <w:p>
            <w:pPr>
              <w:pStyle w:val="TableContents"/>
              <w:bidi w:val="0"/>
              <w:spacing w:before="0" w:after="0"/>
              <w:ind w:left="0" w:right="0" w:hanging="0"/>
              <w:jc w:val="right"/>
              <w:rPr/>
            </w:pPr>
            <w:r>
              <w:rPr/>
              <w:t>​</w:t>
            </w:r>
          </w:p>
        </w:tc>
        <w:tc>
          <w:tcPr>
            <w:tcW w:w="1110"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17,977</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Loss from operations</w:t>
            </w:r>
          </w:p>
        </w:tc>
        <w:tc>
          <w:tcPr>
            <w:tcW w:w="916" w:type="dxa"/>
            <w:gridSpan w:val="2"/>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(7,957)</w:t>
            </w:r>
          </w:p>
        </w:tc>
        <w:tc>
          <w:tcPr>
            <w:tcW w:w="239" w:type="dxa"/>
            <w:tcBorders/>
            <w:vAlign w:val="center"/>
          </w:tcPr>
          <w:p>
            <w:pPr>
              <w:pStyle w:val="TableContents"/>
              <w:bidi w:val="0"/>
              <w:spacing w:before="0" w:after="0"/>
              <w:ind w:left="0" w:right="0" w:hanging="0"/>
              <w:jc w:val="right"/>
              <w:rPr/>
            </w:pPr>
            <w:r>
              <w:rPr/>
              <w:t>​</w:t>
            </w:r>
          </w:p>
        </w:tc>
        <w:tc>
          <w:tcPr>
            <w:tcW w:w="2013"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(8,365)</w:t>
            </w:r>
          </w:p>
        </w:tc>
        <w:tc>
          <w:tcPr>
            <w:tcW w:w="125" w:type="dxa"/>
            <w:tcBorders/>
            <w:vAlign w:val="center"/>
          </w:tcPr>
          <w:p>
            <w:pPr>
              <w:pStyle w:val="TableContents"/>
              <w:bidi w:val="0"/>
              <w:spacing w:before="0" w:after="0"/>
              <w:ind w:left="0" w:right="0" w:hanging="0"/>
              <w:jc w:val="right"/>
              <w:rPr/>
            </w:pPr>
            <w:r>
              <w:rPr/>
              <w:t>​</w:t>
            </w:r>
          </w:p>
        </w:tc>
        <w:tc>
          <w:tcPr>
            <w:tcW w:w="1059"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(14,305)</w:t>
            </w:r>
          </w:p>
        </w:tc>
        <w:tc>
          <w:tcPr>
            <w:tcW w:w="125" w:type="dxa"/>
            <w:tcBorders/>
            <w:vAlign w:val="center"/>
          </w:tcPr>
          <w:p>
            <w:pPr>
              <w:pStyle w:val="TableContents"/>
              <w:bidi w:val="0"/>
              <w:spacing w:before="0" w:after="0"/>
              <w:ind w:left="0" w:right="0" w:hanging="0"/>
              <w:jc w:val="right"/>
              <w:rPr/>
            </w:pPr>
            <w:r>
              <w:rPr/>
              <w:t>​</w:t>
            </w:r>
          </w:p>
        </w:tc>
        <w:tc>
          <w:tcPr>
            <w:tcW w:w="1110"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(15,142)</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Interest income, net</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(35)</w:t>
            </w:r>
          </w:p>
        </w:tc>
        <w:tc>
          <w:tcPr>
            <w:tcW w:w="239" w:type="dxa"/>
            <w:tcBorders/>
            <w:vAlign w:val="center"/>
          </w:tcPr>
          <w:p>
            <w:pPr>
              <w:pStyle w:val="TableContents"/>
              <w:bidi w:val="0"/>
              <w:spacing w:before="0" w:after="0"/>
              <w:ind w:left="0" w:right="0" w:hanging="0"/>
              <w:jc w:val="right"/>
              <w:rPr/>
            </w:pPr>
            <w:r>
              <w:rPr/>
              <w:t>​</w:t>
            </w:r>
          </w:p>
        </w:tc>
        <w:tc>
          <w:tcPr>
            <w:tcW w:w="2013"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(491)</w:t>
            </w:r>
          </w:p>
        </w:tc>
        <w:tc>
          <w:tcPr>
            <w:tcW w:w="125" w:type="dxa"/>
            <w:tcBorders/>
            <w:vAlign w:val="center"/>
          </w:tcPr>
          <w:p>
            <w:pPr>
              <w:pStyle w:val="TableContents"/>
              <w:bidi w:val="0"/>
              <w:spacing w:before="0" w:after="0"/>
              <w:ind w:left="0" w:right="0" w:hanging="0"/>
              <w:jc w:val="righ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(143)</w:t>
            </w:r>
          </w:p>
        </w:tc>
        <w:tc>
          <w:tcPr>
            <w:tcW w:w="125"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(307)</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Other (income) expense, net</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(284)</w:t>
            </w:r>
          </w:p>
        </w:tc>
        <w:tc>
          <w:tcPr>
            <w:tcW w:w="239" w:type="dxa"/>
            <w:tcBorders/>
            <w:vAlign w:val="center"/>
          </w:tcPr>
          <w:p>
            <w:pPr>
              <w:pStyle w:val="TableContents"/>
              <w:bidi w:val="0"/>
              <w:spacing w:before="0" w:after="0"/>
              <w:ind w:left="0" w:right="0" w:hanging="0"/>
              <w:jc w:val="right"/>
              <w:rPr/>
            </w:pPr>
            <w:r>
              <w:rPr/>
              <w:t>​</w:t>
            </w:r>
          </w:p>
        </w:tc>
        <w:tc>
          <w:tcPr>
            <w:tcW w:w="2013"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(791)</w:t>
            </w:r>
          </w:p>
        </w:tc>
        <w:tc>
          <w:tcPr>
            <w:tcW w:w="125" w:type="dxa"/>
            <w:tcBorders/>
            <w:vAlign w:val="center"/>
          </w:tcPr>
          <w:p>
            <w:pPr>
              <w:pStyle w:val="TableContents"/>
              <w:bidi w:val="0"/>
              <w:spacing w:before="0" w:after="0"/>
              <w:ind w:left="0" w:right="0" w:hanging="0"/>
              <w:jc w:val="righ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1,300</w:t>
            </w:r>
          </w:p>
        </w:tc>
        <w:tc>
          <w:tcPr>
            <w:tcW w:w="125"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(5,873)</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Loss before provision for income taxes</w:t>
            </w:r>
          </w:p>
        </w:tc>
        <w:tc>
          <w:tcPr>
            <w:tcW w:w="916" w:type="dxa"/>
            <w:gridSpan w:val="2"/>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(7,638)</w:t>
            </w:r>
          </w:p>
        </w:tc>
        <w:tc>
          <w:tcPr>
            <w:tcW w:w="239" w:type="dxa"/>
            <w:tcBorders/>
            <w:vAlign w:val="center"/>
          </w:tcPr>
          <w:p>
            <w:pPr>
              <w:pStyle w:val="TableContents"/>
              <w:bidi w:val="0"/>
              <w:spacing w:before="0" w:after="0"/>
              <w:ind w:left="0" w:right="0" w:hanging="0"/>
              <w:jc w:val="right"/>
              <w:rPr/>
            </w:pPr>
            <w:r>
              <w:rPr/>
              <w:t>​</w:t>
            </w:r>
          </w:p>
        </w:tc>
        <w:tc>
          <w:tcPr>
            <w:tcW w:w="2013"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(7,083)</w:t>
            </w:r>
          </w:p>
        </w:tc>
        <w:tc>
          <w:tcPr>
            <w:tcW w:w="125" w:type="dxa"/>
            <w:tcBorders/>
            <w:vAlign w:val="center"/>
          </w:tcPr>
          <w:p>
            <w:pPr>
              <w:pStyle w:val="TableContents"/>
              <w:bidi w:val="0"/>
              <w:spacing w:before="0" w:after="0"/>
              <w:ind w:left="0" w:right="0" w:hanging="0"/>
              <w:jc w:val="right"/>
              <w:rPr/>
            </w:pPr>
            <w:r>
              <w:rPr/>
              <w:t>​</w:t>
            </w:r>
          </w:p>
        </w:tc>
        <w:tc>
          <w:tcPr>
            <w:tcW w:w="1059"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(15,462)</w:t>
            </w:r>
          </w:p>
        </w:tc>
        <w:tc>
          <w:tcPr>
            <w:tcW w:w="125" w:type="dxa"/>
            <w:tcBorders/>
            <w:vAlign w:val="center"/>
          </w:tcPr>
          <w:p>
            <w:pPr>
              <w:pStyle w:val="TableContents"/>
              <w:bidi w:val="0"/>
              <w:spacing w:before="0" w:after="0"/>
              <w:ind w:left="0" w:right="0" w:hanging="0"/>
              <w:jc w:val="right"/>
              <w:rPr/>
            </w:pPr>
            <w:r>
              <w:rPr/>
              <w:t>​</w:t>
            </w:r>
          </w:p>
        </w:tc>
        <w:tc>
          <w:tcPr>
            <w:tcW w:w="1110"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(8,962)</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Provision for income taxes</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w:t>
            </w:r>
          </w:p>
        </w:tc>
        <w:tc>
          <w:tcPr>
            <w:tcW w:w="239" w:type="dxa"/>
            <w:tcBorders/>
            <w:vAlign w:val="center"/>
          </w:tcPr>
          <w:p>
            <w:pPr>
              <w:pStyle w:val="TableContents"/>
              <w:bidi w:val="0"/>
              <w:spacing w:before="0" w:after="0"/>
              <w:ind w:left="0" w:right="0" w:hanging="0"/>
              <w:jc w:val="right"/>
              <w:rPr/>
            </w:pPr>
            <w:r>
              <w:rPr/>
              <w:t>​</w:t>
            </w:r>
          </w:p>
        </w:tc>
        <w:tc>
          <w:tcPr>
            <w:tcW w:w="2013"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w:t>
            </w:r>
          </w:p>
        </w:tc>
        <w:tc>
          <w:tcPr>
            <w:tcW w:w="125" w:type="dxa"/>
            <w:tcBorders/>
            <w:vAlign w:val="center"/>
          </w:tcPr>
          <w:p>
            <w:pPr>
              <w:pStyle w:val="TableContents"/>
              <w:bidi w:val="0"/>
              <w:spacing w:before="0" w:after="0"/>
              <w:ind w:left="0" w:right="0" w:hanging="0"/>
              <w:jc w:val="righ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78</w:t>
            </w:r>
          </w:p>
        </w:tc>
        <w:tc>
          <w:tcPr>
            <w:tcW w:w="125"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16</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Net loss from continuing operations</w:t>
            </w:r>
          </w:p>
        </w:tc>
        <w:tc>
          <w:tcPr>
            <w:tcW w:w="916" w:type="dxa"/>
            <w:gridSpan w:val="2"/>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(7,646)</w:t>
            </w:r>
          </w:p>
        </w:tc>
        <w:tc>
          <w:tcPr>
            <w:tcW w:w="239" w:type="dxa"/>
            <w:tcBorders/>
            <w:vAlign w:val="center"/>
          </w:tcPr>
          <w:p>
            <w:pPr>
              <w:pStyle w:val="TableContents"/>
              <w:bidi w:val="0"/>
              <w:spacing w:before="0" w:after="0"/>
              <w:ind w:left="0" w:right="0" w:hanging="0"/>
              <w:jc w:val="right"/>
              <w:rPr/>
            </w:pPr>
            <w:r>
              <w:rPr/>
              <w:t>​</w:t>
            </w:r>
          </w:p>
        </w:tc>
        <w:tc>
          <w:tcPr>
            <w:tcW w:w="2013"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(7,091)</w:t>
            </w:r>
          </w:p>
        </w:tc>
        <w:tc>
          <w:tcPr>
            <w:tcW w:w="125" w:type="dxa"/>
            <w:tcBorders/>
            <w:vAlign w:val="center"/>
          </w:tcPr>
          <w:p>
            <w:pPr>
              <w:pStyle w:val="TableContents"/>
              <w:bidi w:val="0"/>
              <w:spacing w:before="0" w:after="0"/>
              <w:ind w:left="0" w:right="0" w:hanging="0"/>
              <w:jc w:val="right"/>
              <w:rPr/>
            </w:pPr>
            <w:r>
              <w:rPr/>
              <w:t>​</w:t>
            </w:r>
          </w:p>
        </w:tc>
        <w:tc>
          <w:tcPr>
            <w:tcW w:w="1059"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(15,540)</w:t>
            </w:r>
          </w:p>
        </w:tc>
        <w:tc>
          <w:tcPr>
            <w:tcW w:w="125" w:type="dxa"/>
            <w:tcBorders/>
            <w:vAlign w:val="center"/>
          </w:tcPr>
          <w:p>
            <w:pPr>
              <w:pStyle w:val="TableContents"/>
              <w:bidi w:val="0"/>
              <w:spacing w:before="0" w:after="0"/>
              <w:ind w:left="0" w:right="0" w:hanging="0"/>
              <w:jc w:val="right"/>
              <w:rPr/>
            </w:pPr>
            <w:r>
              <w:rPr/>
              <w:t>​</w:t>
            </w:r>
          </w:p>
        </w:tc>
        <w:tc>
          <w:tcPr>
            <w:tcW w:w="1110"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(8,978)</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Loss income from discontinued operations</w:t>
            </w:r>
          </w:p>
        </w:tc>
        <w:tc>
          <w:tcPr>
            <w:tcW w:w="916" w:type="dxa"/>
            <w:gridSpan w:val="2"/>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2013"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(2,519)</w:t>
            </w:r>
          </w:p>
        </w:tc>
        <w:tc>
          <w:tcPr>
            <w:tcW w:w="125" w:type="dxa"/>
            <w:tcBorders/>
            <w:vAlign w:val="center"/>
          </w:tcPr>
          <w:p>
            <w:pPr>
              <w:pStyle w:val="TableContents"/>
              <w:bidi w:val="0"/>
              <w:spacing w:before="0" w:after="0"/>
              <w:ind w:left="0" w:right="0" w:hanging="0"/>
              <w:jc w:val="righ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425</w:t>
            </w:r>
          </w:p>
        </w:tc>
        <w:tc>
          <w:tcPr>
            <w:tcW w:w="125"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(4,565)</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Net loss</w:t>
            </w:r>
          </w:p>
        </w:tc>
        <w:tc>
          <w:tcPr>
            <w:tcW w:w="916" w:type="dxa"/>
            <w:gridSpan w:val="2"/>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(7,646)</w:t>
            </w:r>
          </w:p>
        </w:tc>
        <w:tc>
          <w:tcPr>
            <w:tcW w:w="239" w:type="dxa"/>
            <w:tcBorders/>
            <w:vAlign w:val="center"/>
          </w:tcPr>
          <w:p>
            <w:pPr>
              <w:pStyle w:val="TableContents"/>
              <w:bidi w:val="0"/>
              <w:spacing w:before="0" w:after="0"/>
              <w:ind w:left="0" w:right="0" w:hanging="0"/>
              <w:jc w:val="right"/>
              <w:rPr/>
            </w:pPr>
            <w:r>
              <w:rPr/>
              <w:t>​</w:t>
            </w:r>
          </w:p>
        </w:tc>
        <w:tc>
          <w:tcPr>
            <w:tcW w:w="2013"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(9,610)</w:t>
            </w:r>
          </w:p>
        </w:tc>
        <w:tc>
          <w:tcPr>
            <w:tcW w:w="125" w:type="dxa"/>
            <w:tcBorders/>
            <w:vAlign w:val="center"/>
          </w:tcPr>
          <w:p>
            <w:pPr>
              <w:pStyle w:val="TableContents"/>
              <w:bidi w:val="0"/>
              <w:spacing w:before="0" w:after="0"/>
              <w:ind w:left="0" w:right="0" w:hanging="0"/>
              <w:jc w:val="right"/>
              <w:rPr/>
            </w:pPr>
            <w:r>
              <w:rPr/>
              <w:t>​</w:t>
            </w:r>
          </w:p>
        </w:tc>
        <w:tc>
          <w:tcPr>
            <w:tcW w:w="1059"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(15,115)</w:t>
            </w:r>
          </w:p>
        </w:tc>
        <w:tc>
          <w:tcPr>
            <w:tcW w:w="125" w:type="dxa"/>
            <w:tcBorders/>
            <w:vAlign w:val="center"/>
          </w:tcPr>
          <w:p>
            <w:pPr>
              <w:pStyle w:val="TableContents"/>
              <w:bidi w:val="0"/>
              <w:spacing w:before="0" w:after="0"/>
              <w:ind w:left="0" w:right="0" w:hanging="0"/>
              <w:jc w:val="right"/>
              <w:rPr/>
            </w:pPr>
            <w:r>
              <w:rPr/>
              <w:t>​</w:t>
            </w:r>
          </w:p>
        </w:tc>
        <w:tc>
          <w:tcPr>
            <w:tcW w:w="1110"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(13,543)</w:t>
            </w:r>
          </w:p>
        </w:tc>
      </w:tr>
      <w:tr>
        <w:trPr/>
        <w:tc>
          <w:tcPr>
            <w:tcW w:w="4274" w:type="dxa"/>
            <w:gridSpan w:val="3"/>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201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left"/>
              <w:rPr/>
            </w:pPr>
            <w:r>
              <w:rPr/>
              <w:t>​</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Net loss per share — basic</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(0.17)</w:t>
            </w:r>
          </w:p>
        </w:tc>
        <w:tc>
          <w:tcPr>
            <w:tcW w:w="239" w:type="dxa"/>
            <w:tcBorders/>
            <w:vAlign w:val="center"/>
          </w:tcPr>
          <w:p>
            <w:pPr>
              <w:pStyle w:val="TableContents"/>
              <w:bidi w:val="0"/>
              <w:spacing w:before="0" w:after="0"/>
              <w:ind w:left="0" w:right="0" w:hanging="0"/>
              <w:jc w:val="right"/>
              <w:rPr/>
            </w:pPr>
            <w:r>
              <w:rPr/>
              <w:t>​</w:t>
            </w:r>
          </w:p>
        </w:tc>
        <w:tc>
          <w:tcPr>
            <w:tcW w:w="2013"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(0.23)</w:t>
            </w:r>
          </w:p>
        </w:tc>
        <w:tc>
          <w:tcPr>
            <w:tcW w:w="125" w:type="dxa"/>
            <w:tcBorders/>
            <w:vAlign w:val="center"/>
          </w:tcPr>
          <w:p>
            <w:pPr>
              <w:pStyle w:val="TableContents"/>
              <w:bidi w:val="0"/>
              <w:spacing w:before="0" w:after="0"/>
              <w:ind w:left="0" w:right="0" w:hanging="0"/>
              <w:jc w:val="righ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(0.35)</w:t>
            </w:r>
          </w:p>
        </w:tc>
        <w:tc>
          <w:tcPr>
            <w:tcW w:w="125"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(0.34)</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Net loss per share — diluted</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(0.17)</w:t>
            </w:r>
          </w:p>
        </w:tc>
        <w:tc>
          <w:tcPr>
            <w:tcW w:w="239" w:type="dxa"/>
            <w:tcBorders/>
            <w:vAlign w:val="center"/>
          </w:tcPr>
          <w:p>
            <w:pPr>
              <w:pStyle w:val="TableContents"/>
              <w:bidi w:val="0"/>
              <w:spacing w:before="0" w:after="0"/>
              <w:ind w:left="0" w:right="0" w:hanging="0"/>
              <w:jc w:val="right"/>
              <w:rPr/>
            </w:pPr>
            <w:r>
              <w:rPr/>
              <w:t>​</w:t>
            </w:r>
          </w:p>
        </w:tc>
        <w:tc>
          <w:tcPr>
            <w:tcW w:w="2013"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(0.26)</w:t>
            </w:r>
          </w:p>
        </w:tc>
        <w:tc>
          <w:tcPr>
            <w:tcW w:w="125" w:type="dxa"/>
            <w:tcBorders/>
            <w:vAlign w:val="center"/>
          </w:tcPr>
          <w:p>
            <w:pPr>
              <w:pStyle w:val="TableContents"/>
              <w:bidi w:val="0"/>
              <w:spacing w:before="0" w:after="0"/>
              <w:ind w:left="0" w:right="0" w:hanging="0"/>
              <w:jc w:val="righ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(0.35)</w:t>
            </w:r>
          </w:p>
        </w:tc>
        <w:tc>
          <w:tcPr>
            <w:tcW w:w="125"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(0.47)</w:t>
            </w:r>
          </w:p>
        </w:tc>
      </w:tr>
      <w:tr>
        <w:trPr/>
        <w:tc>
          <w:tcPr>
            <w:tcW w:w="4274" w:type="dxa"/>
            <w:gridSpan w:val="3"/>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201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left"/>
              <w:rPr/>
            </w:pPr>
            <w:r>
              <w:rPr/>
              <w:t>​</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Weighted average common shares outstanding — basic</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44,223,722</w:t>
            </w:r>
          </w:p>
        </w:tc>
        <w:tc>
          <w:tcPr>
            <w:tcW w:w="239" w:type="dxa"/>
            <w:tcBorders/>
            <w:vAlign w:val="center"/>
          </w:tcPr>
          <w:p>
            <w:pPr>
              <w:pStyle w:val="TableContents"/>
              <w:bidi w:val="0"/>
              <w:spacing w:before="0" w:after="0"/>
              <w:ind w:left="0" w:right="0" w:hanging="0"/>
              <w:jc w:val="right"/>
              <w:rPr/>
            </w:pPr>
            <w:r>
              <w:rPr/>
              <w:t>​</w:t>
            </w:r>
          </w:p>
        </w:tc>
        <w:tc>
          <w:tcPr>
            <w:tcW w:w="2013"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41,782,556</w:t>
            </w:r>
          </w:p>
        </w:tc>
        <w:tc>
          <w:tcPr>
            <w:tcW w:w="125" w:type="dxa"/>
            <w:tcBorders/>
            <w:vAlign w:val="center"/>
          </w:tcPr>
          <w:p>
            <w:pPr>
              <w:pStyle w:val="TableContents"/>
              <w:bidi w:val="0"/>
              <w:spacing w:before="0" w:after="0"/>
              <w:ind w:left="0" w:right="0" w:hanging="0"/>
              <w:jc w:val="righ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43,622,360</w:t>
            </w:r>
          </w:p>
        </w:tc>
        <w:tc>
          <w:tcPr>
            <w:tcW w:w="125"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40,239,372</w:t>
            </w:r>
          </w:p>
        </w:tc>
      </w:tr>
      <w:tr>
        <w:trPr/>
        <w:tc>
          <w:tcPr>
            <w:tcW w:w="4274" w:type="dxa"/>
            <w:gridSpan w:val="3"/>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Weighted average common shares outstanding — diluted</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44,223,722</w:t>
            </w:r>
          </w:p>
        </w:tc>
        <w:tc>
          <w:tcPr>
            <w:tcW w:w="239" w:type="dxa"/>
            <w:tcBorders/>
            <w:vAlign w:val="center"/>
          </w:tcPr>
          <w:p>
            <w:pPr>
              <w:pStyle w:val="TableContents"/>
              <w:bidi w:val="0"/>
              <w:spacing w:before="0" w:after="0"/>
              <w:ind w:left="0" w:right="0" w:hanging="0"/>
              <w:jc w:val="right"/>
              <w:rPr/>
            </w:pPr>
            <w:r>
              <w:rPr/>
              <w:t>​</w:t>
            </w:r>
          </w:p>
        </w:tc>
        <w:tc>
          <w:tcPr>
            <w:tcW w:w="2013"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46,308,642</w:t>
            </w:r>
          </w:p>
        </w:tc>
        <w:tc>
          <w:tcPr>
            <w:tcW w:w="125" w:type="dxa"/>
            <w:tcBorders/>
            <w:vAlign w:val="center"/>
          </w:tcPr>
          <w:p>
            <w:pPr>
              <w:pStyle w:val="TableContents"/>
              <w:bidi w:val="0"/>
              <w:spacing w:before="0" w:after="0"/>
              <w:ind w:left="0" w:right="0" w:hanging="0"/>
              <w:jc w:val="righ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43,622,360</w:t>
            </w:r>
          </w:p>
        </w:tc>
        <w:tc>
          <w:tcPr>
            <w:tcW w:w="125"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44,765,897</w:t>
            </w:r>
          </w:p>
        </w:tc>
      </w:tr>
    </w:tbl>
    <w:p>
      <w:pPr>
        <w:pStyle w:val="TextBody"/>
        <w:bidi w:val="0"/>
        <w:spacing w:lineRule="auto" w:line="295" w:before="0" w:after="0"/>
        <w:ind w:left="0" w:right="0" w:hanging="0"/>
        <w:jc w:val="left"/>
        <w:rPr>
          <w:color w:val="222222"/>
        </w:rPr>
      </w:pPr>
      <w:r>
        <w:rPr>
          <w:color w:val="222222"/>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tbl>
      <w:tblPr>
        <w:tblW w:w="8965" w:type="dxa"/>
        <w:jc w:val="left"/>
        <w:tblInd w:w="0" w:type="dxa"/>
        <w:tblLayout w:type="fixed"/>
        <w:tblCellMar>
          <w:top w:w="0" w:type="dxa"/>
          <w:left w:w="0" w:type="dxa"/>
          <w:bottom w:w="0" w:type="dxa"/>
          <w:right w:w="0" w:type="dxa"/>
        </w:tblCellMar>
      </w:tblPr>
      <w:tblGrid>
        <w:gridCol w:w="4096"/>
        <w:gridCol w:w="1135"/>
        <w:gridCol w:w="190"/>
        <w:gridCol w:w="1135"/>
        <w:gridCol w:w="114"/>
        <w:gridCol w:w="1026"/>
        <w:gridCol w:w="172"/>
        <w:gridCol w:w="1097"/>
      </w:tblGrid>
      <w:tr>
        <w:trPr/>
        <w:tc>
          <w:tcPr>
            <w:tcW w:w="8965" w:type="dxa"/>
            <w:gridSpan w:val="8"/>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ELUTIA INC.</w:t>
            </w:r>
          </w:p>
        </w:tc>
      </w:tr>
      <w:tr>
        <w:trPr/>
        <w:tc>
          <w:tcPr>
            <w:tcW w:w="8965" w:type="dxa"/>
            <w:gridSpan w:val="8"/>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NON-GAAP GROSS PROFIT AND NON-GAAP GROSS MARGIN RECONCILIATIONS</w:t>
            </w:r>
          </w:p>
        </w:tc>
      </w:tr>
      <w:tr>
        <w:trPr/>
        <w:tc>
          <w:tcPr>
            <w:tcW w:w="8965" w:type="dxa"/>
            <w:gridSpan w:val="8"/>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(Unaudited, in thousands)</w:t>
            </w:r>
          </w:p>
        </w:tc>
      </w:tr>
      <w:tr>
        <w:trPr/>
        <w:tc>
          <w:tcPr>
            <w:tcW w:w="409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left"/>
              <w:rPr/>
            </w:pPr>
            <w:r>
              <w:rPr/>
              <w:t>​</w:t>
            </w:r>
          </w:p>
        </w:tc>
        <w:tc>
          <w:tcPr>
            <w:tcW w:w="114"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left"/>
              <w:rPr/>
            </w:pPr>
            <w:r>
              <w:rPr/>
              <w:t>​</w:t>
            </w:r>
          </w:p>
        </w:tc>
        <w:tc>
          <w:tcPr>
            <w:tcW w:w="172"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2460" w:type="dxa"/>
            <w:gridSpan w:val="3"/>
            <w:tcBorders/>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Three months ended June 30,</w:t>
            </w:r>
          </w:p>
        </w:tc>
        <w:tc>
          <w:tcPr>
            <w:tcW w:w="114" w:type="dxa"/>
            <w:tcBorders/>
            <w:vAlign w:val="center"/>
          </w:tcPr>
          <w:p>
            <w:pPr>
              <w:pStyle w:val="TableContents"/>
              <w:bidi w:val="0"/>
              <w:spacing w:before="0" w:after="0"/>
              <w:ind w:left="0" w:right="0" w:hanging="0"/>
              <w:jc w:val="center"/>
              <w:rPr/>
            </w:pPr>
            <w:r>
              <w:rPr/>
              <w:t>​</w:t>
            </w:r>
          </w:p>
        </w:tc>
        <w:tc>
          <w:tcPr>
            <w:tcW w:w="2295" w:type="dxa"/>
            <w:gridSpan w:val="3"/>
            <w:tcBorders/>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Six months ended June 30,</w:t>
            </w:r>
          </w:p>
        </w:tc>
      </w:tr>
      <w:tr>
        <w:trPr/>
        <w:tc>
          <w:tcPr>
            <w:tcW w:w="4096" w:type="dxa"/>
            <w:tcBorders/>
            <w:vAlign w:val="center"/>
          </w:tcPr>
          <w:p>
            <w:pPr>
              <w:pStyle w:val="TableContents"/>
              <w:bidi w:val="0"/>
              <w:spacing w:before="0" w:after="0"/>
              <w:ind w:left="0" w:right="0" w:hanging="0"/>
              <w:jc w:val="left"/>
              <w:rPr/>
            </w:pPr>
            <w:r>
              <w:rPr/>
              <w:t>​</w:t>
            </w:r>
          </w:p>
        </w:tc>
        <w:tc>
          <w:tcPr>
            <w:tcW w:w="1135"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2026</w:t>
            </w:r>
          </w:p>
        </w:tc>
        <w:tc>
          <w:tcPr>
            <w:tcW w:w="190" w:type="dxa"/>
            <w:tcBorders>
              <w:top w:val="single" w:sz="18" w:space="0" w:color="1B2E5A"/>
            </w:tcBorders>
            <w:tcMar>
              <w:top w:w="30" w:type="dxa"/>
            </w:tcMar>
            <w:vAlign w:val="center"/>
          </w:tcPr>
          <w:p>
            <w:pPr>
              <w:pStyle w:val="TableContents"/>
              <w:bidi w:val="0"/>
              <w:spacing w:before="0" w:after="0"/>
              <w:ind w:left="0" w:right="0" w:hanging="0"/>
              <w:jc w:val="right"/>
              <w:rPr/>
            </w:pPr>
            <w:r>
              <w:rPr/>
              <w:t>​</w:t>
            </w:r>
          </w:p>
        </w:tc>
        <w:tc>
          <w:tcPr>
            <w:tcW w:w="1135"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2025</w:t>
            </w:r>
          </w:p>
        </w:tc>
        <w:tc>
          <w:tcPr>
            <w:tcW w:w="114" w:type="dxa"/>
            <w:tcBorders/>
            <w:vAlign w:val="center"/>
          </w:tcPr>
          <w:p>
            <w:pPr>
              <w:pStyle w:val="TableContents"/>
              <w:bidi w:val="0"/>
              <w:spacing w:before="0" w:after="0"/>
              <w:ind w:left="0" w:right="0" w:hanging="0"/>
              <w:jc w:val="right"/>
              <w:rPr/>
            </w:pPr>
            <w:r>
              <w:rPr/>
              <w:t>​</w:t>
            </w:r>
          </w:p>
        </w:tc>
        <w:tc>
          <w:tcPr>
            <w:tcW w:w="1026"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2026</w:t>
            </w:r>
          </w:p>
        </w:tc>
        <w:tc>
          <w:tcPr>
            <w:tcW w:w="172" w:type="dxa"/>
            <w:tcBorders>
              <w:top w:val="single" w:sz="18" w:space="0" w:color="1B2E5A"/>
            </w:tcBorders>
            <w:tcMar>
              <w:top w:w="30" w:type="dxa"/>
            </w:tcMar>
            <w:vAlign w:val="center"/>
          </w:tcPr>
          <w:p>
            <w:pPr>
              <w:pStyle w:val="TableContents"/>
              <w:bidi w:val="0"/>
              <w:spacing w:before="0" w:after="0"/>
              <w:ind w:left="0" w:right="0" w:hanging="0"/>
              <w:jc w:val="right"/>
              <w:rPr/>
            </w:pPr>
            <w:r>
              <w:rPr/>
              <w:t>​</w:t>
            </w:r>
          </w:p>
        </w:tc>
        <w:tc>
          <w:tcPr>
            <w:tcW w:w="1097"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2025</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Net sales</w:t>
            </w:r>
          </w:p>
        </w:tc>
        <w:tc>
          <w:tcPr>
            <w:tcW w:w="113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$ 2,427</w:t>
            </w:r>
          </w:p>
        </w:tc>
        <w:tc>
          <w:tcPr>
            <w:tcW w:w="190" w:type="dxa"/>
            <w:tcBorders/>
            <w:vAlign w:val="center"/>
          </w:tcPr>
          <w:p>
            <w:pPr>
              <w:pStyle w:val="TableContents"/>
              <w:bidi w:val="0"/>
              <w:spacing w:before="0" w:after="0"/>
              <w:ind w:left="0" w:right="0" w:hanging="0"/>
              <w:jc w:val="right"/>
              <w:rPr/>
            </w:pPr>
            <w:r>
              <w:rPr/>
              <w:t>​</w:t>
            </w:r>
          </w:p>
        </w:tc>
        <w:tc>
          <w:tcPr>
            <w:tcW w:w="113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$ 2,747</w:t>
            </w:r>
          </w:p>
        </w:tc>
        <w:tc>
          <w:tcPr>
            <w:tcW w:w="114" w:type="dxa"/>
            <w:tcBorders/>
            <w:vAlign w:val="center"/>
          </w:tcPr>
          <w:p>
            <w:pPr>
              <w:pStyle w:val="TableContents"/>
              <w:bidi w:val="0"/>
              <w:spacing w:before="0" w:after="0"/>
              <w:ind w:left="0" w:right="0" w:hanging="0"/>
              <w:jc w:val="right"/>
              <w:rPr/>
            </w:pPr>
            <w:r>
              <w:rPr/>
              <w:t>​</w:t>
            </w:r>
          </w:p>
        </w:tc>
        <w:tc>
          <w:tcPr>
            <w:tcW w:w="1026"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$ 5,541</w:t>
            </w:r>
          </w:p>
        </w:tc>
        <w:tc>
          <w:tcPr>
            <w:tcW w:w="172" w:type="dxa"/>
            <w:tcBorders/>
            <w:vAlign w:val="center"/>
          </w:tcPr>
          <w:p>
            <w:pPr>
              <w:pStyle w:val="TableContents"/>
              <w:bidi w:val="0"/>
              <w:spacing w:before="0" w:after="0"/>
              <w:ind w:left="0" w:right="0" w:hanging="0"/>
              <w:jc w:val="right"/>
              <w:rPr/>
            </w:pPr>
            <w:r>
              <w:rPr/>
              <w:t>​</w:t>
            </w:r>
          </w:p>
        </w:tc>
        <w:tc>
          <w:tcPr>
            <w:tcW w:w="1097"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$ 5,698</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Gross profit</w:t>
            </w:r>
          </w:p>
        </w:tc>
        <w:tc>
          <w:tcPr>
            <w:tcW w:w="1135"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1,447</w:t>
            </w:r>
          </w:p>
        </w:tc>
        <w:tc>
          <w:tcPr>
            <w:tcW w:w="190" w:type="dxa"/>
            <w:tcBorders/>
            <w:vAlign w:val="center"/>
          </w:tcPr>
          <w:p>
            <w:pPr>
              <w:pStyle w:val="TableContents"/>
              <w:bidi w:val="0"/>
              <w:spacing w:before="0" w:after="0"/>
              <w:ind w:left="0" w:right="0" w:hanging="0"/>
              <w:jc w:val="right"/>
              <w:rPr/>
            </w:pPr>
            <w:r>
              <w:rPr/>
              <w:t>​</w:t>
            </w:r>
          </w:p>
        </w:tc>
        <w:tc>
          <w:tcPr>
            <w:tcW w:w="1135"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1,453</w:t>
            </w:r>
          </w:p>
        </w:tc>
        <w:tc>
          <w:tcPr>
            <w:tcW w:w="114"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3,249</w:t>
            </w:r>
          </w:p>
        </w:tc>
        <w:tc>
          <w:tcPr>
            <w:tcW w:w="172"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2,835</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Intangible asset amortization expense</w:t>
            </w:r>
          </w:p>
        </w:tc>
        <w:tc>
          <w:tcPr>
            <w:tcW w:w="1135"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270</w:t>
            </w:r>
          </w:p>
        </w:tc>
        <w:tc>
          <w:tcPr>
            <w:tcW w:w="190" w:type="dxa"/>
            <w:tcBorders/>
            <w:vAlign w:val="center"/>
          </w:tcPr>
          <w:p>
            <w:pPr>
              <w:pStyle w:val="TableContents"/>
              <w:bidi w:val="0"/>
              <w:spacing w:before="0" w:after="0"/>
              <w:ind w:left="0" w:right="0" w:hanging="0"/>
              <w:jc w:val="right"/>
              <w:rPr/>
            </w:pPr>
            <w:r>
              <w:rPr/>
              <w:t>​</w:t>
            </w:r>
          </w:p>
        </w:tc>
        <w:tc>
          <w:tcPr>
            <w:tcW w:w="1135"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270</w:t>
            </w:r>
          </w:p>
        </w:tc>
        <w:tc>
          <w:tcPr>
            <w:tcW w:w="114"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540</w:t>
            </w:r>
          </w:p>
        </w:tc>
        <w:tc>
          <w:tcPr>
            <w:tcW w:w="172"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542</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Adjusted gross profit (Non-GAAP)</w:t>
            </w:r>
          </w:p>
        </w:tc>
        <w:tc>
          <w:tcPr>
            <w:tcW w:w="113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$ 1,717</w:t>
            </w:r>
          </w:p>
        </w:tc>
        <w:tc>
          <w:tcPr>
            <w:tcW w:w="190" w:type="dxa"/>
            <w:tcBorders/>
            <w:vAlign w:val="center"/>
          </w:tcPr>
          <w:p>
            <w:pPr>
              <w:pStyle w:val="TableContents"/>
              <w:bidi w:val="0"/>
              <w:spacing w:before="0" w:after="0"/>
              <w:ind w:left="0" w:right="0" w:hanging="0"/>
              <w:jc w:val="right"/>
              <w:rPr/>
            </w:pPr>
            <w:r>
              <w:rPr/>
              <w:t>​</w:t>
            </w:r>
          </w:p>
        </w:tc>
        <w:tc>
          <w:tcPr>
            <w:tcW w:w="113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$ 1,723</w:t>
            </w:r>
          </w:p>
        </w:tc>
        <w:tc>
          <w:tcPr>
            <w:tcW w:w="114" w:type="dxa"/>
            <w:tcBorders/>
            <w:vAlign w:val="center"/>
          </w:tcPr>
          <w:p>
            <w:pPr>
              <w:pStyle w:val="TableContents"/>
              <w:bidi w:val="0"/>
              <w:spacing w:before="0" w:after="0"/>
              <w:ind w:left="0" w:right="0" w:hanging="0"/>
              <w:jc w:val="right"/>
              <w:rPr/>
            </w:pPr>
            <w:r>
              <w:rPr/>
              <w:t>​</w:t>
            </w:r>
          </w:p>
        </w:tc>
        <w:tc>
          <w:tcPr>
            <w:tcW w:w="1026"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$ 3,789</w:t>
            </w:r>
          </w:p>
        </w:tc>
        <w:tc>
          <w:tcPr>
            <w:tcW w:w="172" w:type="dxa"/>
            <w:tcBorders/>
            <w:vAlign w:val="center"/>
          </w:tcPr>
          <w:p>
            <w:pPr>
              <w:pStyle w:val="TableContents"/>
              <w:bidi w:val="0"/>
              <w:spacing w:before="0" w:after="0"/>
              <w:ind w:left="0" w:right="0" w:hanging="0"/>
              <w:jc w:val="right"/>
              <w:rPr/>
            </w:pPr>
            <w:r>
              <w:rPr/>
              <w:t>​</w:t>
            </w:r>
          </w:p>
        </w:tc>
        <w:tc>
          <w:tcPr>
            <w:tcW w:w="1097"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$ 3,377</w:t>
            </w:r>
          </w:p>
        </w:tc>
      </w:tr>
      <w:tr>
        <w:trPr/>
        <w:tc>
          <w:tcPr>
            <w:tcW w:w="409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left"/>
              <w:rPr/>
            </w:pPr>
            <w:r>
              <w:rPr/>
              <w:t>​</w:t>
            </w:r>
          </w:p>
        </w:tc>
        <w:tc>
          <w:tcPr>
            <w:tcW w:w="114"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left"/>
              <w:rPr/>
            </w:pPr>
            <w:r>
              <w:rPr/>
              <w:t>​</w:t>
            </w:r>
          </w:p>
        </w:tc>
        <w:tc>
          <w:tcPr>
            <w:tcW w:w="172"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Gross margin</w:t>
            </w:r>
          </w:p>
        </w:tc>
        <w:tc>
          <w:tcPr>
            <w:tcW w:w="1135"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59.6%</w:t>
            </w:r>
          </w:p>
        </w:tc>
        <w:tc>
          <w:tcPr>
            <w:tcW w:w="190" w:type="dxa"/>
            <w:tcBorders/>
            <w:vAlign w:val="center"/>
          </w:tcPr>
          <w:p>
            <w:pPr>
              <w:pStyle w:val="TableContents"/>
              <w:bidi w:val="0"/>
              <w:spacing w:before="0" w:after="0"/>
              <w:ind w:left="0" w:right="0" w:hanging="0"/>
              <w:jc w:val="right"/>
              <w:rPr/>
            </w:pPr>
            <w:r>
              <w:rPr/>
              <w:t>​</w:t>
            </w:r>
          </w:p>
        </w:tc>
        <w:tc>
          <w:tcPr>
            <w:tcW w:w="1135"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52.9%</w:t>
            </w:r>
          </w:p>
        </w:tc>
        <w:tc>
          <w:tcPr>
            <w:tcW w:w="114"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58.6%</w:t>
            </w:r>
          </w:p>
        </w:tc>
        <w:tc>
          <w:tcPr>
            <w:tcW w:w="172"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49.8%</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Adjusted gross margin percentage (Non-GAAP)</w:t>
            </w:r>
          </w:p>
        </w:tc>
        <w:tc>
          <w:tcPr>
            <w:tcW w:w="1135" w:type="dxa"/>
            <w:tcBorders/>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70.7%</w:t>
            </w:r>
          </w:p>
        </w:tc>
        <w:tc>
          <w:tcPr>
            <w:tcW w:w="190" w:type="dxa"/>
            <w:tcBorders/>
            <w:vAlign w:val="center"/>
          </w:tcPr>
          <w:p>
            <w:pPr>
              <w:pStyle w:val="TableContents"/>
              <w:bidi w:val="0"/>
              <w:spacing w:before="0" w:after="0"/>
              <w:ind w:left="0" w:right="0" w:hanging="0"/>
              <w:jc w:val="right"/>
              <w:rPr/>
            </w:pPr>
            <w:r>
              <w:rPr/>
              <w:t>​</w:t>
            </w:r>
          </w:p>
        </w:tc>
        <w:tc>
          <w:tcPr>
            <w:tcW w:w="1135" w:type="dxa"/>
            <w:tcBorders/>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62.7%</w:t>
            </w:r>
          </w:p>
        </w:tc>
        <w:tc>
          <w:tcPr>
            <w:tcW w:w="114"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68.4%</w:t>
            </w:r>
          </w:p>
        </w:tc>
        <w:tc>
          <w:tcPr>
            <w:tcW w:w="172"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59.3%</w:t>
            </w:r>
          </w:p>
        </w:tc>
      </w:tr>
    </w:tbl>
    <w:p>
      <w:pPr>
        <w:pStyle w:val="TextBody"/>
        <w:bidi w:val="0"/>
        <w:spacing w:lineRule="auto" w:line="295" w:before="0" w:after="0"/>
        <w:ind w:left="0" w:right="0" w:hanging="0"/>
        <w:jc w:val="left"/>
        <w:rPr>
          <w:color w:val="222222"/>
        </w:rPr>
      </w:pPr>
      <w:r>
        <w:rPr>
          <w:color w:val="222222"/>
        </w:rPr>
        <w:t>​</w:t>
      </w:r>
    </w:p>
    <w:p>
      <w:pPr>
        <w:pStyle w:val="TextBody"/>
        <w:bidi w:val="0"/>
        <w:spacing w:lineRule="auto" w:line="295" w:before="0" w:after="0"/>
        <w:ind w:left="0" w:right="0" w:hanging="0"/>
        <w:jc w:val="left"/>
        <w:rPr/>
      </w:pPr>
      <w:r>
        <w:rPr/>
        <w:t>​</w:t>
      </w:r>
    </w:p>
    <w:p>
      <w:pPr>
        <w:pStyle w:val="TextBody"/>
        <w:bidi w:val="0"/>
        <w:spacing w:lineRule="auto" w:line="29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79"/>
        <w:gridCol w:w="1077"/>
        <w:gridCol w:w="154"/>
        <w:gridCol w:w="1077"/>
        <w:gridCol w:w="109"/>
        <w:gridCol w:w="1012"/>
        <w:gridCol w:w="130"/>
        <w:gridCol w:w="1067"/>
      </w:tblGrid>
      <w:tr>
        <w:trPr/>
        <w:tc>
          <w:tcPr>
            <w:tcW w:w="10205" w:type="dxa"/>
            <w:gridSpan w:val="8"/>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ELUTIA INC.</w:t>
            </w:r>
          </w:p>
        </w:tc>
      </w:tr>
      <w:tr>
        <w:trPr/>
        <w:tc>
          <w:tcPr>
            <w:tcW w:w="10205" w:type="dxa"/>
            <w:gridSpan w:val="8"/>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EBITDA AND ADJUSTED EBITDA RECONCILIATIONS</w:t>
            </w:r>
          </w:p>
        </w:tc>
      </w:tr>
      <w:tr>
        <w:trPr/>
        <w:tc>
          <w:tcPr>
            <w:tcW w:w="10205" w:type="dxa"/>
            <w:gridSpan w:val="8"/>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(Unaudited, in thousands)</w:t>
            </w:r>
          </w:p>
        </w:tc>
      </w:tr>
      <w:tr>
        <w:trPr/>
        <w:tc>
          <w:tcPr>
            <w:tcW w:w="5579"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pPr>
            <w:r>
              <w:rPr/>
              <w:t>​</w:t>
            </w:r>
          </w:p>
        </w:tc>
        <w:tc>
          <w:tcPr>
            <w:tcW w:w="130"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left"/>
              <w:rPr/>
            </w:pPr>
            <w:r>
              <w:rPr/>
              <w:t>​</w:t>
            </w:r>
          </w:p>
        </w:tc>
      </w:tr>
      <w:tr>
        <w:trPr/>
        <w:tc>
          <w:tcPr>
            <w:tcW w:w="5579" w:type="dxa"/>
            <w:tcBorders/>
            <w:vAlign w:val="center"/>
          </w:tcPr>
          <w:p>
            <w:pPr>
              <w:pStyle w:val="TableContents"/>
              <w:bidi w:val="0"/>
              <w:spacing w:before="0" w:after="0"/>
              <w:ind w:left="0" w:right="0" w:hanging="0"/>
              <w:jc w:val="left"/>
              <w:rPr/>
            </w:pPr>
            <w:r>
              <w:rPr/>
              <w:t>​</w:t>
            </w:r>
          </w:p>
        </w:tc>
        <w:tc>
          <w:tcPr>
            <w:tcW w:w="2308" w:type="dxa"/>
            <w:gridSpan w:val="3"/>
            <w:tcBorders/>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Three months ended June 30,</w:t>
            </w:r>
          </w:p>
        </w:tc>
        <w:tc>
          <w:tcPr>
            <w:tcW w:w="109" w:type="dxa"/>
            <w:tcBorders/>
            <w:vAlign w:val="center"/>
          </w:tcPr>
          <w:p>
            <w:pPr>
              <w:pStyle w:val="TableContents"/>
              <w:bidi w:val="0"/>
              <w:spacing w:before="0" w:after="0"/>
              <w:ind w:left="0" w:right="0" w:hanging="0"/>
              <w:jc w:val="center"/>
              <w:rPr/>
            </w:pPr>
            <w:r>
              <w:rPr/>
              <w:t>​</w:t>
            </w:r>
          </w:p>
        </w:tc>
        <w:tc>
          <w:tcPr>
            <w:tcW w:w="2209" w:type="dxa"/>
            <w:gridSpan w:val="3"/>
            <w:tcBorders/>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Six months ended June 30,</w:t>
            </w:r>
          </w:p>
        </w:tc>
      </w:tr>
      <w:tr>
        <w:trPr/>
        <w:tc>
          <w:tcPr>
            <w:tcW w:w="5579" w:type="dxa"/>
            <w:tcBorders/>
            <w:vAlign w:val="center"/>
          </w:tcPr>
          <w:p>
            <w:pPr>
              <w:pStyle w:val="TableContents"/>
              <w:bidi w:val="0"/>
              <w:spacing w:before="0" w:after="0"/>
              <w:ind w:left="0" w:right="0" w:hanging="0"/>
              <w:jc w:val="left"/>
              <w:rPr/>
            </w:pPr>
            <w:r>
              <w:rPr/>
              <w:t>​</w:t>
            </w:r>
          </w:p>
        </w:tc>
        <w:tc>
          <w:tcPr>
            <w:tcW w:w="1077"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2026</w:t>
            </w:r>
          </w:p>
        </w:tc>
        <w:tc>
          <w:tcPr>
            <w:tcW w:w="154" w:type="dxa"/>
            <w:tcBorders>
              <w:top w:val="single" w:sz="18" w:space="0" w:color="1B2E5A"/>
            </w:tcBorders>
            <w:tcMar>
              <w:top w:w="30" w:type="dxa"/>
            </w:tcMar>
            <w:vAlign w:val="center"/>
          </w:tcPr>
          <w:p>
            <w:pPr>
              <w:pStyle w:val="TableContents"/>
              <w:bidi w:val="0"/>
              <w:spacing w:before="0" w:after="0"/>
              <w:ind w:left="0" w:right="0" w:hanging="0"/>
              <w:jc w:val="right"/>
              <w:rPr/>
            </w:pPr>
            <w:r>
              <w:rPr/>
              <w:t>​</w:t>
            </w:r>
          </w:p>
        </w:tc>
        <w:tc>
          <w:tcPr>
            <w:tcW w:w="1077"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2025</w:t>
            </w:r>
          </w:p>
        </w:tc>
        <w:tc>
          <w:tcPr>
            <w:tcW w:w="109" w:type="dxa"/>
            <w:tcBorders/>
            <w:vAlign w:val="center"/>
          </w:tcPr>
          <w:p>
            <w:pPr>
              <w:pStyle w:val="TableContents"/>
              <w:bidi w:val="0"/>
              <w:spacing w:before="0" w:after="0"/>
              <w:ind w:left="0" w:right="0" w:hanging="0"/>
              <w:jc w:val="right"/>
              <w:rPr/>
            </w:pPr>
            <w:r>
              <w:rPr/>
              <w:t>​</w:t>
            </w:r>
          </w:p>
        </w:tc>
        <w:tc>
          <w:tcPr>
            <w:tcW w:w="1012"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2026</w:t>
            </w:r>
          </w:p>
        </w:tc>
        <w:tc>
          <w:tcPr>
            <w:tcW w:w="130" w:type="dxa"/>
            <w:tcBorders>
              <w:top w:val="single" w:sz="18" w:space="0" w:color="1B2E5A"/>
            </w:tcBorders>
            <w:tcMar>
              <w:top w:w="30" w:type="dxa"/>
            </w:tcMar>
            <w:vAlign w:val="center"/>
          </w:tcPr>
          <w:p>
            <w:pPr>
              <w:pStyle w:val="TableContents"/>
              <w:bidi w:val="0"/>
              <w:spacing w:before="0" w:after="0"/>
              <w:ind w:left="0" w:right="0" w:hanging="0"/>
              <w:jc w:val="right"/>
              <w:rPr/>
            </w:pPr>
            <w:r>
              <w:rPr/>
              <w:t>​</w:t>
            </w:r>
          </w:p>
        </w:tc>
        <w:tc>
          <w:tcPr>
            <w:tcW w:w="1067"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2025</w:t>
            </w:r>
          </w:p>
        </w:tc>
      </w:tr>
      <w:tr>
        <w:trPr/>
        <w:tc>
          <w:tcPr>
            <w:tcW w:w="5579"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Net loss</w:t>
            </w:r>
          </w:p>
        </w:tc>
        <w:tc>
          <w:tcPr>
            <w:tcW w:w="1077"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(7,646)</w:t>
            </w:r>
          </w:p>
        </w:tc>
        <w:tc>
          <w:tcPr>
            <w:tcW w:w="154" w:type="dxa"/>
            <w:tcBorders/>
            <w:vAlign w:val="center"/>
          </w:tcPr>
          <w:p>
            <w:pPr>
              <w:pStyle w:val="TableContents"/>
              <w:bidi w:val="0"/>
              <w:spacing w:before="0" w:after="0"/>
              <w:ind w:left="0" w:right="0" w:hanging="0"/>
              <w:jc w:val="right"/>
              <w:rPr/>
            </w:pPr>
            <w:r>
              <w:rPr/>
              <w:t>​</w:t>
            </w:r>
          </w:p>
        </w:tc>
        <w:tc>
          <w:tcPr>
            <w:tcW w:w="1077"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(9,610)</w:t>
            </w:r>
          </w:p>
        </w:tc>
        <w:tc>
          <w:tcPr>
            <w:tcW w:w="109" w:type="dxa"/>
            <w:tcBorders/>
            <w:vAlign w:val="center"/>
          </w:tcPr>
          <w:p>
            <w:pPr>
              <w:pStyle w:val="TableContents"/>
              <w:bidi w:val="0"/>
              <w:spacing w:before="0" w:after="0"/>
              <w:ind w:left="0" w:right="0" w:hanging="0"/>
              <w:jc w:val="right"/>
              <w:rPr/>
            </w:pPr>
            <w:r>
              <w:rPr/>
              <w:t>​</w:t>
            </w:r>
          </w:p>
        </w:tc>
        <w:tc>
          <w:tcPr>
            <w:tcW w:w="1012"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(15,115)</w:t>
            </w:r>
          </w:p>
        </w:tc>
        <w:tc>
          <w:tcPr>
            <w:tcW w:w="130" w:type="dxa"/>
            <w:tcBorders/>
            <w:vAlign w:val="center"/>
          </w:tcPr>
          <w:p>
            <w:pPr>
              <w:pStyle w:val="TableContents"/>
              <w:bidi w:val="0"/>
              <w:spacing w:before="0" w:after="0"/>
              <w:ind w:left="0" w:right="0" w:hanging="0"/>
              <w:jc w:val="right"/>
              <w:rPr/>
            </w:pPr>
            <w:r>
              <w:rPr/>
              <w:t>​</w:t>
            </w:r>
          </w:p>
        </w:tc>
        <w:tc>
          <w:tcPr>
            <w:tcW w:w="1067"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(13,543)</w:t>
            </w:r>
          </w:p>
        </w:tc>
      </w:tr>
      <w:tr>
        <w:trPr/>
        <w:tc>
          <w:tcPr>
            <w:tcW w:w="5579"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Interest income expense, net(1)</w:t>
            </w:r>
          </w:p>
        </w:tc>
        <w:tc>
          <w:tcPr>
            <w:tcW w:w="107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(35)</w:t>
            </w:r>
          </w:p>
        </w:tc>
        <w:tc>
          <w:tcPr>
            <w:tcW w:w="154" w:type="dxa"/>
            <w:tcBorders/>
            <w:vAlign w:val="center"/>
          </w:tcPr>
          <w:p>
            <w:pPr>
              <w:pStyle w:val="TableContents"/>
              <w:bidi w:val="0"/>
              <w:spacing w:before="0" w:after="0"/>
              <w:ind w:left="0" w:right="0" w:hanging="0"/>
              <w:jc w:val="right"/>
              <w:rPr/>
            </w:pPr>
            <w:r>
              <w:rPr/>
              <w:t>​</w:t>
            </w:r>
          </w:p>
        </w:tc>
        <w:tc>
          <w:tcPr>
            <w:tcW w:w="107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(491)</w:t>
            </w:r>
          </w:p>
        </w:tc>
        <w:tc>
          <w:tcPr>
            <w:tcW w:w="109"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(143)</w:t>
            </w:r>
          </w:p>
        </w:tc>
        <w:tc>
          <w:tcPr>
            <w:tcW w:w="130" w:type="dxa"/>
            <w:tcBorders/>
            <w:vAlign w:val="center"/>
          </w:tcPr>
          <w:p>
            <w:pPr>
              <w:pStyle w:val="TableContents"/>
              <w:bidi w:val="0"/>
              <w:spacing w:before="0" w:after="0"/>
              <w:ind w:left="0" w:right="0" w:hanging="0"/>
              <w:jc w:val="righ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(307)</w:t>
            </w:r>
          </w:p>
        </w:tc>
      </w:tr>
      <w:tr>
        <w:trPr/>
        <w:tc>
          <w:tcPr>
            <w:tcW w:w="5579"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Provision for income taxes</w:t>
            </w:r>
          </w:p>
        </w:tc>
        <w:tc>
          <w:tcPr>
            <w:tcW w:w="107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w:t>
            </w:r>
          </w:p>
        </w:tc>
        <w:tc>
          <w:tcPr>
            <w:tcW w:w="154" w:type="dxa"/>
            <w:tcBorders/>
            <w:vAlign w:val="center"/>
          </w:tcPr>
          <w:p>
            <w:pPr>
              <w:pStyle w:val="TableContents"/>
              <w:bidi w:val="0"/>
              <w:spacing w:before="0" w:after="0"/>
              <w:ind w:left="0" w:right="0" w:hanging="0"/>
              <w:jc w:val="right"/>
              <w:rPr/>
            </w:pPr>
            <w:r>
              <w:rPr/>
              <w:t>​</w:t>
            </w:r>
          </w:p>
        </w:tc>
        <w:tc>
          <w:tcPr>
            <w:tcW w:w="107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w:t>
            </w:r>
          </w:p>
        </w:tc>
        <w:tc>
          <w:tcPr>
            <w:tcW w:w="109"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78</w:t>
            </w:r>
          </w:p>
        </w:tc>
        <w:tc>
          <w:tcPr>
            <w:tcW w:w="130" w:type="dxa"/>
            <w:tcBorders/>
            <w:vAlign w:val="center"/>
          </w:tcPr>
          <w:p>
            <w:pPr>
              <w:pStyle w:val="TableContents"/>
              <w:bidi w:val="0"/>
              <w:spacing w:before="0" w:after="0"/>
              <w:ind w:left="0" w:right="0" w:hanging="0"/>
              <w:jc w:val="righ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16</w:t>
            </w:r>
          </w:p>
        </w:tc>
      </w:tr>
      <w:tr>
        <w:trPr/>
        <w:tc>
          <w:tcPr>
            <w:tcW w:w="5579"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Depreciation and amortization</w:t>
            </w:r>
          </w:p>
        </w:tc>
        <w:tc>
          <w:tcPr>
            <w:tcW w:w="107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348</w:t>
            </w:r>
          </w:p>
        </w:tc>
        <w:tc>
          <w:tcPr>
            <w:tcW w:w="154" w:type="dxa"/>
            <w:tcBorders/>
            <w:vAlign w:val="center"/>
          </w:tcPr>
          <w:p>
            <w:pPr>
              <w:pStyle w:val="TableContents"/>
              <w:bidi w:val="0"/>
              <w:spacing w:before="0" w:after="0"/>
              <w:ind w:left="0" w:right="0" w:hanging="0"/>
              <w:jc w:val="right"/>
              <w:rPr/>
            </w:pPr>
            <w:r>
              <w:rPr/>
              <w:t>​</w:t>
            </w:r>
          </w:p>
        </w:tc>
        <w:tc>
          <w:tcPr>
            <w:tcW w:w="107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312</w:t>
            </w:r>
          </w:p>
        </w:tc>
        <w:tc>
          <w:tcPr>
            <w:tcW w:w="109"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679</w:t>
            </w:r>
          </w:p>
        </w:tc>
        <w:tc>
          <w:tcPr>
            <w:tcW w:w="130" w:type="dxa"/>
            <w:tcBorders/>
            <w:vAlign w:val="center"/>
          </w:tcPr>
          <w:p>
            <w:pPr>
              <w:pStyle w:val="TableContents"/>
              <w:bidi w:val="0"/>
              <w:spacing w:before="0" w:after="0"/>
              <w:ind w:left="0" w:right="0" w:hanging="0"/>
              <w:jc w:val="righ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598</w:t>
            </w:r>
          </w:p>
        </w:tc>
      </w:tr>
      <w:tr>
        <w:trPr/>
        <w:tc>
          <w:tcPr>
            <w:tcW w:w="5579"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Earnings before interest, taxes, depreciation and amortization ("EBITDA") (Non-GAAP)</w:t>
            </w:r>
          </w:p>
        </w:tc>
        <w:tc>
          <w:tcPr>
            <w:tcW w:w="1077"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(7,325)</w:t>
            </w:r>
          </w:p>
        </w:tc>
        <w:tc>
          <w:tcPr>
            <w:tcW w:w="154" w:type="dxa"/>
            <w:tcBorders/>
            <w:vAlign w:val="center"/>
          </w:tcPr>
          <w:p>
            <w:pPr>
              <w:pStyle w:val="TableContents"/>
              <w:bidi w:val="0"/>
              <w:spacing w:before="0" w:after="0"/>
              <w:ind w:left="0" w:right="0" w:hanging="0"/>
              <w:jc w:val="right"/>
              <w:rPr/>
            </w:pPr>
            <w:r>
              <w:rPr/>
              <w:t>​</w:t>
            </w:r>
          </w:p>
        </w:tc>
        <w:tc>
          <w:tcPr>
            <w:tcW w:w="1077"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(9,781)</w:t>
            </w:r>
          </w:p>
        </w:tc>
        <w:tc>
          <w:tcPr>
            <w:tcW w:w="109" w:type="dxa"/>
            <w:tcBorders/>
            <w:vAlign w:val="center"/>
          </w:tcPr>
          <w:p>
            <w:pPr>
              <w:pStyle w:val="TableContents"/>
              <w:bidi w:val="0"/>
              <w:spacing w:before="0" w:after="0"/>
              <w:ind w:left="0" w:right="0" w:hanging="0"/>
              <w:jc w:val="right"/>
              <w:rPr/>
            </w:pPr>
            <w:r>
              <w:rPr/>
              <w:t>​</w:t>
            </w:r>
          </w:p>
        </w:tc>
        <w:tc>
          <w:tcPr>
            <w:tcW w:w="1012"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(14,501)</w:t>
            </w:r>
          </w:p>
        </w:tc>
        <w:tc>
          <w:tcPr>
            <w:tcW w:w="130" w:type="dxa"/>
            <w:tcBorders/>
            <w:vAlign w:val="center"/>
          </w:tcPr>
          <w:p>
            <w:pPr>
              <w:pStyle w:val="TableContents"/>
              <w:bidi w:val="0"/>
              <w:spacing w:before="0" w:after="0"/>
              <w:ind w:left="0" w:right="0" w:hanging="0"/>
              <w:jc w:val="right"/>
              <w:rPr/>
            </w:pPr>
            <w:r>
              <w:rPr/>
              <w:t>​</w:t>
            </w:r>
          </w:p>
        </w:tc>
        <w:tc>
          <w:tcPr>
            <w:tcW w:w="1067"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(13,236)</w:t>
            </w:r>
          </w:p>
        </w:tc>
      </w:tr>
      <w:tr>
        <w:trPr/>
        <w:tc>
          <w:tcPr>
            <w:tcW w:w="5579"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Loss (income) from discontinued operations(2)</w:t>
            </w:r>
          </w:p>
        </w:tc>
        <w:tc>
          <w:tcPr>
            <w:tcW w:w="1077"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c>
          <w:tcPr>
            <w:tcW w:w="107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2,519</w:t>
            </w:r>
          </w:p>
        </w:tc>
        <w:tc>
          <w:tcPr>
            <w:tcW w:w="109"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(425)</w:t>
            </w:r>
          </w:p>
        </w:tc>
        <w:tc>
          <w:tcPr>
            <w:tcW w:w="130" w:type="dxa"/>
            <w:tcBorders/>
            <w:vAlign w:val="center"/>
          </w:tcPr>
          <w:p>
            <w:pPr>
              <w:pStyle w:val="TableContents"/>
              <w:bidi w:val="0"/>
              <w:spacing w:before="0" w:after="0"/>
              <w:ind w:left="0" w:right="0" w:hanging="0"/>
              <w:jc w:val="righ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4,565</w:t>
            </w:r>
          </w:p>
        </w:tc>
      </w:tr>
      <w:tr>
        <w:trPr/>
        <w:tc>
          <w:tcPr>
            <w:tcW w:w="5579"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Stock-based compensation</w:t>
            </w:r>
          </w:p>
        </w:tc>
        <w:tc>
          <w:tcPr>
            <w:tcW w:w="107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905</w:t>
            </w:r>
          </w:p>
        </w:tc>
        <w:tc>
          <w:tcPr>
            <w:tcW w:w="154" w:type="dxa"/>
            <w:tcBorders/>
            <w:vAlign w:val="center"/>
          </w:tcPr>
          <w:p>
            <w:pPr>
              <w:pStyle w:val="TableContents"/>
              <w:bidi w:val="0"/>
              <w:spacing w:before="0" w:after="0"/>
              <w:ind w:left="0" w:right="0" w:hanging="0"/>
              <w:jc w:val="right"/>
              <w:rPr/>
            </w:pPr>
            <w:r>
              <w:rPr/>
              <w:t>​</w:t>
            </w:r>
          </w:p>
        </w:tc>
        <w:tc>
          <w:tcPr>
            <w:tcW w:w="107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1,028</w:t>
            </w:r>
          </w:p>
        </w:tc>
        <w:tc>
          <w:tcPr>
            <w:tcW w:w="109"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1,836</w:t>
            </w:r>
          </w:p>
        </w:tc>
        <w:tc>
          <w:tcPr>
            <w:tcW w:w="130" w:type="dxa"/>
            <w:tcBorders/>
            <w:vAlign w:val="center"/>
          </w:tcPr>
          <w:p>
            <w:pPr>
              <w:pStyle w:val="TableContents"/>
              <w:bidi w:val="0"/>
              <w:spacing w:before="0" w:after="0"/>
              <w:ind w:left="0" w:right="0" w:hanging="0"/>
              <w:jc w:val="righ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2,116</w:t>
            </w:r>
          </w:p>
        </w:tc>
      </w:tr>
      <w:tr>
        <w:trPr/>
        <w:tc>
          <w:tcPr>
            <w:tcW w:w="5579"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Litigation costs, net(3)</w:t>
            </w:r>
          </w:p>
        </w:tc>
        <w:tc>
          <w:tcPr>
            <w:tcW w:w="107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2,057</w:t>
            </w:r>
          </w:p>
        </w:tc>
        <w:tc>
          <w:tcPr>
            <w:tcW w:w="154" w:type="dxa"/>
            <w:tcBorders/>
            <w:vAlign w:val="center"/>
          </w:tcPr>
          <w:p>
            <w:pPr>
              <w:pStyle w:val="TableContents"/>
              <w:bidi w:val="0"/>
              <w:spacing w:before="0" w:after="0"/>
              <w:ind w:left="0" w:right="0" w:hanging="0"/>
              <w:jc w:val="right"/>
              <w:rPr/>
            </w:pPr>
            <w:r>
              <w:rPr/>
              <w:t>​</w:t>
            </w:r>
          </w:p>
        </w:tc>
        <w:tc>
          <w:tcPr>
            <w:tcW w:w="107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4,004</w:t>
            </w:r>
          </w:p>
        </w:tc>
        <w:tc>
          <w:tcPr>
            <w:tcW w:w="109"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2,663</w:t>
            </w:r>
          </w:p>
        </w:tc>
        <w:tc>
          <w:tcPr>
            <w:tcW w:w="130" w:type="dxa"/>
            <w:tcBorders/>
            <w:vAlign w:val="center"/>
          </w:tcPr>
          <w:p>
            <w:pPr>
              <w:pStyle w:val="TableContents"/>
              <w:bidi w:val="0"/>
              <w:spacing w:before="0" w:after="0"/>
              <w:ind w:left="0" w:right="0" w:hanging="0"/>
              <w:jc w:val="righ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6,576</w:t>
            </w:r>
          </w:p>
        </w:tc>
      </w:tr>
      <w:tr>
        <w:trPr/>
        <w:tc>
          <w:tcPr>
            <w:tcW w:w="5579"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(Gain) loss on revaluation of warrant liability(4)</w:t>
            </w:r>
          </w:p>
        </w:tc>
        <w:tc>
          <w:tcPr>
            <w:tcW w:w="107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(226)</w:t>
            </w:r>
          </w:p>
        </w:tc>
        <w:tc>
          <w:tcPr>
            <w:tcW w:w="154" w:type="dxa"/>
            <w:tcBorders/>
            <w:vAlign w:val="center"/>
          </w:tcPr>
          <w:p>
            <w:pPr>
              <w:pStyle w:val="TableContents"/>
              <w:bidi w:val="0"/>
              <w:spacing w:before="0" w:after="0"/>
              <w:ind w:left="0" w:right="0" w:hanging="0"/>
              <w:jc w:val="right"/>
              <w:rPr/>
            </w:pPr>
            <w:r>
              <w:rPr/>
              <w:t>​</w:t>
            </w:r>
          </w:p>
        </w:tc>
        <w:tc>
          <w:tcPr>
            <w:tcW w:w="107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(2,233)</w:t>
            </w:r>
          </w:p>
        </w:tc>
        <w:tc>
          <w:tcPr>
            <w:tcW w:w="109"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1,429</w:t>
            </w:r>
          </w:p>
        </w:tc>
        <w:tc>
          <w:tcPr>
            <w:tcW w:w="130" w:type="dxa"/>
            <w:tcBorders/>
            <w:vAlign w:val="center"/>
          </w:tcPr>
          <w:p>
            <w:pPr>
              <w:pStyle w:val="TableContents"/>
              <w:bidi w:val="0"/>
              <w:spacing w:before="0" w:after="0"/>
              <w:ind w:left="0" w:right="0" w:hanging="0"/>
              <w:jc w:val="righ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(7,420)</w:t>
            </w:r>
          </w:p>
        </w:tc>
      </w:tr>
      <w:tr>
        <w:trPr/>
        <w:tc>
          <w:tcPr>
            <w:tcW w:w="5579"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Warrant issuance expenses</w:t>
            </w:r>
          </w:p>
        </w:tc>
        <w:tc>
          <w:tcPr>
            <w:tcW w:w="1077"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c>
          <w:tcPr>
            <w:tcW w:w="10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pPr>
            <w:r>
              <w:rPr/>
              <w:t>—</w:t>
            </w:r>
          </w:p>
        </w:tc>
        <w:tc>
          <w:tcPr>
            <w:tcW w:w="130" w:type="dxa"/>
            <w:tcBorders/>
            <w:vAlign w:val="center"/>
          </w:tcPr>
          <w:p>
            <w:pPr>
              <w:pStyle w:val="TableContents"/>
              <w:bidi w:val="0"/>
              <w:spacing w:before="0" w:after="0"/>
              <w:ind w:left="0" w:right="0" w:hanging="0"/>
              <w:jc w:val="righ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105</w:t>
            </w:r>
          </w:p>
        </w:tc>
      </w:tr>
      <w:tr>
        <w:trPr/>
        <w:tc>
          <w:tcPr>
            <w:tcW w:w="5579"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Loss on revaluation of revenue interest obligation(5)</w:t>
            </w:r>
          </w:p>
        </w:tc>
        <w:tc>
          <w:tcPr>
            <w:tcW w:w="1077"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c>
          <w:tcPr>
            <w:tcW w:w="107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1,442</w:t>
            </w:r>
          </w:p>
        </w:tc>
        <w:tc>
          <w:tcPr>
            <w:tcW w:w="109"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pPr>
            <w:r>
              <w:rPr/>
              <w:t>—</w:t>
            </w:r>
          </w:p>
        </w:tc>
        <w:tc>
          <w:tcPr>
            <w:tcW w:w="130" w:type="dxa"/>
            <w:tcBorders/>
            <w:vAlign w:val="center"/>
          </w:tcPr>
          <w:p>
            <w:pPr>
              <w:pStyle w:val="TableContents"/>
              <w:bidi w:val="0"/>
              <w:spacing w:before="0" w:after="0"/>
              <w:ind w:left="0" w:right="0" w:hanging="0"/>
              <w:jc w:val="righ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1,442</w:t>
            </w:r>
          </w:p>
        </w:tc>
      </w:tr>
      <w:tr>
        <w:trPr/>
        <w:tc>
          <w:tcPr>
            <w:tcW w:w="5579" w:type="dxa"/>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Adjusted EBITDA (Non-GAAP)</w:t>
            </w:r>
          </w:p>
        </w:tc>
        <w:tc>
          <w:tcPr>
            <w:tcW w:w="1077"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(4,589)</w:t>
            </w:r>
          </w:p>
        </w:tc>
        <w:tc>
          <w:tcPr>
            <w:tcW w:w="154" w:type="dxa"/>
            <w:tcBorders/>
            <w:vAlign w:val="center"/>
          </w:tcPr>
          <w:p>
            <w:pPr>
              <w:pStyle w:val="TableContents"/>
              <w:bidi w:val="0"/>
              <w:spacing w:before="0" w:after="0"/>
              <w:ind w:left="0" w:right="0" w:hanging="0"/>
              <w:jc w:val="right"/>
              <w:rPr/>
            </w:pPr>
            <w:r>
              <w:rPr/>
              <w:t>​</w:t>
            </w:r>
          </w:p>
        </w:tc>
        <w:tc>
          <w:tcPr>
            <w:tcW w:w="1077"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(3,021)</w:t>
            </w:r>
          </w:p>
        </w:tc>
        <w:tc>
          <w:tcPr>
            <w:tcW w:w="109" w:type="dxa"/>
            <w:tcBorders/>
            <w:vAlign w:val="center"/>
          </w:tcPr>
          <w:p>
            <w:pPr>
              <w:pStyle w:val="TableContents"/>
              <w:bidi w:val="0"/>
              <w:spacing w:before="0" w:after="0"/>
              <w:ind w:left="0" w:right="0" w:hanging="0"/>
              <w:jc w:val="right"/>
              <w:rPr/>
            </w:pPr>
            <w:r>
              <w:rPr/>
              <w:t>​</w:t>
            </w:r>
          </w:p>
        </w:tc>
        <w:tc>
          <w:tcPr>
            <w:tcW w:w="1012"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(8,998)</w:t>
            </w:r>
          </w:p>
        </w:tc>
        <w:tc>
          <w:tcPr>
            <w:tcW w:w="130" w:type="dxa"/>
            <w:tcBorders/>
            <w:vAlign w:val="center"/>
          </w:tcPr>
          <w:p>
            <w:pPr>
              <w:pStyle w:val="TableContents"/>
              <w:bidi w:val="0"/>
              <w:spacing w:before="0" w:after="0"/>
              <w:ind w:left="0" w:right="0" w:hanging="0"/>
              <w:jc w:val="right"/>
              <w:rPr/>
            </w:pPr>
            <w:r>
              <w:rPr/>
              <w:t>​</w:t>
            </w:r>
          </w:p>
        </w:tc>
        <w:tc>
          <w:tcPr>
            <w:tcW w:w="1067"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sz w:val="17"/>
              </w:rPr>
            </w:pPr>
            <w:r>
              <w:rPr>
                <w:rFonts w:ascii="Arial;Helvetica;sans-serif" w:hAnsi="Arial;Helvetica;sans-serif"/>
                <w:b/>
                <w:sz w:val="17"/>
              </w:rPr>
              <w:t>$ (5,852)</w:t>
            </w:r>
          </w:p>
        </w:tc>
      </w:tr>
    </w:tbl>
    <w:p>
      <w:pPr>
        <w:pStyle w:val="TextBody"/>
        <w:bidi w:val="0"/>
        <w:spacing w:lineRule="auto" w:line="295" w:before="0" w:after="0"/>
        <w:ind w:left="0" w:right="0" w:hanging="0"/>
        <w:jc w:val="left"/>
        <w:rPr>
          <w:color w:val="222222"/>
        </w:rPr>
      </w:pPr>
      <w:r>
        <w:rPr>
          <w:color w:val="222222"/>
        </w:rPr>
        <w:t>​</w:t>
      </w:r>
    </w:p>
    <w:p>
      <w:pPr>
        <w:pStyle w:val="TextBody"/>
        <w:bidi w:val="0"/>
        <w:spacing w:lineRule="auto" w:line="268" w:before="0" w:after="0"/>
        <w:ind w:left="0" w:right="0" w:hanging="0"/>
        <w:jc w:val="left"/>
        <w:rPr>
          <w:rFonts w:ascii="Arial;Helvetica;sans-serif" w:hAnsi="Arial;Helvetica;sans-serif"/>
          <w:sz w:val="16"/>
        </w:rPr>
      </w:pPr>
      <w:r>
        <w:rPr>
          <w:rFonts w:ascii="Arial;Helvetica;sans-serif" w:hAnsi="Arial;Helvetica;sans-serif"/>
          <w:sz w:val="16"/>
        </w:rPr>
        <w:t>(1) Represents interest expense recorded on all outstanding long-term debt as well as the revenue interest obligation.</w:t>
      </w:r>
    </w:p>
    <w:p>
      <w:pPr>
        <w:pStyle w:val="TextBody"/>
        <w:bidi w:val="0"/>
        <w:spacing w:lineRule="auto" w:line="268" w:before="0" w:after="0"/>
        <w:ind w:left="0" w:right="0" w:hanging="0"/>
        <w:jc w:val="left"/>
        <w:rPr>
          <w:rFonts w:ascii="Arial;Helvetica;sans-serif" w:hAnsi="Arial;Helvetica;sans-serif"/>
          <w:sz w:val="16"/>
        </w:rPr>
      </w:pPr>
      <w:r>
        <w:rPr>
          <w:rFonts w:ascii="Arial;Helvetica;sans-serif" w:hAnsi="Arial;Helvetica;sans-serif"/>
          <w:sz w:val="16"/>
        </w:rPr>
        <w:t>(2) Represents the financial results of the BioEnvelope business sold to Boston Scientific Corporation on October 1, 2025.</w:t>
      </w:r>
    </w:p>
    <w:p>
      <w:pPr>
        <w:pStyle w:val="TextBody"/>
        <w:bidi w:val="0"/>
        <w:spacing w:lineRule="auto" w:line="268" w:before="0" w:after="0"/>
        <w:ind w:left="0" w:right="0" w:hanging="0"/>
        <w:jc w:val="left"/>
        <w:rPr>
          <w:rFonts w:ascii="Arial;Helvetica;sans-serif" w:hAnsi="Arial;Helvetica;sans-serif"/>
          <w:sz w:val="16"/>
        </w:rPr>
      </w:pPr>
      <w:r>
        <w:rPr>
          <w:rFonts w:ascii="Arial;Helvetica;sans-serif" w:hAnsi="Arial;Helvetica;sans-serif"/>
          <w:sz w:val="16"/>
        </w:rPr>
        <w:t>(3) Represents litigation costs consisting primarily of legal fees and the estimated and actual costs to resolve the outstanding FiberCel and VBM litigation cases offset by the amounts recovered and recoverable under insurance, indemnity and contribution agreements for such costs.</w:t>
      </w:r>
    </w:p>
    <w:p>
      <w:pPr>
        <w:pStyle w:val="TextBody"/>
        <w:bidi w:val="0"/>
        <w:spacing w:lineRule="auto" w:line="268" w:before="0" w:after="0"/>
        <w:ind w:left="0" w:right="0" w:hanging="0"/>
        <w:jc w:val="left"/>
        <w:rPr>
          <w:rFonts w:ascii="Arial;Helvetica;sans-serif" w:hAnsi="Arial;Helvetica;sans-serif"/>
          <w:sz w:val="16"/>
        </w:rPr>
      </w:pPr>
      <w:r>
        <w:rPr>
          <w:rFonts w:ascii="Arial;Helvetica;sans-serif" w:hAnsi="Arial;Helvetica;sans-serif"/>
          <w:sz w:val="16"/>
        </w:rPr>
        <w:t>(4) Represents the non-cash revaluation of Common Warrants and Prefunded Warrants issued in connection with a private offering in September 2023 and registered direct offerings in June 2024 and February 2025.</w:t>
      </w:r>
    </w:p>
    <w:p>
      <w:pPr>
        <w:pStyle w:val="TextBody"/>
        <w:bidi w:val="0"/>
        <w:spacing w:lineRule="auto" w:line="268" w:before="0" w:after="0"/>
        <w:ind w:left="0" w:right="0" w:hanging="0"/>
        <w:jc w:val="left"/>
        <w:rPr>
          <w:rFonts w:ascii="Arial;Helvetica;sans-serif" w:hAnsi="Arial;Helvetica;sans-serif"/>
          <w:sz w:val="16"/>
        </w:rPr>
      </w:pPr>
      <w:r>
        <w:rPr>
          <w:rFonts w:ascii="Arial;Helvetica;sans-serif" w:hAnsi="Arial;Helvetica;sans-serif"/>
          <w:sz w:val="16"/>
        </w:rPr>
        <w:t>(5) Represents the non-cash revaluation of the revenue interest obligation. At each reporting period, the value of the revenue interest obligation is re-measured based on current estimates of future payments, with changes to be recorded in the consolidated statements of operations using the catch-up method.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4061</Words>
  <Characters>23215</Characters>
  <CharactersWithSpaces>27165</CharactersWithSpaces>
  <Paragraphs>811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