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zyo-20230630x10q.htm"/>
        <w:bookmarkStart w:id="1" w:name="ksazyo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2" w:name="_438b007b_bdc9_4a72_bdbb_a6adb384c42d"/>
      <w:bookmarkEnd w:id="2"/>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sz w:val="18"/>
        </w:rPr>
        <w:t>(Mark One)</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jc w:val="both"/>
              <w:rPr/>
            </w:pPr>
            <w:r>
              <w:rPr/>
              <w:t>☒</w:t>
            </w:r>
          </w:p>
        </w:tc>
        <w:tc>
          <w:tcPr>
            <w:tcW w:w="9421" w:type="dxa"/>
            <w:tcBorders/>
            <w:vAlign w:val="center"/>
          </w:tcPr>
          <w:p>
            <w:pPr>
              <w:pStyle w:val="TableContents"/>
              <w:bidi w:val="0"/>
              <w:spacing w:before="0" w:after="0"/>
              <w:jc w:val="both"/>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2023</w:t>
      </w:r>
    </w:p>
    <w:p>
      <w:pPr>
        <w:pStyle w:val="TextBody"/>
        <w:bidi w:val="0"/>
        <w:spacing w:before="0" w:after="14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jc w:val="both"/>
              <w:rPr/>
            </w:pPr>
            <w:r>
              <w:rPr/>
              <w:t>☐</w:t>
            </w:r>
          </w:p>
        </w:tc>
        <w:tc>
          <w:tcPr>
            <w:tcW w:w="9421" w:type="dxa"/>
            <w:tcBorders/>
            <w:vAlign w:val="center"/>
          </w:tcPr>
          <w:p>
            <w:pPr>
              <w:pStyle w:val="TableContents"/>
              <w:bidi w:val="0"/>
              <w:spacing w:before="0" w:after="0"/>
              <w:jc w:val="both"/>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Commission file number: 001-39577</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Aziyo Biologics,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 w:name="Tc_xOv9rA5_JkanZ2CybKE5tg_2_2"/>
      <w:bookmarkStart w:id="4" w:name="Tc_j6iBu-N1REqutK4hFkq-5g_2_0"/>
      <w:bookmarkStart w:id="5" w:name="_e460bc7c_cfaf_41f5_9699_f32a26f199a2"/>
      <w:bookmarkStart w:id="6" w:name="Tc_xOv9rA5_JkanZ2CybKE5tg_2_2"/>
      <w:bookmarkStart w:id="7" w:name="Tc_j6iBu-N1REqutK4hFkq-5g_2_0"/>
      <w:bookmarkStart w:id="8" w:name="_e460bc7c_cfaf_41f5_9699_f32a26f199a2"/>
      <w:bookmarkEnd w:id="6"/>
      <w:bookmarkEnd w:id="7"/>
      <w:bookmarkEnd w:id="8"/>
    </w:p>
    <w:tbl>
      <w:tblPr>
        <w:tblW w:w="6216" w:type="dxa"/>
        <w:jc w:val="left"/>
        <w:tblInd w:w="0" w:type="dxa"/>
        <w:tblLayout w:type="fixed"/>
        <w:tblCellMar>
          <w:top w:w="0" w:type="dxa"/>
          <w:left w:w="0" w:type="dxa"/>
          <w:bottom w:w="0" w:type="dxa"/>
          <w:right w:w="0" w:type="dxa"/>
        </w:tblCellMar>
      </w:tblPr>
      <w:tblGrid>
        <w:gridCol w:w="3391"/>
        <w:gridCol w:w="109"/>
        <w:gridCol w:w="2716"/>
      </w:tblGrid>
      <w:tr>
        <w:trPr/>
        <w:tc>
          <w:tcPr>
            <w:tcW w:w="33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716" w:type="dxa"/>
            <w:tcBorders/>
            <w:vAlign w:val="center"/>
          </w:tcPr>
          <w:p>
            <w:pPr>
              <w:pStyle w:val="TableContents"/>
              <w:bidi w:val="0"/>
              <w:spacing w:before="0" w:after="0"/>
              <w:ind w:left="0" w:right="0" w:hanging="0"/>
              <w:jc w:val="center"/>
              <w:rPr/>
            </w:pPr>
            <w:r>
              <w:rPr/>
              <w:t>​</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47-4790334</w:t>
            </w:r>
          </w:p>
        </w:tc>
      </w:tr>
      <w:tr>
        <w:trPr/>
        <w:tc>
          <w:tcPr>
            <w:tcW w:w="33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incorporation or </w:t>
              <w:br/>
              <w:t>organization)</w:t>
            </w:r>
          </w:p>
        </w:tc>
        <w:tc>
          <w:tcPr>
            <w:tcW w:w="109" w:type="dxa"/>
            <w:tcBorders/>
            <w:vAlign w:val="center"/>
          </w:tcPr>
          <w:p>
            <w:pPr>
              <w:pStyle w:val="TableContents"/>
              <w:bidi w:val="0"/>
              <w:spacing w:before="0" w:after="240"/>
              <w:ind w:left="0" w:right="0" w:hanging="0"/>
              <w:jc w:val="center"/>
              <w:rPr/>
            </w:pPr>
            <w:r>
              <w:rPr/>
              <w:t>​</w:t>
            </w:r>
          </w:p>
        </w:tc>
        <w:tc>
          <w:tcPr>
            <w:tcW w:w="271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12510 Prosperity Drive, Suite 370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Silver Spring, MD</w:t>
      </w:r>
      <w:r>
        <w:rPr>
          <w:rFonts w:ascii="Times New Roman;Times;serif" w:hAnsi="Times New Roman;Times;serif"/>
          <w:sz w:val="20"/>
        </w:rPr>
        <w:t xml:space="preserve"> </w:t>
      </w:r>
      <w:r>
        <w:rPr>
          <w:rFonts w:ascii="Times New Roman;Times;serif" w:hAnsi="Times New Roman;Times;serif"/>
          <w:b/>
          <w:sz w:val="18"/>
        </w:rPr>
        <w:t>20904</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 and Zip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(240) 247-1170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9" w:name="Tc_-vdPgp8af0GUi4RKQCDsxw_2_4"/>
      <w:bookmarkStart w:id="10" w:name="Tc_CymJCOLynUyN1wL-_nC3Dw_1_4"/>
      <w:bookmarkStart w:id="11" w:name="Tc_T8jq0c56VkOzNZyGyfkkVg_1_2"/>
      <w:bookmarkStart w:id="12" w:name="Tc_fqU-NEdaf0-y3Y7KmhjEkA_1_0"/>
      <w:bookmarkStart w:id="13" w:name="_47dec850_22d4_409c_9468_8267ddf8e6a7"/>
      <w:bookmarkStart w:id="14" w:name="Tc_-vdPgp8af0GUi4RKQCDsxw_2_4"/>
      <w:bookmarkStart w:id="15" w:name="Tc_CymJCOLynUyN1wL-_nC3Dw_1_4"/>
      <w:bookmarkStart w:id="16" w:name="Tc_T8jq0c56VkOzNZyGyfkkVg_1_2"/>
      <w:bookmarkStart w:id="17" w:name="Tc_fqU-NEdaf0-y3Y7KmhjEkA_1_0"/>
      <w:bookmarkStart w:id="18" w:name="_47dec850_22d4_409c_9468_8267ddf8e6a7"/>
      <w:bookmarkEnd w:id="14"/>
      <w:bookmarkEnd w:id="15"/>
      <w:bookmarkEnd w:id="16"/>
      <w:bookmarkEnd w:id="17"/>
      <w:bookmarkEnd w:id="18"/>
    </w:p>
    <w:tbl>
      <w:tblPr>
        <w:tblW w:w="9505" w:type="dxa"/>
        <w:jc w:val="left"/>
        <w:tblInd w:w="0" w:type="dxa"/>
        <w:tblLayout w:type="fixed"/>
        <w:tblCellMar>
          <w:top w:w="0" w:type="dxa"/>
          <w:left w:w="0" w:type="dxa"/>
          <w:bottom w:w="0" w:type="dxa"/>
          <w:right w:w="0" w:type="dxa"/>
        </w:tblCellMar>
      </w:tblPr>
      <w:tblGrid>
        <w:gridCol w:w="3811"/>
        <w:gridCol w:w="326"/>
        <w:gridCol w:w="1561"/>
        <w:gridCol w:w="326"/>
        <w:gridCol w:w="348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par value $0.001 per share</w:t>
            </w:r>
          </w:p>
        </w:tc>
        <w:tc>
          <w:tcPr>
            <w:tcW w:w="32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AZYO</w:t>
            </w:r>
          </w:p>
        </w:tc>
        <w:tc>
          <w:tcPr>
            <w:tcW w:w="326" w:type="dxa"/>
            <w:tcBorders/>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6041" w:type="dxa"/>
        <w:jc w:val="left"/>
        <w:tblInd w:w="0" w:type="dxa"/>
        <w:tblLayout w:type="fixed"/>
        <w:tblCellMar>
          <w:top w:w="0" w:type="dxa"/>
          <w:left w:w="0" w:type="dxa"/>
          <w:bottom w:w="0" w:type="dxa"/>
          <w:right w:w="0" w:type="dxa"/>
        </w:tblCellMar>
      </w:tblPr>
      <w:tblGrid>
        <w:gridCol w:w="2176"/>
        <w:gridCol w:w="326"/>
        <w:gridCol w:w="3539"/>
      </w:tblGrid>
      <w:tr>
        <w:trPr/>
        <w:tc>
          <w:tcPr>
            <w:tcW w:w="21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Large accelerated filer       ☐</w:t>
            </w:r>
          </w:p>
        </w:tc>
        <w:tc>
          <w:tcPr>
            <w:tcW w:w="326" w:type="dxa"/>
            <w:tcBorders/>
            <w:vAlign w:val="center"/>
          </w:tcPr>
          <w:p>
            <w:pPr>
              <w:pStyle w:val="TableContents"/>
              <w:bidi w:val="0"/>
              <w:spacing w:before="0" w:after="0"/>
              <w:ind w:left="0" w:right="0" w:hanging="0"/>
              <w:jc w:val="both"/>
              <w:rPr/>
            </w:pPr>
            <w:r>
              <w:rPr/>
              <w:t>    </w:t>
            </w:r>
          </w:p>
        </w:tc>
        <w:tc>
          <w:tcPr>
            <w:tcW w:w="353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Accelerated filer                           ☐</w:t>
            </w:r>
          </w:p>
        </w:tc>
      </w:tr>
      <w:tr>
        <w:trPr/>
        <w:tc>
          <w:tcPr>
            <w:tcW w:w="21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326" w:type="dxa"/>
            <w:tcBorders/>
            <w:vAlign w:val="center"/>
          </w:tcPr>
          <w:p>
            <w:pPr>
              <w:pStyle w:val="TableContents"/>
              <w:bidi w:val="0"/>
              <w:spacing w:before="0" w:after="240"/>
              <w:ind w:left="0" w:right="0" w:hanging="0"/>
              <w:jc w:val="both"/>
              <w:rPr/>
            </w:pPr>
            <w:r>
              <w:rPr/>
              <w:t>​</w:t>
            </w:r>
          </w:p>
        </w:tc>
        <w:tc>
          <w:tcPr>
            <w:tcW w:w="35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r>
      <w:tr>
        <w:trPr/>
        <w:tc>
          <w:tcPr>
            <w:tcW w:w="217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40"/>
              <w:ind w:left="0" w:right="0" w:hanging="0"/>
              <w:jc w:val="both"/>
              <w:rPr/>
            </w:pPr>
            <w:r>
              <w:rPr/>
              <w:t>​</w:t>
            </w:r>
          </w:p>
        </w:tc>
        <w:tc>
          <w:tcPr>
            <w:tcW w:w="3539" w:type="dxa"/>
            <w:tcBorders/>
            <w:vAlign w:val="center"/>
          </w:tcPr>
          <w:p>
            <w:pPr>
              <w:pStyle w:val="TableContents"/>
              <w:bidi w:val="0"/>
              <w:spacing w:before="0" w:after="0"/>
              <w:ind w:left="0" w:right="58" w:firstLine="720"/>
              <w:jc w:val="right"/>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10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8"/>
        </w:rPr>
        <w:t>As of August 9, 2023, there were 11,936,441 shares of the registrant’s Class A common stock and 4,313,406 shares of the registrant’s Class B common stock outstanding.</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 w:name="FORWARDLOOKINGSTATEMENTS_207286"/>
      <w:bookmarkStart w:id="20" w:name="_4a75158d_fae3_4b31_89e4_9a67c41de8a1"/>
      <w:bookmarkEnd w:id="19"/>
      <w:bookmarkEnd w:id="20"/>
      <w:r>
        <w:rPr>
          <w:rFonts w:ascii="Times New Roman;Times;serif" w:hAnsi="Times New Roman;Times;serif"/>
          <w:b/>
          <w:sz w:val="20"/>
        </w:rPr>
        <w:t>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results of operations, financial position, and business strategy; expectations regarding our products and their targeted effects; expectations regarding the voluntary recall of a single lot of a certain viable bone matrix product and the market withdrawal of all of our viable bone matrix (“VBM”) products (“VBM Matter”), and any impact of the recall and suspension of sales of these products on the Company’s business; plans for our sales and marketing growth; our anticipated expansion of our product development and research activities; increases in expenses and seasonality; expectations regarding our competitive advantages, and overall clinical and commercial success; expectations regarding the pending lawsuits and claims related to our recall of a single lot of Fiber Viable Bone Matrix (“FiberCel”), amounts recoverable under insurance, indemnity and contribution agreements and the impact of such lawsuits and claims on our future financial position; expectations regarding the potential emergence of lawsuits and claims related to the VBM Matter, amounts recoverable under insurance, indemnity and contribution agreements and the impact of such lawsuits and claims on our future financial position; our expectations and plans regarding pursuit of any strategic transactions; and our expectations relating to the FDA regulatory process for the CanGaroo RM Antibacterial Envelope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Without limiting the foregoing, the words “aim,” “believe,” “may,” “will,” “should,” “expect,” “exploring,” “plan,” “anticipate,” “could,” “intend,” “target,” “project,” “contemplate,” “believe,” “estimate,” “predict,” “potential,” “seeks,” or “continue” or the negative of these terms or other similar expressions, are intended to identify forward-looking statements, although not all forward-looking statements contain these words. These forward-looking statements are not a guarantee of future results, performance, or achievements, and one should avoid placing undue reliance on such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w:t>
      </w:r>
    </w:p>
    <w:tbl>
      <w:tblPr>
        <w:tblW w:w="3906" w:type="dxa"/>
        <w:jc w:val="left"/>
        <w:tblInd w:w="0" w:type="dxa"/>
        <w:tblLayout w:type="fixed"/>
        <w:tblCellMar>
          <w:top w:w="0" w:type="dxa"/>
          <w:left w:w="0" w:type="dxa"/>
          <w:bottom w:w="0" w:type="dxa"/>
          <w:right w:w="0" w:type="dxa"/>
        </w:tblCellMar>
      </w:tblPr>
      <w:tblGrid>
        <w:gridCol w:w="124"/>
        <w:gridCol w:w="181"/>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36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continue as a going concern;</w:t>
            </w:r>
          </w:p>
        </w:tc>
      </w:tr>
    </w:tbl>
    <w:p>
      <w:pPr>
        <w:pStyle w:val="TextBody"/>
        <w:pBdr/>
        <w:bidi w:val="0"/>
        <w:spacing w:before="0" w:after="0"/>
        <w:ind w:left="360" w:right="0" w:hanging="360"/>
        <w:jc w:val="left"/>
        <w:rPr/>
      </w:pPr>
      <w:r>
        <w:rPr/>
        <w:t>​</w:t>
      </w:r>
    </w:p>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or sustain profitability;</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regulatory approval or other marketing authorizations by the U.S. Food and Drug Administration (“FDA”) and comparable foreign authorities for our products and product candidates;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enhance our products, expand our product indications and develop, acquire and commercialize additional product offerings;</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dependence on our commercial partners and independent sales agents to generate a substantial portion of our net sales;</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maintain our relationships with our existing contract manufacturing customers and enter into agreements with new contract manufacturing customers, or if existing contract manufacturing customers reduce purchases of our products;</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successfully execute or realize the anticipated benefits under our distribution arrangements with LeMaitre Vascular and Sientra;</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181"/>
        <w:gridCol w:w="9900"/>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9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physician awareness of the distinctive characteristics, benefits, safety, clinical efficacy and cost-effectiveness of our products;</w:t>
            </w:r>
          </w:p>
        </w:tc>
      </w:tr>
    </w:tbl>
    <w:p>
      <w:pPr>
        <w:pStyle w:val="TextBody"/>
        <w:bidi w:val="0"/>
        <w:spacing w:before="0" w:after="0"/>
        <w:ind w:left="360" w:right="0" w:hanging="0"/>
        <w:jc w:val="left"/>
        <w:rPr/>
      </w:pPr>
      <w:r>
        <w:rPr/>
        <w:t>​</w:t>
      </w:r>
    </w:p>
    <w:tbl>
      <w:tblPr>
        <w:tblW w:w="6951" w:type="dxa"/>
        <w:jc w:val="left"/>
        <w:tblInd w:w="0" w:type="dxa"/>
        <w:tblLayout w:type="fixed"/>
        <w:tblCellMar>
          <w:top w:w="0" w:type="dxa"/>
          <w:left w:w="0" w:type="dxa"/>
          <w:bottom w:w="0" w:type="dxa"/>
          <w:right w:w="0" w:type="dxa"/>
        </w:tblCellMar>
      </w:tblPr>
      <w:tblGrid>
        <w:gridCol w:w="124"/>
        <w:gridCol w:w="181"/>
        <w:gridCol w:w="6646"/>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66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continued and future acceptance of our products by the medical community;</w:t>
            </w:r>
          </w:p>
        </w:tc>
      </w:tr>
    </w:tbl>
    <w:p>
      <w:pPr>
        <w:pStyle w:val="TextBody"/>
        <w:bidi w:val="0"/>
        <w:spacing w:before="0" w:after="0"/>
        <w:ind w:left="360" w:right="0" w:hanging="0"/>
        <w:jc w:val="left"/>
        <w:rPr/>
      </w:pPr>
      <w:r>
        <w:rPr/>
        <w:t>​</w:t>
      </w:r>
    </w:p>
    <w:tbl>
      <w:tblPr>
        <w:tblW w:w="5436" w:type="dxa"/>
        <w:jc w:val="left"/>
        <w:tblInd w:w="0" w:type="dxa"/>
        <w:tblLayout w:type="fixed"/>
        <w:tblCellMar>
          <w:top w:w="0" w:type="dxa"/>
          <w:left w:w="0" w:type="dxa"/>
          <w:bottom w:w="0" w:type="dxa"/>
          <w:right w:w="0" w:type="dxa"/>
        </w:tblCellMar>
      </w:tblPr>
      <w:tblGrid>
        <w:gridCol w:w="124"/>
        <w:gridCol w:w="181"/>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51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our dependence on a limited number of third-party suppliers; </w:t>
            </w:r>
          </w:p>
        </w:tc>
      </w:tr>
    </w:tbl>
    <w:p>
      <w:pPr>
        <w:pStyle w:val="TextBody"/>
        <w:pBdr/>
        <w:bidi w:val="0"/>
        <w:spacing w:before="0" w:after="0"/>
        <w:ind w:left="36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defend against the various lawsuits related to our recall of a single lot of FiberCel and avoid a material adverse financial consequence; and</w:t>
            </w:r>
          </w:p>
        </w:tc>
      </w:tr>
    </w:tbl>
    <w:p>
      <w:pPr>
        <w:pStyle w:val="TextBody"/>
        <w:bidi w:val="0"/>
        <w:spacing w:before="0" w:after="0"/>
        <w:ind w:left="720" w:right="0" w:hanging="0"/>
        <w:jc w:val="left"/>
        <w:rPr/>
      </w:pPr>
      <w:r>
        <w:rPr/>
        <w:t>​</w:t>
      </w:r>
    </w:p>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regain compliance with the listing standards of the Nasdaq Capital Market. </w:t>
            </w:r>
          </w:p>
        </w:tc>
      </w:tr>
    </w:tbl>
    <w:p>
      <w:pPr>
        <w:pStyle w:val="TextBody"/>
        <w:bidi w:val="0"/>
        <w:spacing w:before="0" w:after="0"/>
        <w:ind w:left="36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and other important factors discussed in Part I, Item 2. “Management’s Discussion and Analysis of Financial Condition and Results of Operations” and Part II, Item 1A. “Risk Factors” in this Quarterly Report, and in Part I, Item 1A. “Risk Factors” and Part II, Item 7. “Management’s Discussion and Analysis of Financial Condition and Results of Operations” in our Annual Report on Form 10-K for the fiscal year ended December 31, 2022 (the “Annual Report”) and in our other filings with the Securities and Exchange Commission (the “SEC”), each of which filings are accessible on the SEC’s website at www.sec.gov and the Investor Relations page of our website at https://investors.aziyo.com/financials/sec-filings, could cause actual results to differ materially from those indicated by the forward-looking statements made in this Quarterly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operate in an evolving environment. New risk factors and uncertainties may emerge from time to time, and it is not possible for management to predict all risk factors and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used in this Quarterly Report, unless otherwise specified or the context otherwise requires, references to “we,” “us,” “our,” the “Company” and “Aziyo” refer to the operations of Aziyo Biologics, Inc. and its consolidated subsidiaries.</w:t>
      </w:r>
    </w:p>
    <w:p>
      <w:pPr>
        <w:pStyle w:val="TextBody"/>
        <w:bidi w:val="0"/>
        <w:spacing w:before="0" w:after="240"/>
        <w:ind w:left="0" w:right="0" w:hanging="0"/>
        <w:jc w:val="center"/>
        <w:rPr>
          <w:rFonts w:ascii="Times New Roman;Times;serif" w:hAnsi="Times New Roman;Times;serif"/>
          <w:b/>
          <w:sz w:val="20"/>
        </w:rPr>
      </w:pPr>
      <w:bookmarkStart w:id="21" w:name="WEBSITEDISCLOSURE_212612"/>
      <w:bookmarkEnd w:id="21"/>
      <w:r>
        <w:rPr>
          <w:rFonts w:ascii="Times New Roman;Times;serif" w:hAnsi="Times New Roman;Times;serif"/>
          <w:b/>
          <w:sz w:val="20"/>
        </w:rPr>
        <w:t>WEBSITE DISCLOSURE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Times;serif" w:hAnsi="Times New Roman;Times;serif"/>
          <w:i/>
          <w:sz w:val="20"/>
        </w:rPr>
        <w:t>www.aziyo.com</w:t>
      </w:r>
      <w:r>
        <w:rPr>
          <w:rFonts w:ascii="Times New Roman;Times;serif" w:hAnsi="Times New Roman;Times;serif"/>
          <w:sz w:val="20"/>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Times New Roman;Times;serif" w:hAnsi="Times New Roman;Times;serif"/>
          <w:i/>
          <w:sz w:val="20"/>
        </w:rPr>
        <w:t>www.aziyo.com</w:t>
      </w:r>
      <w:r>
        <w:rPr>
          <w:rFonts w:ascii="Times New Roman;Times;serif" w:hAnsi="Times New Roman;Times;serif"/>
          <w:sz w:val="20"/>
        </w:rPr>
        <w:t>. The reference to our website address does not constitute incorporation by reference of the information contained on or available through our website, and you should not consider such information to be a part of this Quarterly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2" w:name="TRADEMARKSTRADENAMESANDSERVICEMARKS_1893"/>
      <w:bookmarkStart w:id="23" w:name="_c69376cc_85c1_4740_a42a_5e31047872ea"/>
      <w:bookmarkEnd w:id="22"/>
      <w:bookmarkEnd w:id="23"/>
      <w:r>
        <w:rPr>
          <w:rFonts w:ascii="Times New Roman;Times;serif" w:hAnsi="Times New Roman;Times;serif"/>
          <w:b/>
          <w:sz w:val="20"/>
        </w:rPr>
        <w:t>TRADEMARKS, TRADE NAMES AND SERVICE MARKS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Quarterly Report includes our trademarks, trade names and service marks, including, without limitation, “Aziyo®,” “CanGaroo®,” “ProxiCor®,” “Tyke®,” “VasCure®,” “ViBone®,” “OsteGro®,” “SimpliDerm®” and our logo, which are our property and are protected under applicable intellectual property laws. This Quarterly Report also contains trademarks, trade names and service marks of other companies, which are the property of their respective owners. Solely for convenience, trademarks, trade names and service marks may appear in this Quarterly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240"/>
        <w:ind w:left="0" w:right="0" w:firstLine="720"/>
        <w:jc w:val="both"/>
        <w:rPr/>
      </w:pPr>
      <w:r>
        <w:rPr/>
        <w:t>​</w:t>
      </w:r>
    </w:p>
    <w:p>
      <w:pPr>
        <w:pStyle w:val="TextBody"/>
        <w:bidi w:val="0"/>
        <w:spacing w:before="0" w:after="240"/>
        <w:ind w:left="0" w:right="0" w:hanging="0"/>
        <w:jc w:val="center"/>
        <w:rPr>
          <w:rFonts w:ascii="Times New Roman;Times;serif" w:hAnsi="Times New Roman;Times;serif"/>
          <w:b/>
          <w:sz w:val="20"/>
        </w:rPr>
      </w:pPr>
      <w:bookmarkStart w:id="24" w:name="INDUSTRYANDOTHERDATA_184363"/>
      <w:bookmarkStart w:id="25" w:name="_5973f7cf_16cc_46b2_9def_8e9df155780a"/>
      <w:bookmarkEnd w:id="24"/>
      <w:bookmarkEnd w:id="25"/>
      <w:r>
        <w:rPr>
          <w:rFonts w:ascii="Times New Roman;Times;serif" w:hAnsi="Times New Roman;Times;serif"/>
          <w:b/>
          <w:sz w:val="20"/>
        </w:rPr>
        <w:t>INDUSTRY AND OTHER DATA</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indicated, information contained in this Quarterly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Quarterly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subject to a high degree of uncertainty and risk due to a variety of factors, including those described in this Quarterly Report under “Forward-Looking Statements” and Part I, Item 1A. “Risk Factors” in our Annual Report which can be found at https://investors.aziyo.com/financials/sec-filings. These and other factors could cause our future performance to differ materially from our assumptions and estimates.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6" w:name="TOC"/>
      <w:bookmarkStart w:id="27" w:name="_56dd0dc5_16b7_4102_a225_5ad8806b976c"/>
      <w:bookmarkEnd w:id="26"/>
      <w:bookmarkEnd w:id="27"/>
      <w:r>
        <w:rPr>
          <w:rFonts w:ascii="Times New Roman;Times;serif" w:hAnsi="Times New Roman;Times;serif"/>
          <w:b/>
          <w:sz w:val="20"/>
        </w:rPr>
        <w:t>TABLE OF CONTENTS</w:t>
      </w:r>
    </w:p>
    <w:tbl>
      <w:tblPr>
        <w:tblW w:w="8748" w:type="dxa"/>
        <w:jc w:val="left"/>
        <w:tblInd w:w="0" w:type="dxa"/>
        <w:tblLayout w:type="fixed"/>
        <w:tblCellMar>
          <w:top w:w="0" w:type="dxa"/>
          <w:left w:w="0" w:type="dxa"/>
          <w:bottom w:w="0" w:type="dxa"/>
          <w:right w:w="0" w:type="dxa"/>
        </w:tblCellMar>
      </w:tblPr>
      <w:tblGrid>
        <w:gridCol w:w="811"/>
        <w:gridCol w:w="7396"/>
        <w:gridCol w:w="541"/>
      </w:tblGrid>
      <w:tr>
        <w:trPr/>
        <w:tc>
          <w:tcPr>
            <w:tcW w:w="8207"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207" w:type="dxa"/>
            <w:gridSpan w:val="2"/>
            <w:tcBorders/>
            <w:shd w:fill="CCEEFF" w:val="clear"/>
            <w:vAlign w:val="center"/>
          </w:tcPr>
          <w:p>
            <w:pPr>
              <w:pStyle w:val="TableContents"/>
              <w:bidi w:val="0"/>
              <w:spacing w:before="0" w:after="0"/>
              <w:ind w:left="0" w:right="0" w:hanging="0"/>
              <w:jc w:val="left"/>
              <w:rPr/>
            </w:pPr>
            <w:hyperlink w:anchor="FORWARDLOOKINGSTATEMENTS_207286">
              <w:r>
                <w:rPr>
                  <w:rStyle w:val="InternetLink"/>
                  <w:rFonts w:ascii="Times New Roman;Times;serif" w:hAnsi="Times New Roman;Times;serif"/>
                  <w:b w:val="false"/>
                  <w:i w:val="false"/>
                  <w:caps w:val="false"/>
                  <w:smallCaps w:val="false"/>
                  <w:sz w:val="20"/>
                </w:rPr>
                <w:t>FORWARD-LOOKING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207" w:type="dxa"/>
            <w:gridSpan w:val="2"/>
            <w:tcBorders/>
            <w:vAlign w:val="center"/>
          </w:tcPr>
          <w:p>
            <w:pPr>
              <w:pStyle w:val="TableContents"/>
              <w:bidi w:val="0"/>
              <w:spacing w:before="0" w:after="0"/>
              <w:ind w:left="0" w:right="0" w:hanging="0"/>
              <w:jc w:val="left"/>
              <w:rPr/>
            </w:pPr>
            <w:hyperlink w:anchor="WEBSITEDISCLOSURE_212612">
              <w:r>
                <w:rPr>
                  <w:rStyle w:val="InternetLink"/>
                  <w:rFonts w:ascii="Times New Roman;Times;serif" w:hAnsi="Times New Roman;Times;serif"/>
                  <w:b w:val="false"/>
                  <w:i w:val="false"/>
                  <w:caps w:val="false"/>
                  <w:smallCaps w:val="false"/>
                  <w:sz w:val="20"/>
                </w:rPr>
                <w:t>WEBSITE DISCLOSURE</w:t>
              </w:r>
            </w:hyperlink>
            <w:r>
              <w:rPr>
                <w:rFonts w:ascii="Times New Roman;Times;serif" w:hAnsi="Times New Roman;Times;serif"/>
                <w:sz w:val="20"/>
              </w:rPr>
              <w:t xml:space="preserve"> </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207" w:type="dxa"/>
            <w:gridSpan w:val="2"/>
            <w:tcBorders/>
            <w:shd w:fill="CCEEFF" w:val="clear"/>
            <w:vAlign w:val="center"/>
          </w:tcPr>
          <w:p>
            <w:pPr>
              <w:pStyle w:val="TableContents"/>
              <w:bidi w:val="0"/>
              <w:spacing w:before="0" w:after="0"/>
              <w:ind w:left="0" w:right="0" w:hanging="0"/>
              <w:jc w:val="left"/>
              <w:rPr/>
            </w:pPr>
            <w:hyperlink w:anchor="TRADEMARKSTRADENAMESANDSERVICEMARKS_1893">
              <w:r>
                <w:rPr>
                  <w:rStyle w:val="InternetLink"/>
                  <w:rFonts w:ascii="Times New Roman;Times;serif" w:hAnsi="Times New Roman;Times;serif"/>
                  <w:b w:val="false"/>
                  <w:i w:val="false"/>
                  <w:caps w:val="false"/>
                  <w:smallCaps w:val="false"/>
                  <w:sz w:val="20"/>
                </w:rPr>
                <w:t>TRADEMARKS, TRADE NAMES AND SERVICE MARKS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207" w:type="dxa"/>
            <w:gridSpan w:val="2"/>
            <w:tcBorders/>
            <w:vAlign w:val="center"/>
          </w:tcPr>
          <w:p>
            <w:pPr>
              <w:pStyle w:val="TableContents"/>
              <w:bidi w:val="0"/>
              <w:spacing w:before="0" w:after="0"/>
              <w:ind w:left="0" w:right="0" w:hanging="0"/>
              <w:jc w:val="left"/>
              <w:rPr/>
            </w:pPr>
            <w:hyperlink w:anchor="INDUSTRYANDOTHERDATA_184363">
              <w:r>
                <w:rPr>
                  <w:rStyle w:val="InternetLink"/>
                  <w:rFonts w:ascii="Times New Roman;Times;serif" w:hAnsi="Times New Roman;Times;serif"/>
                  <w:b w:val="false"/>
                  <w:i w:val="false"/>
                  <w:caps w:val="false"/>
                  <w:smallCaps w:val="false"/>
                  <w:sz w:val="20"/>
                </w:rPr>
                <w:t>INDUSTRY AND OTHER DATA</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748" w:type="dxa"/>
            <w:gridSpan w:val="3"/>
            <w:tcBorders/>
            <w:shd w:fill="CCEEFF" w:val="clear"/>
            <w:vAlign w:val="center"/>
          </w:tcPr>
          <w:p>
            <w:pPr>
              <w:pStyle w:val="TableContents"/>
              <w:bidi w:val="0"/>
              <w:spacing w:before="0" w:after="0"/>
              <w:ind w:left="0" w:right="0" w:hanging="0"/>
              <w:jc w:val="left"/>
              <w:rPr/>
            </w:pPr>
            <w:hyperlink w:anchor="PARTIFINANCIALINFORMATION_244549">
              <w:r>
                <w:rPr>
                  <w:rStyle w:val="InternetLink"/>
                  <w:rFonts w:ascii="Times New Roman;Times;serif" w:hAnsi="Times New Roman;Times;serif"/>
                  <w:b w:val="false"/>
                  <w:i w:val="false"/>
                  <w:caps w:val="false"/>
                  <w:smallCaps w:val="false"/>
                  <w:sz w:val="20"/>
                </w:rPr>
                <w:t>PART I – FINANCIAL INFORMATION</w:t>
              </w:r>
            </w:hyperlink>
          </w:p>
        </w:tc>
      </w:tr>
      <w:tr>
        <w:trPr/>
        <w:tc>
          <w:tcPr>
            <w:tcW w:w="811" w:type="dxa"/>
            <w:tcBorders/>
            <w:vAlign w:val="center"/>
          </w:tcPr>
          <w:p>
            <w:pPr>
              <w:pStyle w:val="TableContents"/>
              <w:bidi w:val="0"/>
              <w:spacing w:before="0" w:after="0"/>
              <w:ind w:left="0" w:right="0" w:hanging="0"/>
              <w:jc w:val="left"/>
              <w:rPr/>
            </w:pPr>
            <w:hyperlink w:anchor="Item1FinancialStatements_101569">
              <w:r>
                <w:rPr>
                  <w:rStyle w:val="InternetLink"/>
                  <w:rFonts w:ascii="Times New Roman;Times;serif" w:hAnsi="Times New Roman;Times;serif"/>
                  <w:b w:val="false"/>
                  <w:i w:val="false"/>
                  <w:caps w:val="false"/>
                  <w:smallCaps w:val="false"/>
                  <w:sz w:val="20"/>
                </w:rPr>
                <w:t>Item 1.</w:t>
              </w:r>
            </w:hyperlink>
          </w:p>
        </w:tc>
        <w:tc>
          <w:tcPr>
            <w:tcW w:w="7396" w:type="dxa"/>
            <w:tcBorders/>
            <w:vAlign w:val="center"/>
          </w:tcPr>
          <w:p>
            <w:pPr>
              <w:pStyle w:val="TableContents"/>
              <w:bidi w:val="0"/>
              <w:spacing w:before="0" w:after="0"/>
              <w:ind w:left="0" w:right="0" w:hanging="0"/>
              <w:jc w:val="left"/>
              <w:rPr/>
            </w:pPr>
            <w:hyperlink w:anchor="Item1FinancialStatements_101569">
              <w:r>
                <w:rPr>
                  <w:rStyle w:val="InternetLink"/>
                  <w:rFonts w:ascii="Times New Roman;Times;serif" w:hAnsi="Times New Roman;Times;serif"/>
                  <w:b w:val="false"/>
                  <w:i w:val="false"/>
                  <w:caps w:val="false"/>
                  <w:smallCaps w:val="false"/>
                  <w:sz w:val="20"/>
                </w:rPr>
                <w:t>Financial Statements (Unaudited)</w:t>
              </w:r>
            </w:hyperlink>
          </w:p>
        </w:tc>
        <w:tc>
          <w:tcPr>
            <w:tcW w:w="541" w:type="dxa"/>
            <w:tcBorders/>
            <w:vAlign w:val="center"/>
          </w:tcPr>
          <w:p>
            <w:pPr>
              <w:pStyle w:val="TableContents"/>
              <w:bidi w:val="0"/>
              <w:spacing w:before="0" w:after="0"/>
              <w:ind w:left="0" w:right="0" w:hanging="0"/>
              <w:jc w:val="right"/>
              <w:rPr/>
            </w:pPr>
            <w:r>
              <w:rPr/>
              <w:t>​</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96" w:type="dxa"/>
            <w:tcBorders/>
            <w:shd w:fill="CCEEFF" w:val="clear"/>
            <w:vAlign w:val="center"/>
          </w:tcPr>
          <w:p>
            <w:pPr>
              <w:pStyle w:val="TableContents"/>
              <w:bidi w:val="0"/>
              <w:spacing w:before="0" w:after="0"/>
              <w:ind w:left="0" w:right="0" w:hanging="0"/>
              <w:jc w:val="left"/>
              <w:rPr/>
            </w:pPr>
            <w:hyperlink w:anchor="CONDENSEDCONSOLIDATEDBALANCESHEETS_10466">
              <w:r>
                <w:rPr>
                  <w:rStyle w:val="InternetLink"/>
                  <w:rFonts w:ascii="Times New Roman;Times;serif" w:hAnsi="Times New Roman;Times;serif"/>
                  <w:b w:val="false"/>
                  <w:i w:val="false"/>
                  <w:caps w:val="false"/>
                  <w:smallCaps w:val="false"/>
                  <w:sz w:val="20"/>
                </w:rPr>
                <w:t>Condensed Consolidated Balance Sheets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96"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96" w:type="dxa"/>
            <w:tcBorders/>
            <w:shd w:fill="CCEEFF" w:val="clear"/>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Stockholders’ Equity (Deficit)</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739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shd w:fill="CCEEFF" w:val="clear"/>
            <w:vAlign w:val="center"/>
          </w:tcPr>
          <w:p>
            <w:pPr>
              <w:pStyle w:val="TableContents"/>
              <w:bidi w:val="0"/>
              <w:spacing w:before="0" w:after="0"/>
              <w:ind w:left="0" w:right="0" w:hanging="0"/>
              <w:jc w:val="left"/>
              <w:rPr/>
            </w:pPr>
            <w:r>
              <w:rPr/>
              <w:t>​</w:t>
            </w:r>
          </w:p>
        </w:tc>
        <w:tc>
          <w:tcPr>
            <w:tcW w:w="7396" w:type="dxa"/>
            <w:tcBorders/>
            <w:shd w:fill="CCEEFF" w:val="clear"/>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9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96" w:type="dxa"/>
            <w:tcBorders/>
            <w:shd w:fill="CCEEFF" w:val="clear"/>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before="0" w:after="0"/>
              <w:ind w:left="0" w:right="0" w:hanging="0"/>
              <w:jc w:val="left"/>
              <w:rPr/>
            </w:pPr>
            <w:hyperlink w:anchor="Item4ControlsandProcedures_472757">
              <w:r>
                <w:rPr>
                  <w:rStyle w:val="InternetLink"/>
                  <w:rFonts w:ascii="Times New Roman;Times;serif" w:hAnsi="Times New Roman;Times;serif"/>
                  <w:b w:val="false"/>
                  <w:i w:val="false"/>
                  <w:caps w:val="false"/>
                  <w:smallCaps w:val="false"/>
                  <w:sz w:val="20"/>
                </w:rPr>
                <w:t>Item 4.</w:t>
              </w:r>
            </w:hyperlink>
          </w:p>
        </w:tc>
        <w:tc>
          <w:tcPr>
            <w:tcW w:w="7396" w:type="dxa"/>
            <w:tcBorders/>
            <w:vAlign w:val="center"/>
          </w:tcPr>
          <w:p>
            <w:pPr>
              <w:pStyle w:val="TableContents"/>
              <w:bidi w:val="0"/>
              <w:spacing w:before="0" w:after="0"/>
              <w:ind w:left="0" w:right="0" w:hanging="0"/>
              <w:jc w:val="left"/>
              <w:rPr/>
            </w:pPr>
            <w:hyperlink w:anchor="Item4ControlsandProcedures_472757">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r>
        <w:trPr/>
        <w:tc>
          <w:tcPr>
            <w:tcW w:w="8748" w:type="dxa"/>
            <w:gridSpan w:val="3"/>
            <w:tcBorders/>
            <w:shd w:fill="CCEEFF" w:val="clear"/>
            <w:vAlign w:val="center"/>
          </w:tcPr>
          <w:p>
            <w:pPr>
              <w:pStyle w:val="TableContents"/>
              <w:bidi w:val="0"/>
              <w:spacing w:before="0" w:after="0"/>
              <w:ind w:left="0" w:right="0" w:hanging="0"/>
              <w:jc w:val="left"/>
              <w:rPr/>
            </w:pPr>
            <w:hyperlink w:anchor="PARTIIOTHERINFORMATION_343778">
              <w:r>
                <w:rPr>
                  <w:rStyle w:val="InternetLink"/>
                  <w:rFonts w:ascii="Times New Roman;Times;serif" w:hAnsi="Times New Roman;Times;serif"/>
                  <w:b w:val="false"/>
                  <w:i w:val="false"/>
                  <w:caps w:val="false"/>
                  <w:smallCaps w:val="false"/>
                  <w:sz w:val="20"/>
                </w:rPr>
                <w:t>PART II – OTHER INFORMATION</w:t>
              </w:r>
            </w:hyperlink>
          </w:p>
        </w:tc>
      </w:tr>
      <w:tr>
        <w:trPr/>
        <w:tc>
          <w:tcPr>
            <w:tcW w:w="811" w:type="dxa"/>
            <w:tcBorders/>
            <w:vAlign w:val="center"/>
          </w:tcPr>
          <w:p>
            <w:pPr>
              <w:pStyle w:val="TableContents"/>
              <w:bidi w:val="0"/>
              <w:spacing w:before="0" w:after="0"/>
              <w:ind w:left="0" w:right="0" w:hanging="0"/>
              <w:jc w:val="left"/>
              <w:rPr/>
            </w:pPr>
            <w:hyperlink w:anchor="Item1LegalProceedings_778412">
              <w:r>
                <w:rPr>
                  <w:rStyle w:val="InternetLink"/>
                  <w:rFonts w:ascii="Times New Roman;Times;serif" w:hAnsi="Times New Roman;Times;serif"/>
                  <w:b w:val="false"/>
                  <w:i w:val="false"/>
                  <w:caps w:val="false"/>
                  <w:smallCaps w:val="false"/>
                  <w:sz w:val="20"/>
                </w:rPr>
                <w:t>Item 1.</w:t>
              </w:r>
            </w:hyperlink>
          </w:p>
        </w:tc>
        <w:tc>
          <w:tcPr>
            <w:tcW w:w="7396" w:type="dxa"/>
            <w:tcBorders/>
            <w:vAlign w:val="center"/>
          </w:tcPr>
          <w:p>
            <w:pPr>
              <w:pStyle w:val="TableContents"/>
              <w:bidi w:val="0"/>
              <w:spacing w:before="0" w:after="0"/>
              <w:ind w:left="0" w:right="0" w:hanging="0"/>
              <w:jc w:val="left"/>
              <w:rPr/>
            </w:pPr>
            <w:hyperlink w:anchor="Item1LegalProceedings_778412">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shd w:fill="CCEEFF" w:val="clear"/>
            <w:vAlign w:val="center"/>
          </w:tcPr>
          <w:p>
            <w:pPr>
              <w:pStyle w:val="TableContents"/>
              <w:bidi w:val="0"/>
              <w:spacing w:before="0" w:after="0"/>
              <w:ind w:left="0" w:right="0" w:hanging="0"/>
              <w:jc w:val="left"/>
              <w:rPr/>
            </w:pPr>
            <w:hyperlink w:anchor="Item1ARiskFactors_985070">
              <w:r>
                <w:rPr>
                  <w:rStyle w:val="InternetLink"/>
                  <w:rFonts w:ascii="Times New Roman;Times;serif" w:hAnsi="Times New Roman;Times;serif"/>
                  <w:b w:val="false"/>
                  <w:i w:val="false"/>
                  <w:caps w:val="false"/>
                  <w:smallCaps w:val="false"/>
                  <w:sz w:val="20"/>
                </w:rPr>
                <w:t>Item 1A.</w:t>
              </w:r>
            </w:hyperlink>
          </w:p>
        </w:tc>
        <w:tc>
          <w:tcPr>
            <w:tcW w:w="7396" w:type="dxa"/>
            <w:tcBorders/>
            <w:shd w:fill="CCEEFF" w:val="clear"/>
            <w:vAlign w:val="center"/>
          </w:tcPr>
          <w:p>
            <w:pPr>
              <w:pStyle w:val="TableContents"/>
              <w:bidi w:val="0"/>
              <w:spacing w:before="0" w:after="0"/>
              <w:ind w:left="0" w:right="0" w:hanging="0"/>
              <w:jc w:val="left"/>
              <w:rPr/>
            </w:pPr>
            <w:hyperlink w:anchor="Item1ARiskFactors_985070">
              <w:r>
                <w:rPr>
                  <w:rStyle w:val="InternetLink"/>
                  <w:rFonts w:ascii="Times New Roman;Times;serif" w:hAnsi="Times New Roman;Times;serif"/>
                  <w:b w:val="false"/>
                  <w:i w:val="false"/>
                  <w:caps w:val="false"/>
                  <w:smallCaps w:val="false"/>
                  <w:sz w:val="20"/>
                </w:rPr>
                <w:t>Risk Factors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9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shd w:fill="CCEEFF" w:val="clear"/>
            <w:vAlign w:val="center"/>
          </w:tcPr>
          <w:p>
            <w:pPr>
              <w:pStyle w:val="TableContents"/>
              <w:bidi w:val="0"/>
              <w:spacing w:before="0" w:after="0"/>
              <w:ind w:left="0" w:right="0" w:hanging="0"/>
              <w:jc w:val="left"/>
              <w:rPr/>
            </w:pPr>
            <w:hyperlink w:anchor="Item3DefaultsUponSeniorSecurities_323509">
              <w:r>
                <w:rPr>
                  <w:rStyle w:val="InternetLink"/>
                  <w:rFonts w:ascii="Times New Roman;Times;serif" w:hAnsi="Times New Roman;Times;serif"/>
                  <w:b w:val="false"/>
                  <w:i w:val="false"/>
                  <w:caps w:val="false"/>
                  <w:smallCaps w:val="false"/>
                  <w:sz w:val="20"/>
                </w:rPr>
                <w:t>Item 3.</w:t>
              </w:r>
            </w:hyperlink>
          </w:p>
        </w:tc>
        <w:tc>
          <w:tcPr>
            <w:tcW w:w="7396" w:type="dxa"/>
            <w:tcBorders/>
            <w:shd w:fill="CCEEFF" w:val="clear"/>
            <w:vAlign w:val="center"/>
          </w:tcPr>
          <w:p>
            <w:pPr>
              <w:pStyle w:val="TableContents"/>
              <w:bidi w:val="0"/>
              <w:spacing w:before="0" w:after="0"/>
              <w:ind w:left="0" w:right="0" w:hanging="0"/>
              <w:jc w:val="left"/>
              <w:rPr/>
            </w:pPr>
            <w:hyperlink w:anchor="Item3DefaultsUponSeniorSecurities_323509">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4MineSafetyDisclosures_851610">
              <w:r>
                <w:rPr>
                  <w:rStyle w:val="InternetLink"/>
                  <w:rFonts w:ascii="Times New Roman;Times;serif" w:hAnsi="Times New Roman;Times;serif"/>
                  <w:b w:val="false"/>
                  <w:i w:val="false"/>
                  <w:caps w:val="false"/>
                  <w:smallCaps w:val="false"/>
                  <w:sz w:val="20"/>
                </w:rPr>
                <w:t>Item 4.</w:t>
              </w:r>
            </w:hyperlink>
          </w:p>
        </w:tc>
        <w:tc>
          <w:tcPr>
            <w:tcW w:w="7396" w:type="dxa"/>
            <w:tcBorders/>
            <w:vAlign w:val="center"/>
          </w:tcPr>
          <w:p>
            <w:pPr>
              <w:pStyle w:val="TableContents"/>
              <w:bidi w:val="0"/>
              <w:spacing w:before="0" w:after="0"/>
              <w:ind w:left="0" w:right="0" w:hanging="0"/>
              <w:jc w:val="left"/>
              <w:rPr/>
            </w:pPr>
            <w:hyperlink w:anchor="Item4MineSafetyDisclosures_851610">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shd w:fill="CCEEFF" w:val="clear"/>
            <w:vAlign w:val="center"/>
          </w:tcPr>
          <w:p>
            <w:pPr>
              <w:pStyle w:val="TableContents"/>
              <w:bidi w:val="0"/>
              <w:spacing w:before="0" w:after="0"/>
              <w:ind w:left="0" w:right="0" w:hanging="0"/>
              <w:jc w:val="left"/>
              <w:rPr/>
            </w:pPr>
            <w:hyperlink w:anchor="Item5OtherInformation_139851">
              <w:r>
                <w:rPr>
                  <w:rStyle w:val="InternetLink"/>
                  <w:rFonts w:ascii="Times New Roman;Times;serif" w:hAnsi="Times New Roman;Times;serif"/>
                  <w:b w:val="false"/>
                  <w:i w:val="false"/>
                  <w:caps w:val="false"/>
                  <w:smallCaps w:val="false"/>
                  <w:sz w:val="20"/>
                </w:rPr>
                <w:t>Item 5.</w:t>
              </w:r>
            </w:hyperlink>
          </w:p>
        </w:tc>
        <w:tc>
          <w:tcPr>
            <w:tcW w:w="7396" w:type="dxa"/>
            <w:tcBorders/>
            <w:shd w:fill="CCEEFF" w:val="clear"/>
            <w:vAlign w:val="center"/>
          </w:tcPr>
          <w:p>
            <w:pPr>
              <w:pStyle w:val="TableContents"/>
              <w:bidi w:val="0"/>
              <w:spacing w:before="0" w:after="0"/>
              <w:ind w:left="0" w:right="0" w:hanging="0"/>
              <w:jc w:val="left"/>
              <w:rPr/>
            </w:pPr>
            <w:hyperlink w:anchor="Item5OtherInformation_139851">
              <w:r>
                <w:rPr>
                  <w:rStyle w:val="InternetLink"/>
                  <w:rFonts w:ascii="Times New Roman;Times;serif" w:hAnsi="Times New Roman;Times;serif"/>
                  <w:b w:val="false"/>
                  <w:i w:val="false"/>
                  <w:caps w:val="false"/>
                  <w:smallCaps w:val="false"/>
                  <w:sz w:val="20"/>
                </w:rPr>
                <w:t>Other Information</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6Exhibits_211620">
              <w:r>
                <w:rPr>
                  <w:rStyle w:val="InternetLink"/>
                  <w:rFonts w:ascii="Times New Roman;Times;serif" w:hAnsi="Times New Roman;Times;serif"/>
                  <w:b w:val="false"/>
                  <w:i w:val="false"/>
                  <w:caps w:val="false"/>
                  <w:smallCaps w:val="false"/>
                  <w:sz w:val="20"/>
                </w:rPr>
                <w:t>Item 6.</w:t>
              </w:r>
            </w:hyperlink>
          </w:p>
        </w:tc>
        <w:tc>
          <w:tcPr>
            <w:tcW w:w="7396" w:type="dxa"/>
            <w:tcBorders/>
            <w:vAlign w:val="center"/>
          </w:tcPr>
          <w:p>
            <w:pPr>
              <w:pStyle w:val="TableContents"/>
              <w:bidi w:val="0"/>
              <w:spacing w:before="0" w:after="0"/>
              <w:ind w:left="0" w:right="0" w:hanging="0"/>
              <w:jc w:val="left"/>
              <w:rPr/>
            </w:pPr>
            <w:hyperlink w:anchor="Item6Exhibits_211620">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r>
      <w:tr>
        <w:trPr/>
        <w:tc>
          <w:tcPr>
            <w:tcW w:w="8207" w:type="dxa"/>
            <w:gridSpan w:val="2"/>
            <w:tcBorders/>
            <w:shd w:fill="CCEEFF" w:val="clear"/>
            <w:vAlign w:val="center"/>
          </w:tcPr>
          <w:p>
            <w:pPr>
              <w:pStyle w:val="TableContents"/>
              <w:bidi w:val="0"/>
              <w:spacing w:before="0" w:after="0"/>
              <w:ind w:left="0" w:right="0" w:hanging="0"/>
              <w:jc w:val="left"/>
              <w:rPr/>
            </w:pPr>
            <w:hyperlink w:anchor="SIGNATURES_900854">
              <w:r>
                <w:rPr>
                  <w:rStyle w:val="InternetLink"/>
                  <w:rFonts w:ascii="Times New Roman;Times;serif" w:hAnsi="Times New Roman;Times;serif"/>
                  <w:b w:val="false"/>
                  <w:i w:val="false"/>
                  <w:caps w:val="false"/>
                  <w:smallCaps w:val="false"/>
                  <w:sz w:val="20"/>
                </w:rPr>
                <w:t>Signatures</w:t>
              </w:r>
            </w:hyperlink>
          </w:p>
        </w:tc>
        <w:tc>
          <w:tcPr>
            <w:tcW w:w="5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8" w:name="PARTIFINANCIALINFORMATION_244549"/>
      <w:bookmarkStart w:id="29" w:name="_3cd34a8d_2720_4d7d_9d5d_1fd2dd3744d3"/>
      <w:bookmarkEnd w:id="28"/>
      <w:bookmarkEnd w:id="29"/>
      <w:r>
        <w:rPr>
          <w:rFonts w:ascii="Times New Roman;Times;serif" w:hAnsi="Times New Roman;Times;serif"/>
          <w:b/>
          <w:sz w:val="20"/>
        </w:rPr>
        <w:t>PART I – FINANCIAL INFORMATION</w:t>
      </w:r>
    </w:p>
    <w:p>
      <w:pPr>
        <w:pStyle w:val="TextBody"/>
        <w:bidi w:val="0"/>
        <w:spacing w:before="0" w:after="200"/>
        <w:ind w:left="0" w:right="0" w:hanging="0"/>
        <w:jc w:val="both"/>
        <w:rPr>
          <w:rFonts w:ascii="Times New Roman;Times;serif" w:hAnsi="Times New Roman;Times;serif"/>
          <w:b/>
          <w:sz w:val="20"/>
        </w:rPr>
      </w:pPr>
      <w:bookmarkStart w:id="30" w:name="Item1FinancialStatements_101569"/>
      <w:bookmarkEnd w:id="30"/>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AZIYO BIOLOGICS, INC.</w:t>
      </w:r>
    </w:p>
    <w:p>
      <w:pPr>
        <w:pStyle w:val="TextBody"/>
        <w:bidi w:val="0"/>
        <w:spacing w:before="0" w:after="0"/>
        <w:ind w:left="0" w:right="0" w:hanging="0"/>
        <w:jc w:val="center"/>
        <w:rPr>
          <w:rFonts w:ascii="Times New Roman;Times;serif" w:hAnsi="Times New Roman;Times;serif"/>
          <w:b/>
          <w:sz w:val="20"/>
        </w:rPr>
      </w:pPr>
      <w:bookmarkStart w:id="31" w:name="CONDENSEDCONSOLIDATEDBALANCESHEETS_10466"/>
      <w:bookmarkEnd w:id="31"/>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720"/>
        <w:jc w:val="both"/>
        <w:rPr/>
      </w:pPr>
      <w:r>
        <w:rPr/>
        <w:t>​</w:t>
      </w:r>
    </w:p>
    <w:p>
      <w:pPr>
        <w:pStyle w:val="Normal"/>
        <w:bidi w:val="0"/>
        <w:spacing w:before="0" w:after="0"/>
        <w:jc w:val="left"/>
        <w:rPr>
          <w:sz w:val="4"/>
          <w:szCs w:val="4"/>
        </w:rPr>
      </w:pPr>
      <w:r>
        <w:rPr>
          <w:sz w:val="4"/>
          <w:szCs w:val="4"/>
        </w:rPr>
      </w:r>
      <w:bookmarkStart w:id="32" w:name="Tc_MuE9m27TLEWDdEA8s19jJg_42_5"/>
      <w:bookmarkStart w:id="33" w:name="Tc_K4tXTu8J_kW62TTpMocTHg_42_2"/>
      <w:bookmarkStart w:id="34" w:name="Tc_MGUiDzPYR060rtIAzmXEMQ_42_0"/>
      <w:bookmarkStart w:id="35" w:name="Tc_81sfaB2kvkSq_E-cjcFYHw_41_0"/>
      <w:bookmarkStart w:id="36" w:name="Tc_OL3efBziuEG64oFk3jvm0A_40_0"/>
      <w:bookmarkStart w:id="37" w:name="Tc_WYEso_TUwUeXZ3f6z6DFzQ_39_0"/>
      <w:bookmarkStart w:id="38" w:name="_03fc4a7f_efdc_4fa1_b487_8f625d8bd0d1_3"/>
      <w:bookmarkStart w:id="39" w:name="_03fc4a7f_efdc_4fa1_b487_8f625d8bd0d1_2"/>
      <w:bookmarkStart w:id="40" w:name="_03fc4a7f_efdc_4fa1_b487_8f625d8bd0d1"/>
      <w:bookmarkStart w:id="41" w:name="Tc_Cjv7td4lRkmtOT5sQqlMmw_38_0"/>
      <w:bookmarkStart w:id="42" w:name="Tc_yXyl2OZoYEesKGs4CKKcmA_37_0"/>
      <w:bookmarkStart w:id="43" w:name="Tc_JI851m3cvk-RMIn2JxtbRA_36_0"/>
      <w:bookmarkStart w:id="44" w:name="Tc_nCpPD4VbQEWKlw46hZskEQ_34_0"/>
      <w:bookmarkStart w:id="45" w:name="Tc_AO0rDxU-J0qElOVJti0itw_32_0"/>
      <w:bookmarkStart w:id="46" w:name="Tc_j84hpZTugEK7FjS8kpzXjw_31_0"/>
      <w:bookmarkStart w:id="47" w:name="Tc_s6jcO_GOKU2WpcoGVtKzKQ_30_0"/>
      <w:bookmarkStart w:id="48" w:name="Tc_tIX_GzQytkGeWkUj3Ok_1g_29_0"/>
      <w:bookmarkStart w:id="49" w:name="Tc_LKVq_xpyCUKMl-nfL89J5A_28_0"/>
      <w:bookmarkStart w:id="50" w:name="Tc_GxZFarSJjUOIeYxgNsaY6w_26_0"/>
      <w:bookmarkStart w:id="51" w:name="Tc_lhB2rMQlcUGhllZnxFkvyg_25_0"/>
      <w:bookmarkStart w:id="52" w:name="Tc_7YvYMyEN9UaZQUooa3Br_A_24_0"/>
      <w:bookmarkStart w:id="53" w:name="Tc_X6_P4sQtYkOLYbhUi6V-NQ_23_0"/>
      <w:bookmarkStart w:id="54" w:name="Tc_aeMYQrL4IkmIfp7zPHLfjA_22_0"/>
      <w:bookmarkStart w:id="55" w:name="Tc_3S1uNifKSEq-k6SKoEcYwA_21_0"/>
      <w:bookmarkStart w:id="56" w:name="Tc__FQnrwVYOU2QZGxrTFHq0w_20_5"/>
      <w:bookmarkStart w:id="57" w:name="Tc_0FEzju_dxkOqbr7HwZdT8w_20_2"/>
      <w:bookmarkStart w:id="58" w:name="Tc_gT5I70cAVE-pCeIxHpEAyg_20_0"/>
      <w:bookmarkStart w:id="59" w:name="Tc_9Pix6_OIEkC5L2Hb5g2yjw_19_0"/>
      <w:bookmarkStart w:id="60" w:name="Tc_dB9MR3J-A0e-KJrFlPEvJQ_17_0"/>
      <w:bookmarkStart w:id="61" w:name="Tc_aPJahfitGEmp0lGoKINmRg_15_5"/>
      <w:bookmarkStart w:id="62" w:name="Tc_w8xd0Py040qbePZcq4wljQ_15_2"/>
      <w:bookmarkStart w:id="63" w:name="Tc_nR8cdihzTUisJhll7QQN0g_15_0"/>
      <w:bookmarkStart w:id="64" w:name="Tc_mh02LK0HuESR2YvzFwyZMQ_14_0"/>
      <w:bookmarkStart w:id="65" w:name="Tc_b8Cqu6m12UGkjkuzsBa2fQ_13_0"/>
      <w:bookmarkStart w:id="66" w:name="Tc_z-seRh1F2E6nNMcsoO_lNQ_12_0"/>
      <w:bookmarkStart w:id="67" w:name="Tc_RjXvO1_KJUu2Yv-8ynP56Q_10_0"/>
      <w:bookmarkStart w:id="68" w:name="Tc_L6xTA7B57Ue5oyzTkHyDkA_9_0"/>
      <w:bookmarkStart w:id="69" w:name="Tc_yX2dkaKT0kCf7fxsOKoVmQ_8_0"/>
      <w:bookmarkStart w:id="70" w:name="Tc_AV9vtk-E9kqRXCZF4lAeAA_7_0"/>
      <w:bookmarkStart w:id="71" w:name="Tc_wJm6CRfATUG_mi8OxGmhnw_6_0"/>
      <w:bookmarkStart w:id="72" w:name="Tc_myoI3eTh6Eme27pcIZCUPQ_5_5"/>
      <w:bookmarkStart w:id="73" w:name="Tc_7RRMKJE1fku3zI4RJsJOWQ_5_2"/>
      <w:bookmarkStart w:id="74" w:name="Tc_Fpr9bsKAoketYQCz3cvAEA_5_0"/>
      <w:bookmarkStart w:id="75" w:name="Tc_BOIXx8BIUEKDHkKR_hqE_w_4_0"/>
      <w:bookmarkStart w:id="76" w:name="Tc_xz5uyMNI4U6ci7EDJMQIKg_3_0"/>
      <w:bookmarkStart w:id="77" w:name="Tc_izv-yCp0xUaITXIj8N1YfA_2_5"/>
      <w:bookmarkStart w:id="78" w:name="Tc_CKfNKtZEIUyJH2QjiDmtDA_2_2"/>
      <w:bookmarkStart w:id="79" w:name="Tc_pDvAb2JdB0GHGJXqv-LhMA_1_5"/>
      <w:bookmarkStart w:id="80" w:name="Tc_6AW7BLaYwU-4oQlSUaaYVg_1_2"/>
      <w:bookmarkStart w:id="81" w:name="_dfe5cab6_c581_4c62_a8aa_fafbe97abbb9"/>
      <w:bookmarkStart w:id="82" w:name="Tc_MuE9m27TLEWDdEA8s19jJg_42_5"/>
      <w:bookmarkStart w:id="83" w:name="Tc_K4tXTu8J_kW62TTpMocTHg_42_2"/>
      <w:bookmarkStart w:id="84" w:name="Tc_MGUiDzPYR060rtIAzmXEMQ_42_0"/>
      <w:bookmarkStart w:id="85" w:name="Tc_81sfaB2kvkSq_E-cjcFYHw_41_0"/>
      <w:bookmarkStart w:id="86" w:name="Tc_OL3efBziuEG64oFk3jvm0A_40_0"/>
      <w:bookmarkStart w:id="87" w:name="Tc_WYEso_TUwUeXZ3f6z6DFzQ_39_0"/>
      <w:bookmarkStart w:id="88" w:name="_03fc4a7f_efdc_4fa1_b487_8f625d8bd0d1_3"/>
      <w:bookmarkStart w:id="89" w:name="_03fc4a7f_efdc_4fa1_b487_8f625d8bd0d1_2"/>
      <w:bookmarkStart w:id="90" w:name="_03fc4a7f_efdc_4fa1_b487_8f625d8bd0d1"/>
      <w:bookmarkStart w:id="91" w:name="Tc_Cjv7td4lRkmtOT5sQqlMmw_38_0"/>
      <w:bookmarkStart w:id="92" w:name="Tc_yXyl2OZoYEesKGs4CKKcmA_37_0"/>
      <w:bookmarkStart w:id="93" w:name="Tc_JI851m3cvk-RMIn2JxtbRA_36_0"/>
      <w:bookmarkStart w:id="94" w:name="Tc_nCpPD4VbQEWKlw46hZskEQ_34_0"/>
      <w:bookmarkStart w:id="95" w:name="Tc_AO0rDxU-J0qElOVJti0itw_32_0"/>
      <w:bookmarkStart w:id="96" w:name="Tc_j84hpZTugEK7FjS8kpzXjw_31_0"/>
      <w:bookmarkStart w:id="97" w:name="Tc_s6jcO_GOKU2WpcoGVtKzKQ_30_0"/>
      <w:bookmarkStart w:id="98" w:name="Tc_tIX_GzQytkGeWkUj3Ok_1g_29_0"/>
      <w:bookmarkStart w:id="99" w:name="Tc_LKVq_xpyCUKMl-nfL89J5A_28_0"/>
      <w:bookmarkStart w:id="100" w:name="Tc_GxZFarSJjUOIeYxgNsaY6w_26_0"/>
      <w:bookmarkStart w:id="101" w:name="Tc_lhB2rMQlcUGhllZnxFkvyg_25_0"/>
      <w:bookmarkStart w:id="102" w:name="Tc_7YvYMyEN9UaZQUooa3Br_A_24_0"/>
      <w:bookmarkStart w:id="103" w:name="Tc_X6_P4sQtYkOLYbhUi6V-NQ_23_0"/>
      <w:bookmarkStart w:id="104" w:name="Tc_aeMYQrL4IkmIfp7zPHLfjA_22_0"/>
      <w:bookmarkStart w:id="105" w:name="Tc_3S1uNifKSEq-k6SKoEcYwA_21_0"/>
      <w:bookmarkStart w:id="106" w:name="Tc__FQnrwVYOU2QZGxrTFHq0w_20_5"/>
      <w:bookmarkStart w:id="107" w:name="Tc_0FEzju_dxkOqbr7HwZdT8w_20_2"/>
      <w:bookmarkStart w:id="108" w:name="Tc_gT5I70cAVE-pCeIxHpEAyg_20_0"/>
      <w:bookmarkStart w:id="109" w:name="Tc_9Pix6_OIEkC5L2Hb5g2yjw_19_0"/>
      <w:bookmarkStart w:id="110" w:name="Tc_dB9MR3J-A0e-KJrFlPEvJQ_17_0"/>
      <w:bookmarkStart w:id="111" w:name="Tc_aPJahfitGEmp0lGoKINmRg_15_5"/>
      <w:bookmarkStart w:id="112" w:name="Tc_w8xd0Py040qbePZcq4wljQ_15_2"/>
      <w:bookmarkStart w:id="113" w:name="Tc_nR8cdihzTUisJhll7QQN0g_15_0"/>
      <w:bookmarkStart w:id="114" w:name="Tc_mh02LK0HuESR2YvzFwyZMQ_14_0"/>
      <w:bookmarkStart w:id="115" w:name="Tc_b8Cqu6m12UGkjkuzsBa2fQ_13_0"/>
      <w:bookmarkStart w:id="116" w:name="Tc_z-seRh1F2E6nNMcsoO_lNQ_12_0"/>
      <w:bookmarkStart w:id="117" w:name="Tc_RjXvO1_KJUu2Yv-8ynP56Q_10_0"/>
      <w:bookmarkStart w:id="118" w:name="Tc_L6xTA7B57Ue5oyzTkHyDkA_9_0"/>
      <w:bookmarkStart w:id="119" w:name="Tc_yX2dkaKT0kCf7fxsOKoVmQ_8_0"/>
      <w:bookmarkStart w:id="120" w:name="Tc_AV9vtk-E9kqRXCZF4lAeAA_7_0"/>
      <w:bookmarkStart w:id="121" w:name="Tc_wJm6CRfATUG_mi8OxGmhnw_6_0"/>
      <w:bookmarkStart w:id="122" w:name="Tc_myoI3eTh6Eme27pcIZCUPQ_5_5"/>
      <w:bookmarkStart w:id="123" w:name="Tc_7RRMKJE1fku3zI4RJsJOWQ_5_2"/>
      <w:bookmarkStart w:id="124" w:name="Tc_Fpr9bsKAoketYQCz3cvAEA_5_0"/>
      <w:bookmarkStart w:id="125" w:name="Tc_BOIXx8BIUEKDHkKR_hqE_w_4_0"/>
      <w:bookmarkStart w:id="126" w:name="Tc_xz5uyMNI4U6ci7EDJMQIKg_3_0"/>
      <w:bookmarkStart w:id="127" w:name="Tc_izv-yCp0xUaITXIj8N1YfA_2_5"/>
      <w:bookmarkStart w:id="128" w:name="Tc_CKfNKtZEIUyJH2QjiDmtDA_2_2"/>
      <w:bookmarkStart w:id="129" w:name="Tc_pDvAb2JdB0GHGJXqv-LhMA_1_5"/>
      <w:bookmarkStart w:id="130" w:name="Tc_6AW7BLaYwU-4oQlSUaaYVg_1_2"/>
      <w:bookmarkStart w:id="131" w:name="_dfe5cab6_c581_4c62_a8aa_fafbe97abbb9"/>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tbl>
      <w:tblPr>
        <w:tblW w:w="10205" w:type="dxa"/>
        <w:jc w:val="left"/>
        <w:tblInd w:w="0" w:type="dxa"/>
        <w:tblLayout w:type="fixed"/>
        <w:tblCellMar>
          <w:top w:w="0" w:type="dxa"/>
          <w:left w:w="0" w:type="dxa"/>
          <w:bottom w:w="0" w:type="dxa"/>
          <w:right w:w="0" w:type="dxa"/>
        </w:tblCellMar>
      </w:tblPr>
      <w:tblGrid>
        <w:gridCol w:w="7129"/>
        <w:gridCol w:w="326"/>
        <w:gridCol w:w="196"/>
        <w:gridCol w:w="772"/>
        <w:gridCol w:w="326"/>
        <w:gridCol w:w="223"/>
        <w:gridCol w:w="859"/>
        <w:gridCol w:w="374"/>
      </w:tblGrid>
      <w:tr>
        <w:trPr/>
        <w:tc>
          <w:tcPr>
            <w:tcW w:w="7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26915" cy="175260"/>
                      <wp:effectExtent l="0" t="0" r="0" b="0"/>
                      <wp:wrapNone/>
                      <wp:docPr id="1" name="Frame1"/>
                      <a:graphic xmlns:a="http://schemas.openxmlformats.org/drawingml/2006/main">
                        <a:graphicData uri="http://schemas.microsoft.com/office/word/2010/wordprocessingShape">
                          <wps:wsp>
                            <wps:cNvSpPr txBox="1"/>
                            <wps:spPr>
                              <a:xfrm>
                                <a:off x="0" y="0"/>
                                <a:ext cx="452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0220" cy="175260"/>
                      <wp:effectExtent l="0" t="0" r="0" b="0"/>
                      <wp:wrapNone/>
                      <wp:docPr id="4" name="Frame4"/>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1605" cy="175260"/>
                      <wp:effectExtent l="0" t="0" r="0" b="0"/>
                      <wp:wrapNone/>
                      <wp:docPr id="6" name="Frame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5465" cy="175260"/>
                      <wp:effectExtent l="0" t="0" r="0" b="0"/>
                      <wp:wrapNone/>
                      <wp:docPr id="7" name="Frame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7490" cy="175260"/>
                      <wp:effectExtent l="0" t="0" r="0" b="0"/>
                      <wp:wrapNone/>
                      <wp:docPr id="8" name="Frame8"/>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6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0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4" w:type="dxa"/>
            <w:tcBorders/>
            <w:vAlign w:val="center"/>
          </w:tcPr>
          <w:p>
            <w:pPr>
              <w:pStyle w:val="TableContents"/>
              <w:bidi w:val="0"/>
              <w:spacing w:before="0" w:after="1"/>
              <w:ind w:left="0" w:right="0" w:hanging="0"/>
              <w:jc w:val="center"/>
              <w:rPr/>
            </w:pPr>
            <w:r>
              <w:rPr/>
              <w:t>    </w:t>
            </w:r>
          </w:p>
        </w:tc>
      </w:tr>
      <w:tr>
        <w:trPr/>
        <w:tc>
          <w:tcPr>
            <w:tcW w:w="7129"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9,296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16,989</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credit loss reserve of $921 and $87,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6,317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6,830</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9,274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10,052</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Receivables of FiberCel litigation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8,876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13,813</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bottom w:val="single" w:sz="2" w:space="0" w:color="FFFFFF"/>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2,363</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3,015</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36,126</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50,699</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1,403</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13,370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15,069</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right-of-use assets and other</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1,366</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1,670</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52,329</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68,841</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3,227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2,328</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11,724</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10,103</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Payables to tissue suppliers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2,460</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3,152</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revenue interest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10,366</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8,990</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Contingent liability for FiberCel litigation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14,470</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17,360</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bottom w:val="single" w:sz="2" w:space="0" w:color="FFFFFF"/>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682</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42,867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42,615</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24,927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24,260</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revenue interest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5,601</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5,916</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operating lease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711</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 </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351</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74,457</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73,874</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(Note 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A Common stock, $0.001 par value, 200,000,000 shares authorized as of June 30, 2023 and December 31, 2022, and 11,936,441 and 11,823,445 shares issued and outstanding, as of June 30,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Class B Common stock, $0.001 par value, 20,000,000 shares authorized, as of June 30, 2023 and December 31, 2022 and 4,313,406 issued and outstanding as of June 30, 2023 and December 31, 2022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5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134,439</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 </w:t>
            </w:r>
          </w:p>
        </w:tc>
        <w:tc>
          <w:tcPr>
            <w:tcW w:w="8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132,939</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(156,583)</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(137,988)</w:t>
            </w:r>
          </w:p>
        </w:tc>
        <w:tc>
          <w:tcPr>
            <w:tcW w:w="374" w:type="dxa"/>
            <w:tcBorders/>
            <w:vAlign w:val="center"/>
          </w:tcPr>
          <w:p>
            <w:pPr>
              <w:pStyle w:val="TableContents"/>
              <w:bidi w:val="0"/>
              <w:spacing w:before="0" w:after="1"/>
              <w:ind w:left="0" w:right="0" w:hanging="0"/>
              <w:jc w:val="left"/>
              <w:rPr/>
            </w:pPr>
            <w:r>
              <w:rPr/>
              <w:t>​</w:t>
            </w:r>
          </w:p>
        </w:tc>
      </w:tr>
      <w:tr>
        <w:trPr/>
        <w:tc>
          <w:tcPr>
            <w:tcW w:w="712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(22,128)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(5,033)</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712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7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52,329</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68,841</w:t>
            </w:r>
          </w:p>
        </w:tc>
        <w:tc>
          <w:tcPr>
            <w:tcW w:w="37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2" w:name="_1124ace1_3618_45d6_a9f4_b13571cf68e4"/>
      <w:bookmarkEnd w:id="132"/>
      <w:r>
        <w:rPr>
          <w:rFonts w:ascii="Times New Roman;Times;serif" w:hAnsi="Times New Roman;Times;serif"/>
          <w:b/>
          <w:sz w:val="20"/>
        </w:rPr>
        <w:t>AZIYO BIOLOGICS, INC.</w:t>
      </w:r>
    </w:p>
    <w:p>
      <w:pPr>
        <w:pStyle w:val="TextBody"/>
        <w:bidi w:val="0"/>
        <w:spacing w:before="0" w:after="0"/>
        <w:ind w:left="0" w:right="0" w:hanging="0"/>
        <w:jc w:val="center"/>
        <w:rPr>
          <w:rFonts w:ascii="Times New Roman;Times;serif" w:hAnsi="Times New Roman;Times;serif"/>
          <w:b/>
          <w:sz w:val="20"/>
        </w:rPr>
      </w:pPr>
      <w:bookmarkStart w:id="133" w:name="CONDENSEDCONSOLIDATEDSTATEMENTSOFOPERATI"/>
      <w:bookmarkEnd w:id="133"/>
      <w:r>
        <w:rPr>
          <w:rFonts w:ascii="Times New Roman;Times;serif" w:hAnsi="Times New Roman;Times;serif"/>
          <w:b/>
          <w:sz w:val="20"/>
        </w:rPr>
        <w:t>CONDENSED 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34" w:name="Tc_-eGp8IAoFkut_tBXTLCjjA_19_0"/>
      <w:bookmarkStart w:id="135" w:name="Tc_fa6G0OtdTEGaP43ifslLiw_17_11"/>
      <w:bookmarkStart w:id="136" w:name="Tc_GMl0y3-HIE-D1KbfGVfkKQ_17_8"/>
      <w:bookmarkStart w:id="137" w:name="Tc_BtAWmBerQkyKWlq_guNHew_17_5"/>
      <w:bookmarkStart w:id="138" w:name="Tc_Yz32OZOaTEepfgDxJK8Vrw_17_2"/>
      <w:bookmarkStart w:id="139" w:name="Tc_QMxAMZ80OUerUsLDGTJdOw_17_0"/>
      <w:bookmarkStart w:id="140" w:name="Tc_Ocj_KAKICU-T4pyBFtSUPg_16_11"/>
      <w:bookmarkStart w:id="141" w:name="Tc_o8Kp74bkGE6L2hKL9EvOGg_16_8"/>
      <w:bookmarkStart w:id="142" w:name="Tc_DEBVCHhJ-kaDvrpJ3aA4ZQ_16_5"/>
      <w:bookmarkStart w:id="143" w:name="Tc_g6TuU2nnQECAYVS27r4JjA_16_2"/>
      <w:bookmarkStart w:id="144" w:name="Tc_-Ff1m5gTiEOfZLv5n8Rhvg_16_0"/>
      <w:bookmarkStart w:id="145" w:name="Tc_vJRsQLnF20qxuGS0n2J_Hw_15_0"/>
      <w:bookmarkStart w:id="146" w:name="Tc_ldgkbgMBz0SycXg7n_ovkA_14_0"/>
      <w:bookmarkStart w:id="147" w:name="Tc_vYfsN5uwkk-3kaRl5vxQDA_13_0"/>
      <w:bookmarkStart w:id="148" w:name="Tc_-LIomvph7kONVimkYrjTcg_12_0"/>
      <w:bookmarkStart w:id="149" w:name="Tc_sECgAiND-U-j09azXn0emw_11_0"/>
      <w:bookmarkStart w:id="150" w:name="Tc_Cs4zAVE8TEKKpfs5fn9G-g_10_0"/>
      <w:bookmarkStart w:id="151" w:name="Tc_OKi2nyMWTEu5bVACCp31cw_9_0"/>
      <w:bookmarkStart w:id="152" w:name="Tc_e1Tv7S86LkCjN5ZhAOzrdA_8_0"/>
      <w:bookmarkStart w:id="153" w:name="Tc_NzFgniQtiEifVYuQ-PJUWg_7_0"/>
      <w:bookmarkStart w:id="154" w:name="Tc_-PsgM3bEZUGn9UUQAlxZxQ_6_0"/>
      <w:bookmarkStart w:id="155" w:name="Tc_2Ml43zngLEiKN1UsLKpsDg_5_0"/>
      <w:bookmarkStart w:id="156" w:name="Tc_C1H24s7_y0uSurgxZR5O8A_4_11"/>
      <w:bookmarkStart w:id="157" w:name="Tc_O0QrlCpsX0yIMuGsmG6wzQ_4_8"/>
      <w:bookmarkStart w:id="158" w:name="Tc_1LT-7bVrkk-bPjbkslYgcQ_4_5"/>
      <w:bookmarkStart w:id="159" w:name="Tc_sNClrNTczkO18w5RYrUSpg_4_2"/>
      <w:bookmarkStart w:id="160" w:name="Tc_Sss4fiZL5E29bWRPEeM-5g_4_0"/>
      <w:bookmarkStart w:id="161" w:name="Tc_B4ZisUefx0KHYqlp-Ub70w_3_11"/>
      <w:bookmarkStart w:id="162" w:name="Tc_pWoQJ0R4skahIwFFJUpV5Q_3_8"/>
      <w:bookmarkStart w:id="163" w:name="Tc_cxYa3pRMxEiOj8RMw0Pp_g_3_5"/>
      <w:bookmarkStart w:id="164" w:name="Tc_ttU35O0JlEy8t_5RRri0eQ_3_2"/>
      <w:bookmarkStart w:id="165" w:name="Tc_PtO9POWY1UGfgyi14y_Pgw_2_8"/>
      <w:bookmarkStart w:id="166" w:name="Tc_XsS2CJGiwUOD3p5QzbuxHg_2_2"/>
      <w:bookmarkStart w:id="167" w:name="Tc_fTXp5a4Zak6A3yNVPJcXyA_1_8"/>
      <w:bookmarkStart w:id="168" w:name="Tc_P9E40oAAnU--jIRcur6xYA_1_2"/>
      <w:bookmarkStart w:id="169" w:name="_b0fc66d0_432a_4e70_bc53_256dea3f1bfe"/>
      <w:bookmarkStart w:id="170" w:name="_9a82c89c_a033_43f7_9df9_0f8957350e2c"/>
      <w:bookmarkStart w:id="171" w:name="Tc_-eGp8IAoFkut_tBXTLCjjA_19_0"/>
      <w:bookmarkStart w:id="172" w:name="Tc_fa6G0OtdTEGaP43ifslLiw_17_11"/>
      <w:bookmarkStart w:id="173" w:name="Tc_GMl0y3-HIE-D1KbfGVfkKQ_17_8"/>
      <w:bookmarkStart w:id="174" w:name="Tc_BtAWmBerQkyKWlq_guNHew_17_5"/>
      <w:bookmarkStart w:id="175" w:name="Tc_Yz32OZOaTEepfgDxJK8Vrw_17_2"/>
      <w:bookmarkStart w:id="176" w:name="Tc_QMxAMZ80OUerUsLDGTJdOw_17_0"/>
      <w:bookmarkStart w:id="177" w:name="Tc_Ocj_KAKICU-T4pyBFtSUPg_16_11"/>
      <w:bookmarkStart w:id="178" w:name="Tc_o8Kp74bkGE6L2hKL9EvOGg_16_8"/>
      <w:bookmarkStart w:id="179" w:name="Tc_DEBVCHhJ-kaDvrpJ3aA4ZQ_16_5"/>
      <w:bookmarkStart w:id="180" w:name="Tc_g6TuU2nnQECAYVS27r4JjA_16_2"/>
      <w:bookmarkStart w:id="181" w:name="Tc_-Ff1m5gTiEOfZLv5n8Rhvg_16_0"/>
      <w:bookmarkStart w:id="182" w:name="Tc_vJRsQLnF20qxuGS0n2J_Hw_15_0"/>
      <w:bookmarkStart w:id="183" w:name="Tc_ldgkbgMBz0SycXg7n_ovkA_14_0"/>
      <w:bookmarkStart w:id="184" w:name="Tc_vYfsN5uwkk-3kaRl5vxQDA_13_0"/>
      <w:bookmarkStart w:id="185" w:name="Tc_-LIomvph7kONVimkYrjTcg_12_0"/>
      <w:bookmarkStart w:id="186" w:name="Tc_sECgAiND-U-j09azXn0emw_11_0"/>
      <w:bookmarkStart w:id="187" w:name="Tc_Cs4zAVE8TEKKpfs5fn9G-g_10_0"/>
      <w:bookmarkStart w:id="188" w:name="Tc_OKi2nyMWTEu5bVACCp31cw_9_0"/>
      <w:bookmarkStart w:id="189" w:name="Tc_e1Tv7S86LkCjN5ZhAOzrdA_8_0"/>
      <w:bookmarkStart w:id="190" w:name="Tc_NzFgniQtiEifVYuQ-PJUWg_7_0"/>
      <w:bookmarkStart w:id="191" w:name="Tc_-PsgM3bEZUGn9UUQAlxZxQ_6_0"/>
      <w:bookmarkStart w:id="192" w:name="Tc_2Ml43zngLEiKN1UsLKpsDg_5_0"/>
      <w:bookmarkStart w:id="193" w:name="Tc_C1H24s7_y0uSurgxZR5O8A_4_11"/>
      <w:bookmarkStart w:id="194" w:name="Tc_O0QrlCpsX0yIMuGsmG6wzQ_4_8"/>
      <w:bookmarkStart w:id="195" w:name="Tc_1LT-7bVrkk-bPjbkslYgcQ_4_5"/>
      <w:bookmarkStart w:id="196" w:name="Tc_sNClrNTczkO18w5RYrUSpg_4_2"/>
      <w:bookmarkStart w:id="197" w:name="Tc_Sss4fiZL5E29bWRPEeM-5g_4_0"/>
      <w:bookmarkStart w:id="198" w:name="Tc_B4ZisUefx0KHYqlp-Ub70w_3_11"/>
      <w:bookmarkStart w:id="199" w:name="Tc_pWoQJ0R4skahIwFFJUpV5Q_3_8"/>
      <w:bookmarkStart w:id="200" w:name="Tc_cxYa3pRMxEiOj8RMw0Pp_g_3_5"/>
      <w:bookmarkStart w:id="201" w:name="Tc_ttU35O0JlEy8t_5RRri0eQ_3_2"/>
      <w:bookmarkStart w:id="202" w:name="Tc_PtO9POWY1UGfgyi14y_Pgw_2_8"/>
      <w:bookmarkStart w:id="203" w:name="Tc_XsS2CJGiwUOD3p5QzbuxHg_2_2"/>
      <w:bookmarkStart w:id="204" w:name="Tc_fTXp5a4Zak6A3yNVPJcXyA_1_8"/>
      <w:bookmarkStart w:id="205" w:name="Tc_P9E40oAAnU--jIRcur6xYA_1_2"/>
      <w:bookmarkStart w:id="206" w:name="_b0fc66d0_432a_4e70_bc53_256dea3f1bfe"/>
      <w:bookmarkStart w:id="207" w:name="_9a82c89c_a033_43f7_9df9_0f8957350e2c"/>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tbl>
      <w:tblPr>
        <w:tblW w:w="10205" w:type="dxa"/>
        <w:jc w:val="left"/>
        <w:tblInd w:w="0" w:type="dxa"/>
        <w:tblLayout w:type="fixed"/>
        <w:tblCellMar>
          <w:top w:w="0" w:type="dxa"/>
          <w:left w:w="0" w:type="dxa"/>
          <w:bottom w:w="0" w:type="dxa"/>
          <w:right w:w="0" w:type="dxa"/>
        </w:tblCellMar>
      </w:tblPr>
      <w:tblGrid>
        <w:gridCol w:w="4142"/>
        <w:gridCol w:w="206"/>
        <w:gridCol w:w="211"/>
        <w:gridCol w:w="1036"/>
        <w:gridCol w:w="206"/>
        <w:gridCol w:w="211"/>
        <w:gridCol w:w="1036"/>
        <w:gridCol w:w="206"/>
        <w:gridCol w:w="211"/>
        <w:gridCol w:w="1036"/>
        <w:gridCol w:w="206"/>
        <w:gridCol w:w="211"/>
        <w:gridCol w:w="1036"/>
        <w:gridCol w:w="251"/>
      </w:tblGrid>
      <w:tr>
        <w:trPr/>
        <w:tc>
          <w:tcPr>
            <w:tcW w:w="4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630170" cy="175260"/>
                      <wp:effectExtent l="0" t="0" r="0" b="0"/>
                      <wp:wrapNone/>
                      <wp:docPr id="9" name="Frame9"/>
                      <a:graphic xmlns:a="http://schemas.openxmlformats.org/drawingml/2006/main">
                        <a:graphicData uri="http://schemas.microsoft.com/office/word/2010/wordprocessingShape">
                          <wps:wsp>
                            <wps:cNvSpPr txBox="1"/>
                            <wps:spPr>
                              <a:xfrm>
                                <a:off x="0" y="0"/>
                                <a:ext cx="2630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0810" cy="175260"/>
                      <wp:effectExtent l="0" t="0" r="0" b="0"/>
                      <wp:wrapNone/>
                      <wp:docPr id="10" name="Frame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0810" cy="175260"/>
                      <wp:effectExtent l="0" t="0" r="0" b="0"/>
                      <wp:wrapNone/>
                      <wp:docPr id="13" name="Frame1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0810" cy="175260"/>
                      <wp:effectExtent l="0" t="0" r="0" b="0"/>
                      <wp:wrapNone/>
                      <wp:docPr id="16" name="Frame1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0810" cy="175260"/>
                      <wp:effectExtent l="0" t="0" r="0" b="0"/>
                      <wp:wrapNone/>
                      <wp:docPr id="19" name="Frame1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59385" cy="175260"/>
                      <wp:effectExtent l="0" t="0" r="0" b="0"/>
                      <wp:wrapNone/>
                      <wp:docPr id="22" name="Frame2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06" w:type="dxa"/>
            <w:tcBorders/>
            <w:vAlign w:val="center"/>
          </w:tcPr>
          <w:p>
            <w:pPr>
              <w:pStyle w:val="TableContents"/>
              <w:bidi w:val="0"/>
              <w:spacing w:before="0" w:after="0"/>
              <w:ind w:left="0" w:right="0" w:hanging="0"/>
              <w:jc w:val="left"/>
              <w:rPr/>
            </w:pPr>
            <w:r>
              <w:rPr/>
              <w:t>​</w:t>
            </w:r>
          </w:p>
        </w:tc>
        <w:tc>
          <w:tcPr>
            <w:tcW w:w="2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06" w:type="dxa"/>
            <w:tcBorders/>
            <w:vAlign w:val="center"/>
          </w:tcPr>
          <w:p>
            <w:pPr>
              <w:pStyle w:val="TableContents"/>
              <w:bidi w:val="0"/>
              <w:spacing w:before="0" w:after="0"/>
              <w:ind w:left="0" w:right="0" w:hanging="0"/>
              <w:jc w:val="left"/>
              <w:rPr/>
            </w:pPr>
            <w:r>
              <w:rPr/>
              <w:t>​</w:t>
            </w:r>
          </w:p>
        </w:tc>
        <w:tc>
          <w:tcPr>
            <w:tcW w:w="2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0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51" w:type="dxa"/>
            <w:tcBorders/>
            <w:vAlign w:val="center"/>
          </w:tcPr>
          <w:p>
            <w:pPr>
              <w:pStyle w:val="TableContents"/>
              <w:bidi w:val="0"/>
              <w:spacing w:before="0" w:after="0"/>
              <w:ind w:left="0" w:right="0" w:hanging="0"/>
              <w:jc w:val="left"/>
              <w:rPr/>
            </w:pPr>
            <w:r>
              <w:rPr/>
              <w:t>  </w:t>
            </w:r>
          </w:p>
        </w:tc>
      </w:tr>
      <w:tr>
        <w:trPr/>
        <w:tc>
          <w:tcPr>
            <w:tcW w:w="4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24,133</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16,035</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5B6F8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5B6F8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5,406</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10,224</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8,736</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4,889</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FiberCel litigation costs, net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10,065</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13,080</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24,283</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(8,182)</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(15,503)</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(15,104)</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(9,386)</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(17,523)</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(10,621)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(9,398)</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(18,595)</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(17,547)</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per share - basic and diluted</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(0.65)</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(0.69)</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(1.15)</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w:t>
            </w:r>
          </w:p>
        </w:tc>
        <w:tc>
          <w:tcPr>
            <w:tcW w:w="251" w:type="dxa"/>
            <w:tcBorders/>
            <w:vAlign w:val="center"/>
          </w:tcPr>
          <w:p>
            <w:pPr>
              <w:pStyle w:val="TableContents"/>
              <w:bidi w:val="0"/>
              <w:spacing w:before="0" w:after="0"/>
              <w:ind w:left="0" w:right="0" w:hanging="0"/>
              <w:jc w:val="left"/>
              <w:rPr/>
            </w:pPr>
            <w:r>
              <w:rPr/>
              <w:t>​</w:t>
            </w:r>
          </w:p>
        </w:tc>
      </w:tr>
      <w:tr>
        <w:trPr/>
        <w:tc>
          <w:tcPr>
            <w:tcW w:w="414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4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 and diluted</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16,223,919</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13,620,196</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16,208,905</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13,597,243</w:t>
            </w:r>
          </w:p>
        </w:tc>
        <w:tc>
          <w:tcPr>
            <w:tcW w:w="25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8" w:name="_28a689c5_ca0f_4357_980e_3b7938f9bea8"/>
      <w:bookmarkEnd w:id="208"/>
      <w:r>
        <w:rPr>
          <w:rFonts w:ascii="Times New Roman;Times;serif" w:hAnsi="Times New Roman;Times;serif"/>
          <w:b/>
          <w:sz w:val="20"/>
        </w:rPr>
        <w:t>AZIYO BIOLOGICS, INC.</w:t>
      </w:r>
    </w:p>
    <w:p>
      <w:pPr>
        <w:pStyle w:val="TextBody"/>
        <w:bidi w:val="0"/>
        <w:spacing w:before="0" w:after="0"/>
        <w:ind w:left="0" w:right="0" w:hanging="0"/>
        <w:jc w:val="center"/>
        <w:rPr>
          <w:rFonts w:ascii="Times New Roman;Times;serif" w:hAnsi="Times New Roman;Times;serif"/>
          <w:b/>
          <w:sz w:val="20"/>
        </w:rPr>
      </w:pPr>
      <w:bookmarkStart w:id="209" w:name="CONDENSEDCONSOLIDATEDSTATEMENTSOFCHANGES"/>
      <w:bookmarkEnd w:id="209"/>
      <w:r>
        <w:rPr>
          <w:rFonts w:ascii="Times New Roman;Times;serif" w:hAnsi="Times New Roman;Times;serif"/>
          <w:b/>
          <w:sz w:val="20"/>
        </w:rPr>
        <w:t>CONDENSED CONSOLIDATED STATEMENTS OF CHANGES IN STOCKHOLDERS’ EQUITY (DEFICIT)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10" w:name="Tc_RjlaiIJznk68y5qhiSgQvA_36_18"/>
      <w:bookmarkStart w:id="211" w:name="Tc__IaL2p2XyEqIyfh-okEXzg_36_15"/>
      <w:bookmarkStart w:id="212" w:name="Tc_Vi6R-54YCUG2HHMH6v1XiA_36_12"/>
      <w:bookmarkStart w:id="213" w:name="Tc_M6QNzZzQaEW2RpsoTcK3tQ_36_9"/>
      <w:bookmarkStart w:id="214" w:name="Tc_8OUYZmC_mUKnTVrCtBis4Q_36_4"/>
      <w:bookmarkStart w:id="215" w:name="Tc__S_fVEFl-k2eKgd-HKqLvw_36_0"/>
      <w:bookmarkStart w:id="216" w:name="Tc_2OthiYKeh0OfVL_hENnp-g_35_13"/>
      <w:bookmarkStart w:id="217" w:name="Tc_jNUrUGPia0iFaG_RfUT1eQ_35_10"/>
      <w:bookmarkStart w:id="218" w:name="Tc_zqoY8w2140GMQFxVRKXwDg_35_7"/>
      <w:bookmarkStart w:id="219" w:name="Tc_w_Iuxg_500qLEqUREEf1Ew_35_5"/>
      <w:bookmarkStart w:id="220" w:name="Tc_tzUwr9vpPUO_JbGvlFDGPg_35_2"/>
      <w:bookmarkStart w:id="221" w:name="Tc_or77jmYTgkqn4MfuTm4OoA_35_0"/>
      <w:bookmarkStart w:id="222" w:name="Tc_8E1uQfs9sUKxkOmPYUSZtg_34_16"/>
      <w:bookmarkStart w:id="223" w:name="Tc_vYPLTK5m3UqQ8UGUiGF1yw_34_10"/>
      <w:bookmarkStart w:id="224" w:name="Tc_S190anla40OEtDXLZdua_g_34_7"/>
      <w:bookmarkStart w:id="225" w:name="Tc_dRoMiXOoZEGovZqQtaAUqA_34_5"/>
      <w:bookmarkStart w:id="226" w:name="Tc_uqy5WmwyEEGkAc58VkUgUg_34_2"/>
      <w:bookmarkStart w:id="227" w:name="Tc_-NbmTxbVKkyCyfCh93xNrA_34_0"/>
      <w:bookmarkStart w:id="228" w:name="Tc_OQ-2hZzRIEC5pyVrVlN6zA_33_19"/>
      <w:bookmarkStart w:id="229" w:name="Tc_TJh3g0tBBE2N8-VWmnOyjQ_33_16"/>
      <w:bookmarkStart w:id="230" w:name="Tc_XEok8Ku_sU6jCS1nzycGkg_33_13"/>
      <w:bookmarkStart w:id="231" w:name="Tc_SIxFhnDSqU28fw7AHe0gMw_33_10"/>
      <w:bookmarkStart w:id="232" w:name="Tc_ZtH7JzgQDEKHHCIURO9hEQ_33_7"/>
      <w:bookmarkStart w:id="233" w:name="Tc_CddJbJY-dEq15fMvmKn62w_33_5"/>
      <w:bookmarkStart w:id="234" w:name="Tc_nPua5RbbZEKJ4cpPI2Wmqw_33_0"/>
      <w:bookmarkStart w:id="235" w:name="Tc_9Iqp4Fq0tESATifcG6lU_Q_32_16"/>
      <w:bookmarkStart w:id="236" w:name="Tc_Yi0jeB_QnkiEvNWku14wcw_32_10"/>
      <w:bookmarkStart w:id="237" w:name="Tc_ePhirpnuQEuNLm8-R77jhg_32_7"/>
      <w:bookmarkStart w:id="238" w:name="Tc_k0-p2RgzTUaIYWMliOQ0Pg_32_5"/>
      <w:bookmarkStart w:id="239" w:name="Tc_ujagJ42udUubVMbvVe8fvQ_32_0"/>
      <w:bookmarkStart w:id="240" w:name="Tc_3iBjMIe2fUKe6nMWV0xXcg_31_16"/>
      <w:bookmarkStart w:id="241" w:name="Tc_OuaIlBD5EECiQspKANMCoA_31_10"/>
      <w:bookmarkStart w:id="242" w:name="Tc_KSqlPWFNbkW3606hxhwohQ_31_7"/>
      <w:bookmarkStart w:id="243" w:name="Tc_Ylc6X4VJJUqHAErfxR1Wxw_31_5"/>
      <w:bookmarkStart w:id="244" w:name="Tc_gP40wgta8k6prbCiPuFDKQ_31_2"/>
      <w:bookmarkStart w:id="245" w:name="Tc_stbPrd34w0mwq0HjPL6b0g_31_0"/>
      <w:bookmarkStart w:id="246" w:name="Tc_Ggl8nthfPUKKMc04IBPsPA_30_18"/>
      <w:bookmarkStart w:id="247" w:name="Tc_G5gZQPSYS0uCLTkvsuUldA_30_15"/>
      <w:bookmarkStart w:id="248" w:name="Tc_hMBexSnFNUeFs5zXm_WyBQ_30_12"/>
      <w:bookmarkStart w:id="249" w:name="Tc_KsWnW5w6J0GNx9eJlOB5lg_30_9"/>
      <w:bookmarkStart w:id="250" w:name="Tc_hry1Y9uo2UmxEKHfzzYhYA_30_4"/>
      <w:bookmarkStart w:id="251" w:name="Tc_4ZBn6L9ptEewIg8wMleULA_30_0"/>
      <w:bookmarkStart w:id="252" w:name="Tc_9DbcaE26oUGHl2Yr9LwAGg_28_18"/>
      <w:bookmarkStart w:id="253" w:name="Tc__fkhSp7czkyVpQiwPcLbLQ_28_15"/>
      <w:bookmarkStart w:id="254" w:name="Tc_bmrIl_7i1ka_6RqiGEM38g_28_12"/>
      <w:bookmarkStart w:id="255" w:name="Tc_kvEXNQP-YE2jSgVdIdhCUA_28_9"/>
      <w:bookmarkStart w:id="256" w:name="Tc_ppQw-sfoW0mcwHS8jqnlog_28_4"/>
      <w:bookmarkStart w:id="257" w:name="Tc_c-upnIqjpEmxdTqfBT8XhQ_28_0"/>
      <w:bookmarkStart w:id="258" w:name="Tc_C5qDCqjIQUyrLJ46v5JIuw_27_13"/>
      <w:bookmarkStart w:id="259" w:name="Tc_o2kfZAGUcUCCJYGsz9gQig_27_10"/>
      <w:bookmarkStart w:id="260" w:name="Tc_aMuFo1pXnUu3ypfI_9lJQQ_27_7"/>
      <w:bookmarkStart w:id="261" w:name="Tc_TAf3733C8kSjeavkPNtdrQ_27_5"/>
      <w:bookmarkStart w:id="262" w:name="Tc_S7O8xDDttEubitbZbJKR0w_27_2"/>
      <w:bookmarkStart w:id="263" w:name="Tc_2vUu1icF2Em7e-7X9UFDhA_27_0"/>
      <w:bookmarkStart w:id="264" w:name="Tc_WNe_S82nCkyvoTS4Vw5GrQ_26_16"/>
      <w:bookmarkStart w:id="265" w:name="Tc_Fqp0Czr2D0Ssbi3mjGUVVA_26_10"/>
      <w:bookmarkStart w:id="266" w:name="Tc_sAU7Zcq7O06mdT-Bn_CtrA_26_7"/>
      <w:bookmarkStart w:id="267" w:name="Tc_AQ83shiG70qz3Sq1LbwtAA_26_5"/>
      <w:bookmarkStart w:id="268" w:name="Tc_7E9RtyXv_0uQY9fhIsemGg_26_2"/>
      <w:bookmarkStart w:id="269" w:name="Tc_fwlitb1jKEaESgDFvXvyig_26_0"/>
      <w:bookmarkStart w:id="270" w:name="Tc_l0yTLTJKg0qq6Js6Bk9IoA_25_16"/>
      <w:bookmarkStart w:id="271" w:name="Tc_-kPQvvHns0urqX0Q7MFU2g_25_10"/>
      <w:bookmarkStart w:id="272" w:name="Tc_Lky7DF95SEiH87lX3ajSOA_25_7"/>
      <w:bookmarkStart w:id="273" w:name="Tc_YExAUL4GS0CStyY9HgeqoA_25_5"/>
      <w:bookmarkStart w:id="274" w:name="Tc_2XO6ZvXVS0q7CsnL5Om6sg_25_0"/>
      <w:bookmarkStart w:id="275" w:name="Tc_y6rSjEtk2E2BDr-O5eQaDg_24_16"/>
      <w:bookmarkStart w:id="276" w:name="Tc_r0oFV7Q7OUKKe_E1L3uudA_24_10"/>
      <w:bookmarkStart w:id="277" w:name="Tc_3mo6mWLfqk-UmCQiINX68Q_24_7"/>
      <w:bookmarkStart w:id="278" w:name="Tc_DC2tDi-cuEinqwZlvJCUzQ_24_5"/>
      <w:bookmarkStart w:id="279" w:name="Tc_sORD9xXmp0-_mkNQUnLG3g_24_0"/>
      <w:bookmarkStart w:id="280" w:name="Tc_7Y7RxCAVk0qUZfnqgobsrg_23_18"/>
      <w:bookmarkStart w:id="281" w:name="Tc_HCxqd2pWN0--PxgySeWOkw_23_15"/>
      <w:bookmarkStart w:id="282" w:name="Tc_OLW2GBOfOkm_UVK1USqSxQ_23_12"/>
      <w:bookmarkStart w:id="283" w:name="Tc_XSG43rO-QE2o1W_8F7cQlA_23_9"/>
      <w:bookmarkStart w:id="284" w:name="Tc_BmvjMll2dkeqV3wUgsUYnQ_23_4"/>
      <w:bookmarkStart w:id="285" w:name="Tc_3L299AB000a_NaQLpQ-fMA_23_0"/>
      <w:bookmarkStart w:id="286" w:name="Tc_nYH6d7nVWEC5txuSeujy4w_22_18"/>
      <w:bookmarkStart w:id="287" w:name="Tc_zAUjdua7mEGA0Y7s6wa9fw_22_15"/>
      <w:bookmarkStart w:id="288" w:name="Tc_bC9p1cnCw0-SP-4UR35YSQ_22_12"/>
      <w:bookmarkStart w:id="289" w:name="Tc_R-7bFDK-tkaSYxinzfFCvA_22_9"/>
      <w:bookmarkStart w:id="290" w:name="Tc_Rs-1RZsVsk2cWmpQ9S2qtw_22_7"/>
      <w:bookmarkStart w:id="291" w:name="Tc_0qwg9Q0wukCbPUzdP2eacA_22_4"/>
      <w:bookmarkStart w:id="292" w:name="Tc_dfjsh7wViEqw0L1q1Vwgpw_22_2"/>
      <w:bookmarkStart w:id="293" w:name="Tc_VVPEQ4VcokOuWYCn1KbbDA_21_18"/>
      <w:bookmarkStart w:id="294" w:name="Tc_nu3G0dyl1UuXHOi6rK4agQ_21_15"/>
      <w:bookmarkStart w:id="295" w:name="Tc_iezJzPHgvEmZadhThoufEg_21_12"/>
      <w:bookmarkStart w:id="296" w:name="Tc_t4LTJEZEpEKSq4FW_OA6YQ_21_7"/>
      <w:bookmarkStart w:id="297" w:name="Tc_LzSsW_Sr8ES3bH07uZxo9g_21_2"/>
      <w:bookmarkStart w:id="298" w:name="Tc_u2D8Wx-M50-be8o8AA6Y-A_20_18"/>
      <w:bookmarkStart w:id="299" w:name="Tc_QogYaeK8FkeQb6ilVYDxbw_20_12"/>
      <w:bookmarkStart w:id="300" w:name="Tc_hPdMBQob5U2NMkbm3zLb_A_19_7"/>
      <w:bookmarkStart w:id="301" w:name="Tc_OYnZVxj5r0u9jiHWrWNZYA_19_2"/>
      <w:bookmarkStart w:id="302" w:name="Tc_uBBhU-cc6UmksnVOBLdV6A_18_7"/>
      <w:bookmarkStart w:id="303" w:name="Tc_7rxx5pXYvUKEg_fnMCtmLw_18_2"/>
      <w:bookmarkStart w:id="304" w:name="Tc_lqg6J_RAc06_xjbWb3ld7g_16_18"/>
      <w:bookmarkStart w:id="305" w:name="Tc_MmXnnYelBkufzZ79c0kXGg_16_15"/>
      <w:bookmarkStart w:id="306" w:name="Tc_UXR03GDWwEKB5WOf92D6xw_16_12"/>
      <w:bookmarkStart w:id="307" w:name="Tc_cqYHHTcqhUa9RMyWvyXIdA_16_9"/>
      <w:bookmarkStart w:id="308" w:name="Tc_WHBcscoq8kqeSW8N2jwCCw_16_4"/>
      <w:bookmarkStart w:id="309" w:name="Tc_Wbe4v4oZQkePAlB9EB2vNg_16_0"/>
      <w:bookmarkStart w:id="310" w:name="Tc_7sCKXC6hL0yHfrqxjsBmxg_15_13"/>
      <w:bookmarkStart w:id="311" w:name="Tc_FBC480hxCEqFdiHQJ7jZtg_15_10"/>
      <w:bookmarkStart w:id="312" w:name="Tc_dFBLIlFpyUCOCHF8vTgTGw_15_7"/>
      <w:bookmarkStart w:id="313" w:name="Tc_hl2pibS59USKYLSb3nfE0g_15_5"/>
      <w:bookmarkStart w:id="314" w:name="Tc_yBrsGM2DQEOppL9W-lypvQ_15_2"/>
      <w:bookmarkStart w:id="315" w:name="Tc_i5H9DVXPSkmYf-UU9ZBKbQ_15_0"/>
      <w:bookmarkStart w:id="316" w:name="Tc_GZdXPZjx3kGA1aOkns-RBA_14_16"/>
      <w:bookmarkStart w:id="317" w:name="Tc_rF9CsBrIT0-9x2nFk1BpNA_14_10"/>
      <w:bookmarkStart w:id="318" w:name="Tc__lhNd6NJBkiyTbedyuxsfA_14_7"/>
      <w:bookmarkStart w:id="319" w:name="Tc_brSpp7vN_UeyjD_Qm_65lw_14_5"/>
      <w:bookmarkStart w:id="320" w:name="Tc_39sIVLkwjkqFBTpp239Ogw_14_2"/>
      <w:bookmarkStart w:id="321" w:name="Tc_xWIFMgWPg0K9WLgX129UiA_14_0"/>
      <w:bookmarkStart w:id="322" w:name="Tc_njceBLq2nkmzePsmZhfXzg_13_19"/>
      <w:bookmarkStart w:id="323" w:name="Tc_GJy_XdWvr0eJMCDurJ2i-A_13_16"/>
      <w:bookmarkStart w:id="324" w:name="Tc_ReUWiuV6EkK1QlBmLDYTXA_13_13"/>
      <w:bookmarkStart w:id="325" w:name="Tc_cfoJQZanOUiteyWF80liBw_13_10"/>
      <w:bookmarkStart w:id="326" w:name="Tc_1AWiKKDoLEKRVdBBkiyyEg_13_7"/>
      <w:bookmarkStart w:id="327" w:name="Tc_MTnGSWXPeEioDFGwE1GfMw_13_5"/>
      <w:bookmarkStart w:id="328" w:name="Tc_4pPACdpq4EaCRbGAwsvnVQ_13_0"/>
      <w:bookmarkStart w:id="329" w:name="Tc_fhU1zDPTr0CK3Vlho_ZsCg_12_18"/>
      <w:bookmarkStart w:id="330" w:name="Tc_Yj7MfR4D7Um7_mFTWyUOqg_12_15"/>
      <w:bookmarkStart w:id="331" w:name="Tc_GJl0_VybR0uIk3nGQNCJSw_12_12"/>
      <w:bookmarkStart w:id="332" w:name="Tc_EYBd1ZbCfkGOjMVSWfjrkA_12_9"/>
      <w:bookmarkStart w:id="333" w:name="Tc_3ueNNagnp0eKFnQbB8EhHg_12_4"/>
      <w:bookmarkStart w:id="334" w:name="Tc_FCQJQbPO7UeD2_dkYNsYmg_12_0"/>
      <w:bookmarkStart w:id="335" w:name="Tc_ud-hcoWQDE6Oo7_iK-ERng_10_18"/>
      <w:bookmarkStart w:id="336" w:name="Tc_FpH4lFEI4kKHyZx5GmBTvQ_10_15"/>
      <w:bookmarkStart w:id="337" w:name="Tc_DdS_QSs410uRQ_GlTlZj3Q_10_12"/>
      <w:bookmarkStart w:id="338" w:name="Tc_PymCUbvKyEyD9GQiG4DY6g_10_9"/>
      <w:bookmarkStart w:id="339" w:name="Tc_W4pihWqVhUqysemyDFegNg_10_4"/>
      <w:bookmarkStart w:id="340" w:name="Tc_svMK1HjGPk2yJxFhwB19TQ_10_0"/>
      <w:bookmarkStart w:id="341" w:name="Tc_LMugJ6LfAkmKTDekIAy5uw_9_13"/>
      <w:bookmarkStart w:id="342" w:name="Tc_S-jQ_yc1Z0SFSHrB-ZcAHQ_9_10"/>
      <w:bookmarkStart w:id="343" w:name="Tc_Gi6Wc_3Dv0a2IaQVDi8WNg_9_7"/>
      <w:bookmarkStart w:id="344" w:name="Tc_2HBozfi6EEOlY4r-DYDJjA_9_5"/>
      <w:bookmarkStart w:id="345" w:name="Tc_ft8-ugshSEyf36P0UX4JIA_9_2"/>
      <w:bookmarkStart w:id="346" w:name="Tc_lGcqxrk97UOQp2pqcCFn_w_9_0"/>
      <w:bookmarkStart w:id="347" w:name="Tc_7hKUTwWSSEyygxKvVhVdUQ_8_16"/>
      <w:bookmarkStart w:id="348" w:name="Tc_lRkXpRToJECGtNxCdtfxww_8_10"/>
      <w:bookmarkStart w:id="349" w:name="Tc_Hpfmojy3TUu_-QqS66K35g_8_7"/>
      <w:bookmarkStart w:id="350" w:name="Tc_tcr4EL2f9EKzV198Xll4sA_8_5"/>
      <w:bookmarkStart w:id="351" w:name="Tc_XNhgZbf8YE2BI7Mutxp_2g_8_2"/>
      <w:bookmarkStart w:id="352" w:name="Tc_ltx8Hu_wgUGnIKDGHdakmA_8_0"/>
      <w:bookmarkStart w:id="353" w:name="Tc_A8u8eakg3EmCvPxKQwF-SQ_7_16"/>
      <w:bookmarkStart w:id="354" w:name="Tc_Md8ONRGz6kq6YAYlzEOKAA_7_10"/>
      <w:bookmarkStart w:id="355" w:name="Tc_rjPWygFU2E6CfNkTKikO4A_7_7"/>
      <w:bookmarkStart w:id="356" w:name="Tc_lu71I8-OjkCt6MrcacdqRg_7_5"/>
      <w:bookmarkStart w:id="357" w:name="Tc_KBngFjDJaUuFtsO6YgdJ_g_7_0"/>
      <w:bookmarkStart w:id="358" w:name="Tc_Wkaarele4k-R9jXzx6Yajg_6_18"/>
      <w:bookmarkStart w:id="359" w:name="Tc_idS9RTkBrEyWzvWMDmD4_Q_6_15"/>
      <w:bookmarkStart w:id="360" w:name="Tc_dzaOKFAXH0eh71wCBMDwfw_6_12"/>
      <w:bookmarkStart w:id="361" w:name="Tc_lb6piJix00qVJz-eCFMT_A_6_9"/>
      <w:bookmarkStart w:id="362" w:name="Tc_h8bJNuOX50yapPwAmsVk4A_6_4"/>
      <w:bookmarkStart w:id="363" w:name="Tc_2vmTUadJUUaWby8h36B7mA_6_0"/>
      <w:bookmarkStart w:id="364" w:name="Tc_IlOLBoaNsUOnt6_A8EoasQ_5_18"/>
      <w:bookmarkStart w:id="365" w:name="Tc_Vb8FIUc4l0qSSAPzglmryQ_5_15"/>
      <w:bookmarkStart w:id="366" w:name="Tc_wmrKL1jnE0ymPd0iIw8JZA_5_12"/>
      <w:bookmarkStart w:id="367" w:name="Tc_ov02Z3NLakix3KEqSPTfPw_5_9"/>
      <w:bookmarkStart w:id="368" w:name="Tc_yQauLvFMiUy2VkQzb6y_xg_5_7"/>
      <w:bookmarkStart w:id="369" w:name="Tc_toi5D11tk0KJcbYMLiatJw_5_4"/>
      <w:bookmarkStart w:id="370" w:name="Tc_NmX4pr8ia0eV2-zDxHN4Vw_5_2"/>
      <w:bookmarkStart w:id="371" w:name="Tc_A8513krRPUiaGVbg_rGzog_4_18"/>
      <w:bookmarkStart w:id="372" w:name="Tc_atUiNInTAk-l0iBuTW0EkQ_4_15"/>
      <w:bookmarkStart w:id="373" w:name="Tc_oPKzbbHR4ECqQBk0jzL4Tg_4_12"/>
      <w:bookmarkStart w:id="374" w:name="Tc_NbH26LMlvESMsfB2uefyBA_4_7"/>
      <w:bookmarkStart w:id="375" w:name="Tc__VFAqrUMqEWoWkcw77XJAg_4_2"/>
      <w:bookmarkStart w:id="376" w:name="Tc_QBTCL3nqZUK-SvejVjBfQA_3_18"/>
      <w:bookmarkStart w:id="377" w:name="Tc_woCRJa-tUUaWR1axUBtywQ_3_12"/>
      <w:bookmarkStart w:id="378" w:name="Tc_hW79aLUqHU6lolcBzPiv0g_2_7"/>
      <w:bookmarkStart w:id="379" w:name="Tc_8cwdNWaEGEedsAIX8vOAYQ_2_2"/>
      <w:bookmarkStart w:id="380" w:name="Tc_sV-8_b4lZUeiEDNQT3Ut2g_1_7"/>
      <w:bookmarkStart w:id="381" w:name="Tc_tLWzfmpQhkCRnKqMY8lu5A_1_2"/>
      <w:bookmarkStart w:id="382" w:name="_4d1b8e76_3001_4b50_b6fd_dfaa493a822c"/>
      <w:bookmarkStart w:id="383" w:name="Tc_RjlaiIJznk68y5qhiSgQvA_36_18"/>
      <w:bookmarkStart w:id="384" w:name="Tc__IaL2p2XyEqIyfh-okEXzg_36_15"/>
      <w:bookmarkStart w:id="385" w:name="Tc_Vi6R-54YCUG2HHMH6v1XiA_36_12"/>
      <w:bookmarkStart w:id="386" w:name="Tc_M6QNzZzQaEW2RpsoTcK3tQ_36_9"/>
      <w:bookmarkStart w:id="387" w:name="Tc_8OUYZmC_mUKnTVrCtBis4Q_36_4"/>
      <w:bookmarkStart w:id="388" w:name="Tc__S_fVEFl-k2eKgd-HKqLvw_36_0"/>
      <w:bookmarkStart w:id="389" w:name="Tc_2OthiYKeh0OfVL_hENnp-g_35_13"/>
      <w:bookmarkStart w:id="390" w:name="Tc_jNUrUGPia0iFaG_RfUT1eQ_35_10"/>
      <w:bookmarkStart w:id="391" w:name="Tc_zqoY8w2140GMQFxVRKXwDg_35_7"/>
      <w:bookmarkStart w:id="392" w:name="Tc_w_Iuxg_500qLEqUREEf1Ew_35_5"/>
      <w:bookmarkStart w:id="393" w:name="Tc_tzUwr9vpPUO_JbGvlFDGPg_35_2"/>
      <w:bookmarkStart w:id="394" w:name="Tc_or77jmYTgkqn4MfuTm4OoA_35_0"/>
      <w:bookmarkStart w:id="395" w:name="Tc_8E1uQfs9sUKxkOmPYUSZtg_34_16"/>
      <w:bookmarkStart w:id="396" w:name="Tc_vYPLTK5m3UqQ8UGUiGF1yw_34_10"/>
      <w:bookmarkStart w:id="397" w:name="Tc_S190anla40OEtDXLZdua_g_34_7"/>
      <w:bookmarkStart w:id="398" w:name="Tc_dRoMiXOoZEGovZqQtaAUqA_34_5"/>
      <w:bookmarkStart w:id="399" w:name="Tc_uqy5WmwyEEGkAc58VkUgUg_34_2"/>
      <w:bookmarkStart w:id="400" w:name="Tc_-NbmTxbVKkyCyfCh93xNrA_34_0"/>
      <w:bookmarkStart w:id="401" w:name="Tc_OQ-2hZzRIEC5pyVrVlN6zA_33_19"/>
      <w:bookmarkStart w:id="402" w:name="Tc_TJh3g0tBBE2N8-VWmnOyjQ_33_16"/>
      <w:bookmarkStart w:id="403" w:name="Tc_XEok8Ku_sU6jCS1nzycGkg_33_13"/>
      <w:bookmarkStart w:id="404" w:name="Tc_SIxFhnDSqU28fw7AHe0gMw_33_10"/>
      <w:bookmarkStart w:id="405" w:name="Tc_ZtH7JzgQDEKHHCIURO9hEQ_33_7"/>
      <w:bookmarkStart w:id="406" w:name="Tc_CddJbJY-dEq15fMvmKn62w_33_5"/>
      <w:bookmarkStart w:id="407" w:name="Tc_nPua5RbbZEKJ4cpPI2Wmqw_33_0"/>
      <w:bookmarkStart w:id="408" w:name="Tc_9Iqp4Fq0tESATifcG6lU_Q_32_16"/>
      <w:bookmarkStart w:id="409" w:name="Tc_Yi0jeB_QnkiEvNWku14wcw_32_10"/>
      <w:bookmarkStart w:id="410" w:name="Tc_ePhirpnuQEuNLm8-R77jhg_32_7"/>
      <w:bookmarkStart w:id="411" w:name="Tc_k0-p2RgzTUaIYWMliOQ0Pg_32_5"/>
      <w:bookmarkStart w:id="412" w:name="Tc_ujagJ42udUubVMbvVe8fvQ_32_0"/>
      <w:bookmarkStart w:id="413" w:name="Tc_3iBjMIe2fUKe6nMWV0xXcg_31_16"/>
      <w:bookmarkStart w:id="414" w:name="Tc_OuaIlBD5EECiQspKANMCoA_31_10"/>
      <w:bookmarkStart w:id="415" w:name="Tc_KSqlPWFNbkW3606hxhwohQ_31_7"/>
      <w:bookmarkStart w:id="416" w:name="Tc_Ylc6X4VJJUqHAErfxR1Wxw_31_5"/>
      <w:bookmarkStart w:id="417" w:name="Tc_gP40wgta8k6prbCiPuFDKQ_31_2"/>
      <w:bookmarkStart w:id="418" w:name="Tc_stbPrd34w0mwq0HjPL6b0g_31_0"/>
      <w:bookmarkStart w:id="419" w:name="Tc_Ggl8nthfPUKKMc04IBPsPA_30_18"/>
      <w:bookmarkStart w:id="420" w:name="Tc_G5gZQPSYS0uCLTkvsuUldA_30_15"/>
      <w:bookmarkStart w:id="421" w:name="Tc_hMBexSnFNUeFs5zXm_WyBQ_30_12"/>
      <w:bookmarkStart w:id="422" w:name="Tc_KsWnW5w6J0GNx9eJlOB5lg_30_9"/>
      <w:bookmarkStart w:id="423" w:name="Tc_hry1Y9uo2UmxEKHfzzYhYA_30_4"/>
      <w:bookmarkStart w:id="424" w:name="Tc_4ZBn6L9ptEewIg8wMleULA_30_0"/>
      <w:bookmarkStart w:id="425" w:name="Tc_9DbcaE26oUGHl2Yr9LwAGg_28_18"/>
      <w:bookmarkStart w:id="426" w:name="Tc__fkhSp7czkyVpQiwPcLbLQ_28_15"/>
      <w:bookmarkStart w:id="427" w:name="Tc_bmrIl_7i1ka_6RqiGEM38g_28_12"/>
      <w:bookmarkStart w:id="428" w:name="Tc_kvEXNQP-YE2jSgVdIdhCUA_28_9"/>
      <w:bookmarkStart w:id="429" w:name="Tc_ppQw-sfoW0mcwHS8jqnlog_28_4"/>
      <w:bookmarkStart w:id="430" w:name="Tc_c-upnIqjpEmxdTqfBT8XhQ_28_0"/>
      <w:bookmarkStart w:id="431" w:name="Tc_C5qDCqjIQUyrLJ46v5JIuw_27_13"/>
      <w:bookmarkStart w:id="432" w:name="Tc_o2kfZAGUcUCCJYGsz9gQig_27_10"/>
      <w:bookmarkStart w:id="433" w:name="Tc_aMuFo1pXnUu3ypfI_9lJQQ_27_7"/>
      <w:bookmarkStart w:id="434" w:name="Tc_TAf3733C8kSjeavkPNtdrQ_27_5"/>
      <w:bookmarkStart w:id="435" w:name="Tc_S7O8xDDttEubitbZbJKR0w_27_2"/>
      <w:bookmarkStart w:id="436" w:name="Tc_2vUu1icF2Em7e-7X9UFDhA_27_0"/>
      <w:bookmarkStart w:id="437" w:name="Tc_WNe_S82nCkyvoTS4Vw5GrQ_26_16"/>
      <w:bookmarkStart w:id="438" w:name="Tc_Fqp0Czr2D0Ssbi3mjGUVVA_26_10"/>
      <w:bookmarkStart w:id="439" w:name="Tc_sAU7Zcq7O06mdT-Bn_CtrA_26_7"/>
      <w:bookmarkStart w:id="440" w:name="Tc_AQ83shiG70qz3Sq1LbwtAA_26_5"/>
      <w:bookmarkStart w:id="441" w:name="Tc_7E9RtyXv_0uQY9fhIsemGg_26_2"/>
      <w:bookmarkStart w:id="442" w:name="Tc_fwlitb1jKEaESgDFvXvyig_26_0"/>
      <w:bookmarkStart w:id="443" w:name="Tc_l0yTLTJKg0qq6Js6Bk9IoA_25_16"/>
      <w:bookmarkStart w:id="444" w:name="Tc_-kPQvvHns0urqX0Q7MFU2g_25_10"/>
      <w:bookmarkStart w:id="445" w:name="Tc_Lky7DF95SEiH87lX3ajSOA_25_7"/>
      <w:bookmarkStart w:id="446" w:name="Tc_YExAUL4GS0CStyY9HgeqoA_25_5"/>
      <w:bookmarkStart w:id="447" w:name="Tc_2XO6ZvXVS0q7CsnL5Om6sg_25_0"/>
      <w:bookmarkStart w:id="448" w:name="Tc_y6rSjEtk2E2BDr-O5eQaDg_24_16"/>
      <w:bookmarkStart w:id="449" w:name="Tc_r0oFV7Q7OUKKe_E1L3uudA_24_10"/>
      <w:bookmarkStart w:id="450" w:name="Tc_3mo6mWLfqk-UmCQiINX68Q_24_7"/>
      <w:bookmarkStart w:id="451" w:name="Tc_DC2tDi-cuEinqwZlvJCUzQ_24_5"/>
      <w:bookmarkStart w:id="452" w:name="Tc_sORD9xXmp0-_mkNQUnLG3g_24_0"/>
      <w:bookmarkStart w:id="453" w:name="Tc_7Y7RxCAVk0qUZfnqgobsrg_23_18"/>
      <w:bookmarkStart w:id="454" w:name="Tc_HCxqd2pWN0--PxgySeWOkw_23_15"/>
      <w:bookmarkStart w:id="455" w:name="Tc_OLW2GBOfOkm_UVK1USqSxQ_23_12"/>
      <w:bookmarkStart w:id="456" w:name="Tc_XSG43rO-QE2o1W_8F7cQlA_23_9"/>
      <w:bookmarkStart w:id="457" w:name="Tc_BmvjMll2dkeqV3wUgsUYnQ_23_4"/>
      <w:bookmarkStart w:id="458" w:name="Tc_3L299AB000a_NaQLpQ-fMA_23_0"/>
      <w:bookmarkStart w:id="459" w:name="Tc_nYH6d7nVWEC5txuSeujy4w_22_18"/>
      <w:bookmarkStart w:id="460" w:name="Tc_zAUjdua7mEGA0Y7s6wa9fw_22_15"/>
      <w:bookmarkStart w:id="461" w:name="Tc_bC9p1cnCw0-SP-4UR35YSQ_22_12"/>
      <w:bookmarkStart w:id="462" w:name="Tc_R-7bFDK-tkaSYxinzfFCvA_22_9"/>
      <w:bookmarkStart w:id="463" w:name="Tc_Rs-1RZsVsk2cWmpQ9S2qtw_22_7"/>
      <w:bookmarkStart w:id="464" w:name="Tc_0qwg9Q0wukCbPUzdP2eacA_22_4"/>
      <w:bookmarkStart w:id="465" w:name="Tc_dfjsh7wViEqw0L1q1Vwgpw_22_2"/>
      <w:bookmarkStart w:id="466" w:name="Tc_VVPEQ4VcokOuWYCn1KbbDA_21_18"/>
      <w:bookmarkStart w:id="467" w:name="Tc_nu3G0dyl1UuXHOi6rK4agQ_21_15"/>
      <w:bookmarkStart w:id="468" w:name="Tc_iezJzPHgvEmZadhThoufEg_21_12"/>
      <w:bookmarkStart w:id="469" w:name="Tc_t4LTJEZEpEKSq4FW_OA6YQ_21_7"/>
      <w:bookmarkStart w:id="470" w:name="Tc_LzSsW_Sr8ES3bH07uZxo9g_21_2"/>
      <w:bookmarkStart w:id="471" w:name="Tc_u2D8Wx-M50-be8o8AA6Y-A_20_18"/>
      <w:bookmarkStart w:id="472" w:name="Tc_QogYaeK8FkeQb6ilVYDxbw_20_12"/>
      <w:bookmarkStart w:id="473" w:name="Tc_hPdMBQob5U2NMkbm3zLb_A_19_7"/>
      <w:bookmarkStart w:id="474" w:name="Tc_OYnZVxj5r0u9jiHWrWNZYA_19_2"/>
      <w:bookmarkStart w:id="475" w:name="Tc_uBBhU-cc6UmksnVOBLdV6A_18_7"/>
      <w:bookmarkStart w:id="476" w:name="Tc_7rxx5pXYvUKEg_fnMCtmLw_18_2"/>
      <w:bookmarkStart w:id="477" w:name="Tc_lqg6J_RAc06_xjbWb3ld7g_16_18"/>
      <w:bookmarkStart w:id="478" w:name="Tc_MmXnnYelBkufzZ79c0kXGg_16_15"/>
      <w:bookmarkStart w:id="479" w:name="Tc_UXR03GDWwEKB5WOf92D6xw_16_12"/>
      <w:bookmarkStart w:id="480" w:name="Tc_cqYHHTcqhUa9RMyWvyXIdA_16_9"/>
      <w:bookmarkStart w:id="481" w:name="Tc_WHBcscoq8kqeSW8N2jwCCw_16_4"/>
      <w:bookmarkStart w:id="482" w:name="Tc_Wbe4v4oZQkePAlB9EB2vNg_16_0"/>
      <w:bookmarkStart w:id="483" w:name="Tc_7sCKXC6hL0yHfrqxjsBmxg_15_13"/>
      <w:bookmarkStart w:id="484" w:name="Tc_FBC480hxCEqFdiHQJ7jZtg_15_10"/>
      <w:bookmarkStart w:id="485" w:name="Tc_dFBLIlFpyUCOCHF8vTgTGw_15_7"/>
      <w:bookmarkStart w:id="486" w:name="Tc_hl2pibS59USKYLSb3nfE0g_15_5"/>
      <w:bookmarkStart w:id="487" w:name="Tc_yBrsGM2DQEOppL9W-lypvQ_15_2"/>
      <w:bookmarkStart w:id="488" w:name="Tc_i5H9DVXPSkmYf-UU9ZBKbQ_15_0"/>
      <w:bookmarkStart w:id="489" w:name="Tc_GZdXPZjx3kGA1aOkns-RBA_14_16"/>
      <w:bookmarkStart w:id="490" w:name="Tc_rF9CsBrIT0-9x2nFk1BpNA_14_10"/>
      <w:bookmarkStart w:id="491" w:name="Tc__lhNd6NJBkiyTbedyuxsfA_14_7"/>
      <w:bookmarkStart w:id="492" w:name="Tc_brSpp7vN_UeyjD_Qm_65lw_14_5"/>
      <w:bookmarkStart w:id="493" w:name="Tc_39sIVLkwjkqFBTpp239Ogw_14_2"/>
      <w:bookmarkStart w:id="494" w:name="Tc_xWIFMgWPg0K9WLgX129UiA_14_0"/>
      <w:bookmarkStart w:id="495" w:name="Tc_njceBLq2nkmzePsmZhfXzg_13_19"/>
      <w:bookmarkStart w:id="496" w:name="Tc_GJy_XdWvr0eJMCDurJ2i-A_13_16"/>
      <w:bookmarkStart w:id="497" w:name="Tc_ReUWiuV6EkK1QlBmLDYTXA_13_13"/>
      <w:bookmarkStart w:id="498" w:name="Tc_cfoJQZanOUiteyWF80liBw_13_10"/>
      <w:bookmarkStart w:id="499" w:name="Tc_1AWiKKDoLEKRVdBBkiyyEg_13_7"/>
      <w:bookmarkStart w:id="500" w:name="Tc_MTnGSWXPeEioDFGwE1GfMw_13_5"/>
      <w:bookmarkStart w:id="501" w:name="Tc_4pPACdpq4EaCRbGAwsvnVQ_13_0"/>
      <w:bookmarkStart w:id="502" w:name="Tc_fhU1zDPTr0CK3Vlho_ZsCg_12_18"/>
      <w:bookmarkStart w:id="503" w:name="Tc_Yj7MfR4D7Um7_mFTWyUOqg_12_15"/>
      <w:bookmarkStart w:id="504" w:name="Tc_GJl0_VybR0uIk3nGQNCJSw_12_12"/>
      <w:bookmarkStart w:id="505" w:name="Tc_EYBd1ZbCfkGOjMVSWfjrkA_12_9"/>
      <w:bookmarkStart w:id="506" w:name="Tc_3ueNNagnp0eKFnQbB8EhHg_12_4"/>
      <w:bookmarkStart w:id="507" w:name="Tc_FCQJQbPO7UeD2_dkYNsYmg_12_0"/>
      <w:bookmarkStart w:id="508" w:name="Tc_ud-hcoWQDE6Oo7_iK-ERng_10_18"/>
      <w:bookmarkStart w:id="509" w:name="Tc_FpH4lFEI4kKHyZx5GmBTvQ_10_15"/>
      <w:bookmarkStart w:id="510" w:name="Tc_DdS_QSs410uRQ_GlTlZj3Q_10_12"/>
      <w:bookmarkStart w:id="511" w:name="Tc_PymCUbvKyEyD9GQiG4DY6g_10_9"/>
      <w:bookmarkStart w:id="512" w:name="Tc_W4pihWqVhUqysemyDFegNg_10_4"/>
      <w:bookmarkStart w:id="513" w:name="Tc_svMK1HjGPk2yJxFhwB19TQ_10_0"/>
      <w:bookmarkStart w:id="514" w:name="Tc_LMugJ6LfAkmKTDekIAy5uw_9_13"/>
      <w:bookmarkStart w:id="515" w:name="Tc_S-jQ_yc1Z0SFSHrB-ZcAHQ_9_10"/>
      <w:bookmarkStart w:id="516" w:name="Tc_Gi6Wc_3Dv0a2IaQVDi8WNg_9_7"/>
      <w:bookmarkStart w:id="517" w:name="Tc_2HBozfi6EEOlY4r-DYDJjA_9_5"/>
      <w:bookmarkStart w:id="518" w:name="Tc_ft8-ugshSEyf36P0UX4JIA_9_2"/>
      <w:bookmarkStart w:id="519" w:name="Tc_lGcqxrk97UOQp2pqcCFn_w_9_0"/>
      <w:bookmarkStart w:id="520" w:name="Tc_7hKUTwWSSEyygxKvVhVdUQ_8_16"/>
      <w:bookmarkStart w:id="521" w:name="Tc_lRkXpRToJECGtNxCdtfxww_8_10"/>
      <w:bookmarkStart w:id="522" w:name="Tc_Hpfmojy3TUu_-QqS66K35g_8_7"/>
      <w:bookmarkStart w:id="523" w:name="Tc_tcr4EL2f9EKzV198Xll4sA_8_5"/>
      <w:bookmarkStart w:id="524" w:name="Tc_XNhgZbf8YE2BI7Mutxp_2g_8_2"/>
      <w:bookmarkStart w:id="525" w:name="Tc_ltx8Hu_wgUGnIKDGHdakmA_8_0"/>
      <w:bookmarkStart w:id="526" w:name="Tc_A8u8eakg3EmCvPxKQwF-SQ_7_16"/>
      <w:bookmarkStart w:id="527" w:name="Tc_Md8ONRGz6kq6YAYlzEOKAA_7_10"/>
      <w:bookmarkStart w:id="528" w:name="Tc_rjPWygFU2E6CfNkTKikO4A_7_7"/>
      <w:bookmarkStart w:id="529" w:name="Tc_lu71I8-OjkCt6MrcacdqRg_7_5"/>
      <w:bookmarkStart w:id="530" w:name="Tc_KBngFjDJaUuFtsO6YgdJ_g_7_0"/>
      <w:bookmarkStart w:id="531" w:name="Tc_Wkaarele4k-R9jXzx6Yajg_6_18"/>
      <w:bookmarkStart w:id="532" w:name="Tc_idS9RTkBrEyWzvWMDmD4_Q_6_15"/>
      <w:bookmarkStart w:id="533" w:name="Tc_dzaOKFAXH0eh71wCBMDwfw_6_12"/>
      <w:bookmarkStart w:id="534" w:name="Tc_lb6piJix00qVJz-eCFMT_A_6_9"/>
      <w:bookmarkStart w:id="535" w:name="Tc_h8bJNuOX50yapPwAmsVk4A_6_4"/>
      <w:bookmarkStart w:id="536" w:name="Tc_2vmTUadJUUaWby8h36B7mA_6_0"/>
      <w:bookmarkStart w:id="537" w:name="Tc_IlOLBoaNsUOnt6_A8EoasQ_5_18"/>
      <w:bookmarkStart w:id="538" w:name="Tc_Vb8FIUc4l0qSSAPzglmryQ_5_15"/>
      <w:bookmarkStart w:id="539" w:name="Tc_wmrKL1jnE0ymPd0iIw8JZA_5_12"/>
      <w:bookmarkStart w:id="540" w:name="Tc_ov02Z3NLakix3KEqSPTfPw_5_9"/>
      <w:bookmarkStart w:id="541" w:name="Tc_yQauLvFMiUy2VkQzb6y_xg_5_7"/>
      <w:bookmarkStart w:id="542" w:name="Tc_toi5D11tk0KJcbYMLiatJw_5_4"/>
      <w:bookmarkStart w:id="543" w:name="Tc_NmX4pr8ia0eV2-zDxHN4Vw_5_2"/>
      <w:bookmarkStart w:id="544" w:name="Tc_A8513krRPUiaGVbg_rGzog_4_18"/>
      <w:bookmarkStart w:id="545" w:name="Tc_atUiNInTAk-l0iBuTW0EkQ_4_15"/>
      <w:bookmarkStart w:id="546" w:name="Tc_oPKzbbHR4ECqQBk0jzL4Tg_4_12"/>
      <w:bookmarkStart w:id="547" w:name="Tc_NbH26LMlvESMsfB2uefyBA_4_7"/>
      <w:bookmarkStart w:id="548" w:name="Tc__VFAqrUMqEWoWkcw77XJAg_4_2"/>
      <w:bookmarkStart w:id="549" w:name="Tc_QBTCL3nqZUK-SvejVjBfQA_3_18"/>
      <w:bookmarkStart w:id="550" w:name="Tc_woCRJa-tUUaWR1axUBtywQ_3_12"/>
      <w:bookmarkStart w:id="551" w:name="Tc_hW79aLUqHU6lolcBzPiv0g_2_7"/>
      <w:bookmarkStart w:id="552" w:name="Tc_8cwdNWaEGEedsAIX8vOAYQ_2_2"/>
      <w:bookmarkStart w:id="553" w:name="Tc_sV-8_b4lZUeiEDNQT3Ut2g_1_7"/>
      <w:bookmarkStart w:id="554" w:name="Tc_tLWzfmpQhkCRnKqMY8lu5A_1_2"/>
      <w:bookmarkStart w:id="555" w:name="_4d1b8e76_3001_4b50_b6fd_dfaa493a822c"/>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tbl>
      <w:tblPr>
        <w:tblW w:w="10205" w:type="dxa"/>
        <w:jc w:val="left"/>
        <w:tblInd w:w="0" w:type="dxa"/>
        <w:tblLayout w:type="fixed"/>
        <w:tblCellMar>
          <w:top w:w="0" w:type="dxa"/>
          <w:left w:w="0" w:type="dxa"/>
          <w:bottom w:w="0" w:type="dxa"/>
          <w:right w:w="0" w:type="dxa"/>
        </w:tblCellMar>
      </w:tblPr>
      <w:tblGrid>
        <w:gridCol w:w="3555"/>
        <w:gridCol w:w="326"/>
        <w:gridCol w:w="672"/>
        <w:gridCol w:w="326"/>
        <w:gridCol w:w="170"/>
        <w:gridCol w:w="356"/>
        <w:gridCol w:w="326"/>
        <w:gridCol w:w="666"/>
        <w:gridCol w:w="326"/>
        <w:gridCol w:w="170"/>
        <w:gridCol w:w="356"/>
        <w:gridCol w:w="109"/>
        <w:gridCol w:w="166"/>
        <w:gridCol w:w="496"/>
        <w:gridCol w:w="109"/>
        <w:gridCol w:w="219"/>
        <w:gridCol w:w="585"/>
        <w:gridCol w:w="326"/>
        <w:gridCol w:w="225"/>
        <w:gridCol w:w="721"/>
      </w:tblGrid>
      <w:tr>
        <w:trPr/>
        <w:tc>
          <w:tcPr>
            <w:tcW w:w="3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257425" cy="175260"/>
                      <wp:effectExtent l="0" t="0" r="0" b="0"/>
                      <wp:wrapNone/>
                      <wp:docPr id="23" name="Frame23"/>
                      <a:graphic xmlns:a="http://schemas.openxmlformats.org/drawingml/2006/main">
                        <a:graphicData uri="http://schemas.microsoft.com/office/word/2010/wordprocessingShape">
                          <wps:wsp>
                            <wps:cNvSpPr txBox="1"/>
                            <wps:spPr>
                              <a:xfrm>
                                <a:off x="0" y="0"/>
                                <a:ext cx="2257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6720" cy="175260"/>
                      <wp:effectExtent l="0" t="0" r="0" b="0"/>
                      <wp:wrapNone/>
                      <wp:docPr id="25" name="Frame25"/>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07950" cy="175260"/>
                      <wp:effectExtent l="0" t="0" r="0" b="0"/>
                      <wp:wrapNone/>
                      <wp:docPr id="27" name="Frame27"/>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6060" cy="175260"/>
                      <wp:effectExtent l="0" t="0" r="0" b="0"/>
                      <wp:wrapNone/>
                      <wp:docPr id="28" name="Frame2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22910" cy="175260"/>
                      <wp:effectExtent l="0" t="0" r="0" b="0"/>
                      <wp:wrapNone/>
                      <wp:docPr id="30" name="Frame30"/>
                      <a:graphic xmlns:a="http://schemas.openxmlformats.org/drawingml/2006/main">
                        <a:graphicData uri="http://schemas.microsoft.com/office/word/2010/wordprocessingShape">
                          <wps:wsp>
                            <wps:cNvSpPr txBox="1"/>
                            <wps:spPr>
                              <a:xfrm>
                                <a:off x="0" y="0"/>
                                <a:ext cx="422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07950" cy="175260"/>
                      <wp:effectExtent l="0" t="0" r="0" b="0"/>
                      <wp:wrapNone/>
                      <wp:docPr id="32" name="Frame32"/>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26060" cy="175260"/>
                      <wp:effectExtent l="0" t="0" r="0" b="0"/>
                      <wp:wrapNone/>
                      <wp:docPr id="33" name="Frame3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05410" cy="175260"/>
                      <wp:effectExtent l="0" t="0" r="0" b="0"/>
                      <wp:wrapNone/>
                      <wp:docPr id="35" name="Frame3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314960" cy="175260"/>
                      <wp:effectExtent l="0" t="0" r="0" b="0"/>
                      <wp:wrapNone/>
                      <wp:docPr id="36" name="Frame36"/>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7"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9065" cy="175260"/>
                      <wp:effectExtent l="0" t="0" r="0" b="0"/>
                      <wp:wrapNone/>
                      <wp:docPr id="38" name="Frame3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71475" cy="175260"/>
                      <wp:effectExtent l="0" t="0" r="0" b="0"/>
                      <wp:wrapNone/>
                      <wp:docPr id="39" name="Frame39"/>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2875" cy="175260"/>
                      <wp:effectExtent l="0" t="0" r="0" b="0"/>
                      <wp:wrapNone/>
                      <wp:docPr id="41" name="Frame4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57835" cy="175260"/>
                      <wp:effectExtent l="0" t="0" r="0" b="0"/>
                      <wp:wrapNone/>
                      <wp:docPr id="42" name="Frame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24"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26" w:type="dxa"/>
            <w:tcBorders/>
            <w:vAlign w:val="center"/>
          </w:tcPr>
          <w:p>
            <w:pPr>
              <w:pStyle w:val="TableContents"/>
              <w:bidi w:val="0"/>
              <w:spacing w:before="0" w:after="1"/>
              <w:ind w:left="0" w:right="0" w:hanging="0"/>
              <w:jc w:val="left"/>
              <w:rPr/>
            </w:pPr>
            <w:r>
              <w:rPr/>
              <w:t>​</w:t>
            </w:r>
          </w:p>
        </w:tc>
        <w:tc>
          <w:tcPr>
            <w:tcW w:w="1518" w:type="dxa"/>
            <w:gridSpan w:val="4"/>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26" w:type="dxa"/>
            <w:tcBorders/>
            <w:vAlign w:val="center"/>
          </w:tcPr>
          <w:p>
            <w:pPr>
              <w:pStyle w:val="TableContents"/>
              <w:bidi w:val="0"/>
              <w:spacing w:before="0" w:after="1"/>
              <w:ind w:left="0" w:right="0" w:hanging="0"/>
              <w:jc w:val="left"/>
              <w:rPr/>
            </w:pPr>
            <w:r>
              <w:rPr/>
              <w:t>​</w:t>
            </w:r>
          </w:p>
        </w:tc>
        <w:tc>
          <w:tcPr>
            <w:tcW w:w="15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46" w:type="dxa"/>
            <w:gridSpan w:val="2"/>
            <w:tcBorders/>
            <w:vAlign w:val="center"/>
          </w:tcPr>
          <w:p>
            <w:pPr>
              <w:pStyle w:val="TableContents"/>
              <w:bidi w:val="0"/>
              <w:spacing w:before="0" w:after="1"/>
              <w:ind w:left="0" w:right="0" w:hanging="0"/>
              <w:jc w:val="center"/>
              <w:rPr/>
            </w:pPr>
            <w:r>
              <w:rPr/>
              <w:t>​</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109" w:type="dxa"/>
            <w:tcBorders/>
            <w:vAlign w:val="center"/>
          </w:tcPr>
          <w:p>
            <w:pPr>
              <w:pStyle w:val="TableContents"/>
              <w:bidi w:val="0"/>
              <w:spacing w:before="0" w:after="1"/>
              <w:ind w:left="0" w:right="0" w:hanging="0"/>
              <w:jc w:val="center"/>
              <w:rPr/>
            </w:pPr>
            <w:r>
              <w:rPr/>
              <w:t>​</w:t>
            </w:r>
          </w:p>
        </w:tc>
        <w:tc>
          <w:tcPr>
            <w:tcW w:w="219"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Total </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109" w:type="dxa"/>
            <w:tcBorders/>
            <w:vAlign w:val="center"/>
          </w:tcPr>
          <w:p>
            <w:pPr>
              <w:pStyle w:val="TableContents"/>
              <w:bidi w:val="0"/>
              <w:spacing w:before="0" w:after="1"/>
              <w:ind w:left="0" w:right="0" w:hanging="0"/>
              <w:jc w:val="center"/>
              <w:rPr/>
            </w:pPr>
            <w:r>
              <w:rPr/>
              <w:t>​</w:t>
            </w:r>
          </w:p>
        </w:tc>
        <w:tc>
          <w:tcPr>
            <w:tcW w:w="804"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vAlign w:val="center"/>
          </w:tcPr>
          <w:p>
            <w:pPr>
              <w:pStyle w:val="TableContents"/>
              <w:bidi w:val="0"/>
              <w:spacing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vAlign w:val="center"/>
          </w:tcPr>
          <w:p>
            <w:pPr>
              <w:pStyle w:val="TableContents"/>
              <w:bidi w:val="0"/>
              <w:spacing w:before="0" w:after="1"/>
              <w:ind w:left="0" w:right="0" w:hanging="0"/>
              <w:jc w:val="left"/>
              <w:rPr/>
            </w:pPr>
            <w:r>
              <w:rPr/>
              <w:t>    </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vAlign w:val="center"/>
          </w:tcPr>
          <w:p>
            <w:pPr>
              <w:pStyle w:val="TableContents"/>
              <w:bidi w:val="0"/>
              <w:spacing w:before="0" w:after="1"/>
              <w:ind w:left="0" w:right="0" w:hanging="0"/>
              <w:jc w:val="left"/>
              <w:rPr/>
            </w:pPr>
            <w:r>
              <w:rPr/>
              <w:t>    </w:t>
            </w:r>
          </w:p>
        </w:tc>
        <w:tc>
          <w:tcPr>
            <w:tcW w:w="5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109" w:type="dxa"/>
            <w:tcBorders/>
            <w:vAlign w:val="center"/>
          </w:tcPr>
          <w:p>
            <w:pPr>
              <w:pStyle w:val="TableContents"/>
              <w:bidi w:val="0"/>
              <w:spacing w:before="0" w:after="1"/>
              <w:ind w:left="0" w:right="0" w:hanging="0"/>
              <w:jc w:val="center"/>
              <w:rPr/>
            </w:pPr>
            <w:r>
              <w:rPr/>
              <w:t>​</w:t>
            </w:r>
          </w:p>
        </w:tc>
        <w:tc>
          <w:tcPr>
            <w:tcW w:w="8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vAlign w:val="center"/>
          </w:tcPr>
          <w:p>
            <w:pPr>
              <w:pStyle w:val="TableContents"/>
              <w:bidi w:val="0"/>
              <w:spacing w:before="0" w:after="1"/>
              <w:ind w:left="0" w:right="0" w:hanging="0"/>
              <w:jc w:val="center"/>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 (Deficit)</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11,876,792</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133,771</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(145,962)</w:t>
            </w:r>
          </w:p>
        </w:tc>
        <w:tc>
          <w:tcPr>
            <w:tcW w:w="32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(12,175)</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59,649</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687</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687</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vAlign w:val="center"/>
          </w:tcPr>
          <w:p>
            <w:pPr>
              <w:pStyle w:val="TableContents"/>
              <w:bidi w:val="0"/>
              <w:spacing w:before="0" w:after="1"/>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(10,621)</w:t>
            </w:r>
          </w:p>
        </w:tc>
        <w:tc>
          <w:tcPr>
            <w:tcW w:w="326" w:type="dxa"/>
            <w:tcBorders/>
            <w:vAlign w:val="center"/>
          </w:tcPr>
          <w:p>
            <w:pPr>
              <w:pStyle w:val="TableContents"/>
              <w:bidi w:val="0"/>
              <w:spacing w:before="0" w:after="1"/>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(10,621)</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11,936,441</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134,439</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(156,583)</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(22,128)</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March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9,306,738</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119,786</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(113,240)</w:t>
            </w:r>
          </w:p>
        </w:tc>
        <w:tc>
          <w:tcPr>
            <w:tcW w:w="326" w:type="dxa"/>
            <w:tcBorders/>
            <w:shd w:fill="CCEEFF" w:val="clear"/>
            <w:vAlign w:val="center"/>
          </w:tcPr>
          <w:p>
            <w:pPr>
              <w:pStyle w:val="TableContents"/>
              <w:bidi w:val="0"/>
              <w:spacing w:before="0" w:after="1"/>
              <w:ind w:left="0" w:right="0" w:hanging="0"/>
              <w:jc w:val="righ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6,559</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1,470</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1,470</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(9,398)</w:t>
            </w:r>
          </w:p>
        </w:tc>
        <w:tc>
          <w:tcPr>
            <w:tcW w:w="326" w:type="dxa"/>
            <w:tcBorders/>
            <w:vAlign w:val="center"/>
          </w:tcPr>
          <w:p>
            <w:pPr>
              <w:pStyle w:val="TableContents"/>
              <w:bidi w:val="0"/>
              <w:spacing w:before="0" w:after="1"/>
              <w:ind w:left="0" w:right="0" w:hanging="0"/>
              <w:jc w:val="righ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(9,398)</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9,306,838</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121,256</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(122,638)</w:t>
            </w:r>
          </w:p>
        </w:tc>
        <w:tc>
          <w:tcPr>
            <w:tcW w:w="326" w:type="dxa"/>
            <w:tcBorders/>
            <w:shd w:fill="CCEEFF" w:val="clear"/>
            <w:vAlign w:val="center"/>
          </w:tcPr>
          <w:p>
            <w:pPr>
              <w:pStyle w:val="TableContents"/>
              <w:bidi w:val="0"/>
              <w:spacing w:before="0" w:after="1"/>
              <w:ind w:left="0" w:right="0" w:hanging="0"/>
              <w:jc w:val="righ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(1,369)</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35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24" w:type="dxa"/>
            <w:gridSpan w:val="4"/>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A</w:t>
            </w:r>
          </w:p>
        </w:tc>
        <w:tc>
          <w:tcPr>
            <w:tcW w:w="326" w:type="dxa"/>
            <w:tcBorders/>
            <w:shd w:fill="CCEEFF" w:val="clear"/>
            <w:vAlign w:val="center"/>
          </w:tcPr>
          <w:p>
            <w:pPr>
              <w:pStyle w:val="TableContents"/>
              <w:bidi w:val="0"/>
              <w:spacing w:before="0" w:after="1"/>
              <w:ind w:left="0" w:right="0" w:hanging="0"/>
              <w:jc w:val="left"/>
              <w:rPr/>
            </w:pPr>
            <w:r>
              <w:rPr/>
              <w:t>​</w:t>
            </w:r>
          </w:p>
        </w:tc>
        <w:tc>
          <w:tcPr>
            <w:tcW w:w="1518" w:type="dxa"/>
            <w:gridSpan w:val="4"/>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Class B</w:t>
            </w:r>
          </w:p>
        </w:tc>
        <w:tc>
          <w:tcPr>
            <w:tcW w:w="109" w:type="dxa"/>
            <w:tcBorders/>
            <w:shd w:fill="CCEEFF" w:val="clear"/>
            <w:vAlign w:val="center"/>
          </w:tcPr>
          <w:p>
            <w:pPr>
              <w:pStyle w:val="TableContents"/>
              <w:bidi w:val="0"/>
              <w:spacing w:before="0" w:after="1"/>
              <w:ind w:left="0" w:right="0" w:hanging="0"/>
              <w:jc w:val="center"/>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326" w:type="dxa"/>
            <w:tcBorders/>
            <w:vAlign w:val="center"/>
          </w:tcPr>
          <w:p>
            <w:pPr>
              <w:pStyle w:val="TableContents"/>
              <w:bidi w:val="0"/>
              <w:spacing w:before="0" w:after="1"/>
              <w:ind w:left="0" w:right="0" w:hanging="0"/>
              <w:jc w:val="left"/>
              <w:rPr/>
            </w:pPr>
            <w:r>
              <w:rPr/>
              <w:t>​</w:t>
            </w:r>
          </w:p>
        </w:tc>
        <w:tc>
          <w:tcPr>
            <w:tcW w:w="151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Common Stock</w:t>
            </w:r>
          </w:p>
        </w:tc>
        <w:tc>
          <w:tcPr>
            <w:tcW w:w="109"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pPr>
            <w:r>
              <w:rPr/>
              <w:t>​</w:t>
            </w:r>
          </w:p>
        </w:tc>
      </w:tr>
      <w:tr>
        <w:trPr/>
        <w:tc>
          <w:tcPr>
            <w:tcW w:w="35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662"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Additional</w:t>
            </w:r>
          </w:p>
        </w:tc>
        <w:tc>
          <w:tcPr>
            <w:tcW w:w="109" w:type="dxa"/>
            <w:tcBorders/>
            <w:shd w:fill="CCEEFF" w:val="clear"/>
            <w:vAlign w:val="center"/>
          </w:tcPr>
          <w:p>
            <w:pPr>
              <w:pStyle w:val="TableContents"/>
              <w:bidi w:val="0"/>
              <w:spacing w:before="0" w:after="1"/>
              <w:ind w:left="0" w:right="0" w:hanging="0"/>
              <w:jc w:val="center"/>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gridSpan w:val="2"/>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Total </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6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Paid-in</w:t>
            </w:r>
          </w:p>
        </w:tc>
        <w:tc>
          <w:tcPr>
            <w:tcW w:w="109" w:type="dxa"/>
            <w:tcBorders/>
            <w:vAlign w:val="center"/>
          </w:tcPr>
          <w:p>
            <w:pPr>
              <w:pStyle w:val="TableContents"/>
              <w:bidi w:val="0"/>
              <w:spacing w:before="0" w:after="1"/>
              <w:ind w:left="0" w:right="0" w:hanging="0"/>
              <w:jc w:val="center"/>
              <w:rPr/>
            </w:pPr>
            <w:r>
              <w:rPr/>
              <w:t>​</w:t>
            </w:r>
          </w:p>
        </w:tc>
        <w:tc>
          <w:tcPr>
            <w:tcW w:w="804"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Accumulated</w:t>
            </w:r>
          </w:p>
        </w:tc>
        <w:tc>
          <w:tcPr>
            <w:tcW w:w="326"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Stockholders'</w:t>
            </w:r>
          </w:p>
        </w:tc>
      </w:tr>
      <w:tr>
        <w:trPr/>
        <w:tc>
          <w:tcPr>
            <w:tcW w:w="35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326" w:type="dxa"/>
            <w:tcBorders/>
            <w:shd w:fill="CCEEFF" w:val="clear"/>
            <w:vAlign w:val="center"/>
          </w:tcPr>
          <w:p>
            <w:pPr>
              <w:pStyle w:val="TableContents"/>
              <w:bidi w:val="0"/>
              <w:spacing w:before="0" w:after="1"/>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26" w:type="dxa"/>
            <w:tcBorders/>
            <w:shd w:fill="CCEEFF" w:val="clear"/>
            <w:vAlign w:val="center"/>
          </w:tcPr>
          <w:p>
            <w:pPr>
              <w:pStyle w:val="TableContents"/>
              <w:bidi w:val="0"/>
              <w:spacing w:before="0" w:after="1"/>
              <w:ind w:left="0" w:right="0" w:hanging="0"/>
              <w:jc w:val="left"/>
              <w:rPr/>
            </w:pPr>
            <w:r>
              <w:rPr/>
              <w:t>    </w:t>
            </w:r>
          </w:p>
        </w:tc>
        <w:tc>
          <w:tcPr>
            <w:tcW w:w="52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Amount</w:t>
            </w:r>
          </w:p>
        </w:tc>
        <w:tc>
          <w:tcPr>
            <w:tcW w:w="109" w:type="dxa"/>
            <w:tcBorders/>
            <w:shd w:fill="CCEEFF" w:val="clear"/>
            <w:vAlign w:val="center"/>
          </w:tcPr>
          <w:p>
            <w:pPr>
              <w:pStyle w:val="TableContents"/>
              <w:bidi w:val="0"/>
              <w:spacing w:before="0" w:after="1"/>
              <w:ind w:left="0" w:right="0" w:hanging="0"/>
              <w:jc w:val="center"/>
              <w:rPr/>
            </w:pPr>
            <w:r>
              <w:rPr/>
              <w:t>​</w:t>
            </w:r>
          </w:p>
        </w:tc>
        <w:tc>
          <w:tcPr>
            <w:tcW w:w="662"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Capital</w:t>
            </w:r>
          </w:p>
        </w:tc>
        <w:tc>
          <w:tcPr>
            <w:tcW w:w="109" w:type="dxa"/>
            <w:tcBorders/>
            <w:shd w:fill="CCEEFF" w:val="clear"/>
            <w:vAlign w:val="center"/>
          </w:tcPr>
          <w:p>
            <w:pPr>
              <w:pStyle w:val="TableContents"/>
              <w:bidi w:val="0"/>
              <w:spacing w:before="0" w:after="1"/>
              <w:ind w:left="0" w:right="0" w:hanging="0"/>
              <w:jc w:val="center"/>
              <w:rPr/>
            </w:pPr>
            <w:r>
              <w:rPr/>
              <w:t>​</w:t>
            </w:r>
          </w:p>
        </w:tc>
        <w:tc>
          <w:tcPr>
            <w:tcW w:w="804"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Deficit</w:t>
            </w:r>
          </w:p>
        </w:tc>
        <w:tc>
          <w:tcPr>
            <w:tcW w:w="326" w:type="dxa"/>
            <w:tcBorders/>
            <w:shd w:fill="CCEEFF" w:val="clear"/>
            <w:vAlign w:val="center"/>
          </w:tcPr>
          <w:p>
            <w:pPr>
              <w:pStyle w:val="TableContents"/>
              <w:bidi w:val="0"/>
              <w:spacing w:before="0" w:after="1"/>
              <w:ind w:left="0" w:right="0" w:hanging="0"/>
              <w:jc w:val="left"/>
              <w:rPr/>
            </w:pPr>
            <w:r>
              <w:rPr/>
              <w:t>    </w:t>
            </w:r>
          </w:p>
        </w:tc>
        <w:tc>
          <w:tcPr>
            <w:tcW w:w="94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 (Deficit)</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December 31, 2022</w:t>
            </w:r>
          </w:p>
        </w:tc>
        <w:tc>
          <w:tcPr>
            <w:tcW w:w="326" w:type="dxa"/>
            <w:tcBorders/>
            <w:vAlign w:val="center"/>
          </w:tcPr>
          <w:p>
            <w:pPr>
              <w:pStyle w:val="TableContents"/>
              <w:bidi w:val="0"/>
              <w:spacing w:before="0" w:after="1"/>
              <w:ind w:left="0" w:right="0" w:hanging="0"/>
              <w:jc w:val="left"/>
              <w:rPr/>
            </w:pPr>
            <w:r>
              <w:rPr/>
              <w:t> </w:t>
            </w:r>
          </w:p>
        </w:tc>
        <w:tc>
          <w:tcPr>
            <w:tcW w:w="672"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11,823,445</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132,939</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(137,988)</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(5,033)</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Proceeds from sale of common stock through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41,277</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148</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148</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 net of shares withheld and taxes paid</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71,719</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 </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1,371</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pPr>
            <w:r>
              <w:rPr/>
              <w:t> </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1,371</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Net loss </w:t>
            </w:r>
          </w:p>
        </w:tc>
        <w:tc>
          <w:tcPr>
            <w:tcW w:w="326" w:type="dxa"/>
            <w:tcBorders/>
            <w:vAlign w:val="center"/>
          </w:tcPr>
          <w:p>
            <w:pPr>
              <w:pStyle w:val="TableContents"/>
              <w:bidi w:val="0"/>
              <w:spacing w:before="0" w:after="1"/>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(18,595)</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(18,595)</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11,936,441</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134,439</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(156,583)</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(22,128)</w:t>
            </w:r>
          </w:p>
        </w:tc>
      </w:tr>
      <w:tr>
        <w:trPr/>
        <w:tc>
          <w:tcPr>
            <w:tcW w:w="35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9,245,146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118,599</w:t>
            </w:r>
          </w:p>
        </w:tc>
        <w:tc>
          <w:tcPr>
            <w:tcW w:w="109" w:type="dxa"/>
            <w:tcBorders/>
            <w:shd w:fill="CCEEFF" w:val="clear"/>
            <w:vAlign w:val="center"/>
          </w:tcPr>
          <w:p>
            <w:pPr>
              <w:pStyle w:val="TableContents"/>
              <w:bidi w:val="0"/>
              <w:spacing w:before="0" w:after="1"/>
              <w:ind w:left="0" w:right="0" w:hanging="0"/>
              <w:jc w:val="left"/>
              <w:rPr/>
            </w:pPr>
            <w:r>
              <w:rPr/>
              <w:t>​</w:t>
            </w:r>
          </w:p>
        </w:tc>
        <w:tc>
          <w:tcPr>
            <w:tcW w:w="219"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(105,091)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13,521</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Additional issuance costs in connection with Private Placement</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 </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(110)</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 </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25"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(110)</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Proceeds from sale of common stock through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42,345</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192</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192</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Vesting of restricted stock units</w:t>
            </w:r>
          </w:p>
        </w:tc>
        <w:tc>
          <w:tcPr>
            <w:tcW w:w="326" w:type="dxa"/>
            <w:tcBorders/>
            <w:vAlign w:val="center"/>
          </w:tcPr>
          <w:p>
            <w:pPr>
              <w:pStyle w:val="TableContents"/>
              <w:bidi w:val="0"/>
              <w:spacing w:before="0" w:after="1"/>
              <w:ind w:left="0" w:right="0" w:hanging="0"/>
              <w:jc w:val="left"/>
              <w:rPr/>
            </w:pPr>
            <w:r>
              <w:rPr/>
              <w:t>​</w:t>
            </w:r>
          </w:p>
        </w:tc>
        <w:tc>
          <w:tcPr>
            <w:tcW w:w="672"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19,347</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67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2,575</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2,575</w:t>
            </w:r>
          </w:p>
        </w:tc>
      </w:tr>
      <w:tr>
        <w:trPr/>
        <w:tc>
          <w:tcPr>
            <w:tcW w:w="355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vAlign w:val="center"/>
          </w:tcPr>
          <w:p>
            <w:pPr>
              <w:pStyle w:val="TableContents"/>
              <w:bidi w:val="0"/>
              <w:spacing w:before="0" w:after="1"/>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(17,547)</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(17,547)</w:t>
            </w:r>
          </w:p>
        </w:tc>
      </w:tr>
      <w:tr>
        <w:trPr/>
        <w:tc>
          <w:tcPr>
            <w:tcW w:w="3555"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Balance,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6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9,306,838</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4,313,406</w:t>
            </w:r>
          </w:p>
        </w:tc>
        <w:tc>
          <w:tcPr>
            <w:tcW w:w="326" w:type="dxa"/>
            <w:tcBorders/>
            <w:shd w:fill="CCEEFF" w:val="clear"/>
            <w:vAlign w:val="center"/>
          </w:tcPr>
          <w:p>
            <w:pPr>
              <w:pStyle w:val="TableContents"/>
              <w:bidi w:val="0"/>
              <w:spacing w:before="0" w:after="1"/>
              <w:ind w:left="0" w:right="0" w:hanging="0"/>
              <w:jc w:val="left"/>
              <w:rPr/>
            </w:pPr>
            <w:r>
              <w:rPr/>
              <w:t>​</w:t>
            </w:r>
          </w:p>
        </w:tc>
        <w:tc>
          <w:tcPr>
            <w:tcW w:w="1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4</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121,256</w:t>
            </w:r>
          </w:p>
        </w:tc>
        <w:tc>
          <w:tcPr>
            <w:tcW w:w="109" w:type="dxa"/>
            <w:tcBorders/>
            <w:shd w:fill="CCEEFF" w:val="clear"/>
            <w:vAlign w:val="center"/>
          </w:tcPr>
          <w:p>
            <w:pPr>
              <w:pStyle w:val="TableContents"/>
              <w:bidi w:val="0"/>
              <w:spacing w:before="0" w:after="1"/>
              <w:ind w:left="0" w:right="0" w:hanging="0"/>
              <w:jc w:val="righ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(122,638)</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(1,369)</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6" w:name="_19a837eb_13b8_4d45_bb14_6af87750eee1"/>
      <w:bookmarkEnd w:id="556"/>
      <w:r>
        <w:rPr>
          <w:rFonts w:ascii="Times New Roman;Times;serif" w:hAnsi="Times New Roman;Times;serif"/>
          <w:b/>
          <w:sz w:val="20"/>
        </w:rPr>
        <w:t>AZIYO BIOLOGICS, INC.</w:t>
      </w:r>
    </w:p>
    <w:p>
      <w:pPr>
        <w:pStyle w:val="TextBody"/>
        <w:bidi w:val="0"/>
        <w:spacing w:before="0" w:after="0"/>
        <w:ind w:left="0" w:right="0" w:hanging="0"/>
        <w:jc w:val="center"/>
        <w:rPr>
          <w:rFonts w:ascii="Times New Roman;Times;serif" w:hAnsi="Times New Roman;Times;serif"/>
          <w:b/>
          <w:sz w:val="20"/>
        </w:rPr>
      </w:pPr>
      <w:bookmarkStart w:id="557" w:name="CONDENSEDCONSOLIDATEDSTATEMENTSOFCASHFLO"/>
      <w:bookmarkEnd w:id="557"/>
      <w:r>
        <w:rPr>
          <w:rFonts w:ascii="Times New Roman;Times;serif" w:hAnsi="Times New Roman;Times;serif"/>
          <w:b/>
          <w:sz w:val="20"/>
        </w:rPr>
        <w:t>CONDENSED CONSOLIDATED STATEMENTS OF CASH FLOWS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8" w:name="Tc_H_2giW84A0GQLKYNdM-2Dg_40_5"/>
      <w:bookmarkStart w:id="559" w:name="Tc_W2UpB4-DgkWDvTBt2S-vqg_40_2"/>
      <w:bookmarkStart w:id="560" w:name="Tc_OVgaMkGnAU-90URS5yexUA_40_0"/>
      <w:bookmarkStart w:id="561" w:name="Tc_gR4y8S5J7kSu7L7Oqd85Ag_39_0"/>
      <w:bookmarkStart w:id="562" w:name="Tc_n82nWp-7uEuSDBlPY5sC1Q_37_5"/>
      <w:bookmarkStart w:id="563" w:name="Tc_YEdzYnwW00iADfYVOfHCnw_37_2"/>
      <w:bookmarkStart w:id="564" w:name="Tc__uO-bDg11E-NYYMe9VbIlA_37_0"/>
      <w:bookmarkStart w:id="565" w:name="Tc_jYTpvT3iwUWUC7zANRz4FQ_36_0"/>
      <w:bookmarkStart w:id="566" w:name="Tc_isp_F5WV90eA5dt3tAcaQA_34_0"/>
      <w:bookmarkStart w:id="567" w:name="Tc_DMdVGzrsO0KEXh37hjT5uA_32_0"/>
      <w:bookmarkStart w:id="568" w:name="Tc_ILJR7n7bHUelt60ClkWyxg_31_0"/>
      <w:bookmarkStart w:id="569" w:name="Tc_07c2Ehv6_kyuJh4VzoXR3A_30_6"/>
      <w:bookmarkStart w:id="570" w:name="Tc_UPiiZcyPWUG6MD-r7dZu_w_30_0"/>
      <w:bookmarkStart w:id="571" w:name="Tc_Z2SnmuczhUO1sc2NuYnqhA_29_3"/>
      <w:bookmarkStart w:id="572" w:name="Tc_LT1g-EL94UGvNJJ5o2ahsQ_29_0"/>
      <w:bookmarkStart w:id="573" w:name="Tc_1jdkUT_fvUu6NrQCWBcj6Q_28_3"/>
      <w:bookmarkStart w:id="574" w:name="Tc_TUuFEhxOYUyzDXJN93cOoQ_28_0"/>
      <w:bookmarkStart w:id="575" w:name="Tc_mzOyvnNcgkWSOk-1Dbg9Nw_27_3"/>
      <w:bookmarkStart w:id="576" w:name="Tc_wZ4Xph2GaEaP-e4LEKwi8g_27_0"/>
      <w:bookmarkStart w:id="577" w:name="Tc_1EuqqUHP1U6nJiZKg2DLMA_26_3"/>
      <w:bookmarkStart w:id="578" w:name="Tc_YI2EDf-6_0y3e3LV_7PJsQ_26_0"/>
      <w:bookmarkStart w:id="579" w:name="Tc_84h32Mqjy0mvGONj7OQfSQ_25_0"/>
      <w:bookmarkStart w:id="580" w:name="Tc_RpTh-nkbH0-jeh-wSkJymw_24_0"/>
      <w:bookmarkStart w:id="581" w:name="Tc_VTOqwEuWikSjqwN4aut7NQ_23_0"/>
      <w:bookmarkStart w:id="582" w:name="Tc_15m77VGjBEOBsyecSWG5rw_22_0"/>
      <w:bookmarkStart w:id="583" w:name="Tc_I54oE7LwE0C3KPL78UPJDQ_21_0"/>
      <w:bookmarkStart w:id="584" w:name="Tc_58JV5zFZrE-B47-BCPiTzw_20_0"/>
      <w:bookmarkStart w:id="585" w:name="Tc_31t8PgfFz0GBoge5y0UedQ_19_6"/>
      <w:bookmarkStart w:id="586" w:name="Tc_cnL29yEj7Ui--HVvMp7Obg_19_0"/>
      <w:bookmarkStart w:id="587" w:name="Tc_WlcAXjgHWUOzoFZhkolE8Q_18_0"/>
      <w:bookmarkStart w:id="588" w:name="Tc_Ap17-seHVEiyN7OdwK5jQA_17_0"/>
      <w:bookmarkStart w:id="589" w:name="Tc_KumRk65YVkOrBtI3vhgsLA_16_0"/>
      <w:bookmarkStart w:id="590" w:name="Tc_sHbDuokiQkyv1wPEkt1FJQ_15_6"/>
      <w:bookmarkStart w:id="591" w:name="Tc_S2TqG7lVR0CQBTmySG5Bzg_15_0"/>
      <w:bookmarkStart w:id="592" w:name="Tc_sBYPCZ5zekWoxWACOly1Ww_14_0"/>
      <w:bookmarkStart w:id="593" w:name="Tc_Xmthyg40qEqYOEZP2v997Q_13_0"/>
      <w:bookmarkStart w:id="594" w:name="Tc_21-l797tyEK2wh1O4G8z-w_12_0"/>
      <w:bookmarkStart w:id="595" w:name="Tc_ukrcfusEwUe8p5eUDfClAQ_11_6"/>
      <w:bookmarkStart w:id="596" w:name="Tc_AyvQophdN0OkV4sc4cTmsQ_11_0"/>
      <w:bookmarkStart w:id="597" w:name="Tc_Y7Ch5LFbukK2GbW1Pbuq1A_10_6"/>
      <w:bookmarkStart w:id="598" w:name="Tc_3urX7_V2IUSoUNqGNUq_Kg_10_0"/>
      <w:bookmarkStart w:id="599" w:name="Tc_yjV1Hvd2dEupXv1wAgLjHA_9_0"/>
      <w:bookmarkStart w:id="600" w:name="Tc_GVoFqMCZpUekcRWD0eG4PA_8_0"/>
      <w:bookmarkStart w:id="601" w:name="Tc_c7QSp_siokizSlUnffhnhw_7_0"/>
      <w:bookmarkStart w:id="602" w:name="Tc_WB9YK1byM0qj_KQpTpzzkw_6_0"/>
      <w:bookmarkStart w:id="603" w:name="Tc_2NMAAxNid0ucgK7v1PlCSA_5_0"/>
      <w:bookmarkStart w:id="604" w:name="Tc_meGaO61zJEGSxYl0uZj5wg_4_5"/>
      <w:bookmarkStart w:id="605" w:name="Tc_UG1mVvVS0UyqIWii-Sga1Q_4_2"/>
      <w:bookmarkStart w:id="606" w:name="Tc_vdnS4LrNBkWcD-I5ZVSLfw_4_0"/>
      <w:bookmarkStart w:id="607" w:name="Tc_D2l8xUVVs0SG3Ws6qUDHDA_3_5"/>
      <w:bookmarkStart w:id="608" w:name="Tc_lQDixMa4kUey3VoMVaKqhg_3_2"/>
      <w:bookmarkStart w:id="609" w:name="Tc_c8UhY5pXoEqAFHnHomepHA_2_2"/>
      <w:bookmarkStart w:id="610" w:name="Tc_0vZs85TnJUCucGgZv61WIA_1_2"/>
      <w:bookmarkStart w:id="611" w:name="_d59541ec_2947_4f6c_aeb2_93784d4f2363"/>
      <w:bookmarkStart w:id="612" w:name="Tc_H_2giW84A0GQLKYNdM-2Dg_40_5"/>
      <w:bookmarkStart w:id="613" w:name="Tc_W2UpB4-DgkWDvTBt2S-vqg_40_2"/>
      <w:bookmarkStart w:id="614" w:name="Tc_OVgaMkGnAU-90URS5yexUA_40_0"/>
      <w:bookmarkStart w:id="615" w:name="Tc_gR4y8S5J7kSu7L7Oqd85Ag_39_0"/>
      <w:bookmarkStart w:id="616" w:name="Tc_n82nWp-7uEuSDBlPY5sC1Q_37_5"/>
      <w:bookmarkStart w:id="617" w:name="Tc_YEdzYnwW00iADfYVOfHCnw_37_2"/>
      <w:bookmarkStart w:id="618" w:name="Tc__uO-bDg11E-NYYMe9VbIlA_37_0"/>
      <w:bookmarkStart w:id="619" w:name="Tc_jYTpvT3iwUWUC7zANRz4FQ_36_0"/>
      <w:bookmarkStart w:id="620" w:name="Tc_isp_F5WV90eA5dt3tAcaQA_34_0"/>
      <w:bookmarkStart w:id="621" w:name="Tc_DMdVGzrsO0KEXh37hjT5uA_32_0"/>
      <w:bookmarkStart w:id="622" w:name="Tc_ILJR7n7bHUelt60ClkWyxg_31_0"/>
      <w:bookmarkStart w:id="623" w:name="Tc_07c2Ehv6_kyuJh4VzoXR3A_30_6"/>
      <w:bookmarkStart w:id="624" w:name="Tc_UPiiZcyPWUG6MD-r7dZu_w_30_0"/>
      <w:bookmarkStart w:id="625" w:name="Tc_Z2SnmuczhUO1sc2NuYnqhA_29_3"/>
      <w:bookmarkStart w:id="626" w:name="Tc_LT1g-EL94UGvNJJ5o2ahsQ_29_0"/>
      <w:bookmarkStart w:id="627" w:name="Tc_1jdkUT_fvUu6NrQCWBcj6Q_28_3"/>
      <w:bookmarkStart w:id="628" w:name="Tc_TUuFEhxOYUyzDXJN93cOoQ_28_0"/>
      <w:bookmarkStart w:id="629" w:name="Tc_mzOyvnNcgkWSOk-1Dbg9Nw_27_3"/>
      <w:bookmarkStart w:id="630" w:name="Tc_wZ4Xph2GaEaP-e4LEKwi8g_27_0"/>
      <w:bookmarkStart w:id="631" w:name="Tc_1EuqqUHP1U6nJiZKg2DLMA_26_3"/>
      <w:bookmarkStart w:id="632" w:name="Tc_YI2EDf-6_0y3e3LV_7PJsQ_26_0"/>
      <w:bookmarkStart w:id="633" w:name="Tc_84h32Mqjy0mvGONj7OQfSQ_25_0"/>
      <w:bookmarkStart w:id="634" w:name="Tc_RpTh-nkbH0-jeh-wSkJymw_24_0"/>
      <w:bookmarkStart w:id="635" w:name="Tc_VTOqwEuWikSjqwN4aut7NQ_23_0"/>
      <w:bookmarkStart w:id="636" w:name="Tc_15m77VGjBEOBsyecSWG5rw_22_0"/>
      <w:bookmarkStart w:id="637" w:name="Tc_I54oE7LwE0C3KPL78UPJDQ_21_0"/>
      <w:bookmarkStart w:id="638" w:name="Tc_58JV5zFZrE-B47-BCPiTzw_20_0"/>
      <w:bookmarkStart w:id="639" w:name="Tc_31t8PgfFz0GBoge5y0UedQ_19_6"/>
      <w:bookmarkStart w:id="640" w:name="Tc_cnL29yEj7Ui--HVvMp7Obg_19_0"/>
      <w:bookmarkStart w:id="641" w:name="Tc_WlcAXjgHWUOzoFZhkolE8Q_18_0"/>
      <w:bookmarkStart w:id="642" w:name="Tc_Ap17-seHVEiyN7OdwK5jQA_17_0"/>
      <w:bookmarkStart w:id="643" w:name="Tc_KumRk65YVkOrBtI3vhgsLA_16_0"/>
      <w:bookmarkStart w:id="644" w:name="Tc_sHbDuokiQkyv1wPEkt1FJQ_15_6"/>
      <w:bookmarkStart w:id="645" w:name="Tc_S2TqG7lVR0CQBTmySG5Bzg_15_0"/>
      <w:bookmarkStart w:id="646" w:name="Tc_sBYPCZ5zekWoxWACOly1Ww_14_0"/>
      <w:bookmarkStart w:id="647" w:name="Tc_Xmthyg40qEqYOEZP2v997Q_13_0"/>
      <w:bookmarkStart w:id="648" w:name="Tc_21-l797tyEK2wh1O4G8z-w_12_0"/>
      <w:bookmarkStart w:id="649" w:name="Tc_ukrcfusEwUe8p5eUDfClAQ_11_6"/>
      <w:bookmarkStart w:id="650" w:name="Tc_AyvQophdN0OkV4sc4cTmsQ_11_0"/>
      <w:bookmarkStart w:id="651" w:name="Tc_Y7Ch5LFbukK2GbW1Pbuq1A_10_6"/>
      <w:bookmarkStart w:id="652" w:name="Tc_3urX7_V2IUSoUNqGNUq_Kg_10_0"/>
      <w:bookmarkStart w:id="653" w:name="Tc_yjV1Hvd2dEupXv1wAgLjHA_9_0"/>
      <w:bookmarkStart w:id="654" w:name="Tc_GVoFqMCZpUekcRWD0eG4PA_8_0"/>
      <w:bookmarkStart w:id="655" w:name="Tc_c7QSp_siokizSlUnffhnhw_7_0"/>
      <w:bookmarkStart w:id="656" w:name="Tc_WB9YK1byM0qj_KQpTpzzkw_6_0"/>
      <w:bookmarkStart w:id="657" w:name="Tc_2NMAAxNid0ucgK7v1PlCSA_5_0"/>
      <w:bookmarkStart w:id="658" w:name="Tc_meGaO61zJEGSxYl0uZj5wg_4_5"/>
      <w:bookmarkStart w:id="659" w:name="Tc_UG1mVvVS0UyqIWii-Sga1Q_4_2"/>
      <w:bookmarkStart w:id="660" w:name="Tc_vdnS4LrNBkWcD-I5ZVSLfw_4_0"/>
      <w:bookmarkStart w:id="661" w:name="Tc_D2l8xUVVs0SG3Ws6qUDHDA_3_5"/>
      <w:bookmarkStart w:id="662" w:name="Tc_lQDixMa4kUey3VoMVaKqhg_3_2"/>
      <w:bookmarkStart w:id="663" w:name="Tc_c8UhY5pXoEqAFHnHomepHA_2_2"/>
      <w:bookmarkStart w:id="664" w:name="Tc_0vZs85TnJUCucGgZv61WIA_1_2"/>
      <w:bookmarkStart w:id="665" w:name="_d59541ec_2947_4f6c_aeb2_93784d4f2363"/>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tbl>
      <w:tblPr>
        <w:tblW w:w="9455" w:type="dxa"/>
        <w:jc w:val="left"/>
        <w:tblInd w:w="0" w:type="dxa"/>
        <w:tblLayout w:type="fixed"/>
        <w:tblCellMar>
          <w:top w:w="0" w:type="dxa"/>
          <w:left w:w="0" w:type="dxa"/>
          <w:bottom w:w="0" w:type="dxa"/>
          <w:right w:w="0" w:type="dxa"/>
        </w:tblCellMar>
      </w:tblPr>
      <w:tblGrid>
        <w:gridCol w:w="6961"/>
        <w:gridCol w:w="109"/>
        <w:gridCol w:w="211"/>
        <w:gridCol w:w="796"/>
        <w:gridCol w:w="326"/>
        <w:gridCol w:w="211"/>
        <w:gridCol w:w="841"/>
      </w:tblGrid>
      <w:tr>
        <w:trPr/>
        <w:tc>
          <w:tcPr>
            <w:tcW w:w="6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420235" cy="175260"/>
                      <wp:effectExtent l="0" t="0" r="0" b="0"/>
                      <wp:wrapNone/>
                      <wp:docPr id="43" name="Frame43"/>
                      <a:graphic xmlns:a="http://schemas.openxmlformats.org/drawingml/2006/main">
                        <a:graphicData uri="http://schemas.microsoft.com/office/word/2010/wordprocessingShape">
                          <wps:wsp>
                            <wps:cNvSpPr txBox="1"/>
                            <wps:spPr>
                              <a:xfrm>
                                <a:off x="0" y="0"/>
                                <a:ext cx="442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4"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5460" cy="175260"/>
                      <wp:effectExtent l="0" t="0" r="0" b="0"/>
                      <wp:wrapNone/>
                      <wp:docPr id="46" name="Frame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34035" cy="175260"/>
                      <wp:effectExtent l="0" t="0" r="0" b="0"/>
                      <wp:wrapNone/>
                      <wp:docPr id="49" name="Frame4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6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(17,547)</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and debt discount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recorded as additional revenue interest obligation or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1,319</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Bad debt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Losses associated with viable bone matrix recall and market withdrawal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of FiberCel litigation costs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 and other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Obligations to tissue suppliers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liability for FiberCel litigation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(7,555)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(10,674)</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Expenditures for property, plant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(289)</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 issuance costs in connection with Private Placement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borrowings (repayments) under revolving line of credit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on revenue interest obligation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for taxes upon vesting of restricted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61" w:type="dxa"/>
            <w:tcBorders>
              <w:bottom w:val="single" w:sz="2" w:space="0" w:color="FFFFFF"/>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sales of common stock through Employee Stock Purchase Plan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(2,954)</w:t>
            </w:r>
          </w:p>
        </w:tc>
      </w:tr>
      <w:tr>
        <w:trPr/>
        <w:tc>
          <w:tcPr>
            <w:tcW w:w="6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(7,693)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(13,917)</w:t>
            </w:r>
          </w:p>
        </w:tc>
      </w:tr>
      <w:tr>
        <w:trPr/>
        <w:tc>
          <w:tcPr>
            <w:tcW w:w="6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restricted cash,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16,989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30,428</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restricted cash,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9,296</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16,511</w:t>
            </w:r>
          </w:p>
        </w:tc>
      </w:tr>
      <w:tr>
        <w:trPr/>
        <w:tc>
          <w:tcPr>
            <w:tcW w:w="69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69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and Non-Cash Financing Activities Disclosures: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6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1,162</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66" w:name="_0c609c78_40f8_414b_abb8_76e736a9c912"/>
      <w:bookmarkEnd w:id="666"/>
      <w:r>
        <w:rPr>
          <w:rFonts w:ascii="Times New Roman;Times;serif" w:hAnsi="Times New Roman;Times;serif"/>
          <w:b/>
          <w:sz w:val="20"/>
        </w:rPr>
        <w:t>AZIYO BIOLOGICS, INC.</w:t>
      </w:r>
    </w:p>
    <w:p>
      <w:pPr>
        <w:pStyle w:val="TextBody"/>
        <w:bidi w:val="0"/>
        <w:spacing w:before="0" w:after="240"/>
        <w:ind w:left="0" w:right="0" w:hanging="0"/>
        <w:jc w:val="center"/>
        <w:rPr>
          <w:rFonts w:ascii="Times New Roman;Times;serif" w:hAnsi="Times New Roman;Times;serif"/>
          <w:b/>
          <w:sz w:val="20"/>
        </w:rPr>
      </w:pPr>
      <w:bookmarkStart w:id="667" w:name="NOTESTOCONDENSEDCONSOLIDATEDFINANCIALSTA"/>
      <w:bookmarkEnd w:id="667"/>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Organization and Description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products span the device protection, women’s health, orthobiologics and cardiovascular markets. These products are primarily sold to healthcare providers or commercial partners. The Company also sells human tissue products under contract manufacturing and certain other arrangements with corporate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Liquidity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unaudited condensed consolidated financial statements have been prepared in accordance with accounting principles generally accepted in the United States of America (“GAAP”) for interim financial information and the instructions to Form 10-Q and Article 10 of Regulation S-X. Accordingly, they do not include all the information and footnotes required by GAAP for complete financial statements and should be read in conjunction with the Company’s consolidated financial statements and accompanying notes included in the Company's annual report on Form 10-K (“Annual Report”) for the fiscal year ended December 31, 2022. The financial information as of June 30, 2023 and for the three and six months ended June 30, 2023 and 2022 is unaudited, but in the opinion of management, all adjustments considered necessary for a fair statement of the results for these interim periods have been included.  The condensed consolidated balance sheet data as of December 31, 2022 was derived from audited financial statements but does not include all disclosures required by GAAP. The results of the Company’s operations for any interim period are not necessarily indicative of the results that may be expected for any other interim period or any future year or period.</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its wholly-owned subsidiaries. Intercompany accounts and transactions have been eliminated in consolidaton.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accordance with Accounting Standards Update (“ASU”) 2014-15, </w:t>
      </w:r>
      <w:r>
        <w:rPr>
          <w:rFonts w:ascii="Times New Roman;Times;serif" w:hAnsi="Times New Roman;Times;serif"/>
          <w:i/>
          <w:sz w:val="20"/>
        </w:rPr>
        <w:t>Disclosure of Uncertainties about an Entity’s Ability to Continue as a Going Concern (Subtopic 205-40)</w:t>
      </w:r>
      <w:r>
        <w:rPr>
          <w:rFonts w:ascii="Times New Roman;Times;serif" w:hAnsi="Times New Roman;Times;serif"/>
          <w:sz w:val="20"/>
        </w:rPr>
        <w:t>, the Company has evaluated whether there are conditions and events, considered in the aggregate, that raise substantial doubt about the Company’s ability to continue as a going concern within one year after the date that the consolidated financial statements are issued. For the six months ended June 30, 2023, the Company incurred a net loss of $18.6 million, and as of June 30, 2023, the Company had an accumulated deficit of $156.6 million. In addition, during the six months ended June 30, 2023, the Company used $7.6 million of cash in operating activities, and expects to continue to incur cash outflows during the remainder of 2023.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order to mitigate the current and potential future liquidity issues caused by the matters noted above, the Company may seek to raise capital through the issuance of common stock or debt, restructure its Revenue Interest Obligation (as such term is defined, and further described, in Note 7), or pursue asset sale or other transactions.  However, such transactions may not be successful and the Company may not be able to raise additional equity or debt, restructure its Revenue Interest Obligation, or sell or license assets on acceptable terms, or at all. As such, based on its current operating plans, the Company believes there is uncertainty as to whether its future cash flows along with its existing cash, issuances of additional equity and cash generated from expected future sales will be sufficient to meet the Company’s anticipated operating needs through twelve months from the financial statement issuance date. Due to these factors, there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is substantial doubt about the Company’s ability to continue as a going concern within one year after the issuance of the financial statements.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accompanying consolidated financial statements do not include any adjustments that might result from the outcome of this uncertainty. That is, the accompanying financial statements have been prepared assuming that the Company will continue as a going concern, which contemplates continuity of operations, realization of assets, and satisfaction of liabilities in the ordinary course of business.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firstLine="720"/>
        <w:jc w:val="both"/>
        <w:rPr>
          <w:rFonts w:ascii="Times New Roman;Times;serif" w:hAnsi="Times New Roman;Times;serif"/>
          <w:sz w:val="18"/>
        </w:rPr>
      </w:pPr>
      <w:r>
        <w:rPr>
          <w:rFonts w:ascii="Times New Roman;Times;serif" w:hAnsi="Times New Roman;Times;serif"/>
          <w:sz w:val="20"/>
        </w:rPr>
        <w:t>Certain reclassifications have been made to prior year amounts to conform to current year financial statement presentation. The reclassifications relate to the separate presentation of prior year costs related to the FiberCel Litigation. Such costs were formerly shown as a component of general and administrative expenses in the accompanying consolidated statements of operations. Additionally, the Company determined in its fourth quarter of 2022 that its operating and reportable segments are consistent with its major product groupings – Device Protection, Women’s Health, Orthobiologics and Cardiovascular. Segment results for the three and six months ended June 30, 2022, have been recasted to conform to the new segment</w:t>
      </w:r>
      <w:r>
        <w:rPr>
          <w:rFonts w:ascii="Times New Roman;Times;serif" w:hAnsi="Times New Roman;Times;serif"/>
          <w:color w:val="333333"/>
          <w:sz w:val="18"/>
        </w:rPr>
        <w:t xml:space="preserve"> </w:t>
      </w:r>
      <w:r>
        <w:rPr>
          <w:rFonts w:ascii="Times New Roman;Times;serif" w:hAnsi="Times New Roman;Times;serif"/>
          <w:sz w:val="20"/>
        </w:rPr>
        <w:t>presentation. Refer to the Segment Information in Note 10.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revenue interest obligation, the contingent liability for the FiberCel Litigation and deferred income taxes are made at the end of each financial reporting period by management. Management continually re-evaluates its estimates, judgments and assumptions, and management's evaluation could change.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common stock has a dual class structure, consisting of Class A common stock, $0.001 par value per share (the “Class A common stock”) and Class B common stock, $0.001 par value per share (the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stock options, restricted stock units (“RSUs”) and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Level 1 - </w:t>
      </w:r>
      <w:r>
        <w:rPr>
          <w:rFonts w:ascii="Times New Roman;Times;serif" w:hAnsi="Times New Roman;Times;serif"/>
          <w:sz w:val="20"/>
        </w:rPr>
        <w:t>Valuations based on quoted prices for identical assets and liabilities in active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Level 2 - </w:t>
      </w:r>
      <w:r>
        <w:rPr>
          <w:rFonts w:ascii="Times New Roman;Times;serif" w:hAnsi="Times New Roman;Times;serif"/>
          <w:sz w:val="20"/>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668" w:name="Tc__3d1xOdv80OApeCksrKlCA_3_0"/>
      <w:bookmarkStart w:id="669" w:name="Tc_z5AlIRMFJkCHTaLx_RifAw_2_2"/>
      <w:bookmarkStart w:id="670" w:name="Tc_NW9-N43Zhkqe7dAb2IdB-g_2_0"/>
      <w:bookmarkStart w:id="671" w:name="Tc_rV_pAdD00Eauj3vvWZBDcQ_1_2"/>
      <w:bookmarkStart w:id="672" w:name="Tc_Krmae9c2FUWeW8FuHJIArQ_1_0"/>
      <w:bookmarkStart w:id="673" w:name="_a2a76c7b_f3f8_4d6f_b4fc_5ffc7ac3ca72"/>
      <w:bookmarkEnd w:id="668"/>
      <w:bookmarkEnd w:id="669"/>
      <w:bookmarkEnd w:id="670"/>
      <w:bookmarkEnd w:id="671"/>
      <w:bookmarkEnd w:id="672"/>
      <w:bookmarkEnd w:id="673"/>
      <w:r>
        <w:rPr>
          <w:rFonts w:ascii="Times New Roman;Times;serif" w:hAnsi="Times New Roman;Times;serif"/>
          <w:b/>
          <w:sz w:val="20"/>
        </w:rPr>
        <w:t>Level 3 - </w:t>
      </w:r>
      <w:r>
        <w:rPr>
          <w:rFonts w:ascii="Times New Roman;Times;serif" w:hAnsi="Times New Roman;Times;serif"/>
          <w:sz w:val="20"/>
        </w:rPr>
        <w:t>Valuations based on unobservable inputs reflecting the Company’s own assumptions, consistent with reasonably available assumptions made by other market participants. These valuations require significant judgment.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maintains its cash balances at banks and financial institutions. The balances are insured up to the legal limit. The Company maintains cash balances that may, at times, exceed this insured limit.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and Allowances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in the accompanying balance sheets are presented net of allowances for credit losses. The Company grants credit to customers in the normal course of business, but generally does not require collateral or any other security to support its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credit losses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Inventory, consisting of purchased materials, direct labor and manufacturing overhead, is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inventory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Depreciation is computed on the straight-line method over the following estimated useful lives of the assets:</w:t>
      </w:r>
    </w:p>
    <w:p>
      <w:pPr>
        <w:pStyle w:val="TextBody"/>
        <w:bidi w:val="0"/>
        <w:spacing w:before="0" w:after="240"/>
        <w:ind w:left="0" w:right="0" w:firstLine="720"/>
        <w:jc w:val="both"/>
        <w:rPr/>
      </w:pPr>
      <w:r>
        <w:rPr/>
        <w:t>​</w:t>
      </w:r>
    </w:p>
    <w:tbl>
      <w:tblPr>
        <w:tblW w:w="4468" w:type="dxa"/>
        <w:jc w:val="left"/>
        <w:tblInd w:w="0" w:type="dxa"/>
        <w:tblLayout w:type="fixed"/>
        <w:tblCellMar>
          <w:top w:w="0" w:type="dxa"/>
          <w:left w:w="0" w:type="dxa"/>
          <w:bottom w:w="0" w:type="dxa"/>
          <w:right w:w="0" w:type="dxa"/>
        </w:tblCellMar>
      </w:tblPr>
      <w:tblGrid>
        <w:gridCol w:w="2956"/>
        <w:gridCol w:w="326"/>
        <w:gridCol w:w="1186"/>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877060" cy="175260"/>
                      <wp:effectExtent l="0" t="0" r="0" b="0"/>
                      <wp:wrapNone/>
                      <wp:docPr id="50" name="Frame50"/>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53110" cy="175260"/>
                      <wp:effectExtent l="0" t="0" r="0" b="0"/>
                      <wp:wrapNone/>
                      <wp:docPr id="52" name="Frame5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Processing and research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 to 10 years</w:t>
            </w:r>
          </w:p>
        </w:tc>
      </w:tr>
      <w:tr>
        <w:trPr/>
        <w:tc>
          <w:tcPr>
            <w:tcW w:w="29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equipment and furniture</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 to 5 years</w:t>
            </w:r>
          </w:p>
        </w:tc>
      </w:tr>
      <w:tr>
        <w:trPr/>
        <w:tc>
          <w:tcPr>
            <w:tcW w:w="29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hardware and software</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years</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Leasehold improvements are amortized on the straight-line method over the shorter of the lease term or the estimated useful life of the asset. Repairs and maintenance costs are expensed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2016, the FASB issued ASU No 2016-02 “Leases” to increase the transparency and comparability about leases among entities. ASU 2016-02 and certain additional ASUs are now codified as Accounting Standards Codification Standard 842 - “Leases” (“ASC 842”). ASC 842 supersedes the lease accounting guidance in Accounting Standards Codification 840 “Leases” (“ASC 840”) and requires lessees to recognize a lease liability and a corresponding lease asset for virtually all lease contracts. The Company determines if an arrangement contains a lease at inception. Right-of-use (“ROU”) assets represent the Company’s right to use an underlying asset for the lease term and lease liabilities represent the Company’s obligation to make lease payments arising from that lease. For leases with a term greater than 12 months, ROU assets and liabilities are recognized at the lease commencement date based on the estimated present value of lease payments over the lease term. The lease term includes the option to extend the lease when it is reasonably certain the Company will exercise that option. When available, the Company uses the rate implicit in the lease to discount lease payments to present value. In the case the implicit rate is not available, the Company uses its incremental borrowing rate based on information available at the lease commencement date, including publicly available data for instruments with similar characteristics, to determine the present value of lease payments. The Company combines lease and non-lease elements for office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Purchased intangible assets with finite lives are carried at acquired fair value, less accumulated amortization. Amortization is computed over the estimated useful lives of the respective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three and six months ended June 30, 2023 or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noted above, the Company enters into contracts to primarily (i) sell and distribute products to healthcare providers or commercial partners, or (ii) produce and sell products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portion of the Company’s product revenue is generated from consigned inventory maintained at hospitals and from inventory physically held by distributors and direct sales representatives. For these types of products sales, the Company retains control until the product has been used or implanted, at which time revenue is recognized.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w:t>
      </w:r>
      <w:r>
        <w:rPr>
          <w:rFonts w:ascii="Times New Roman;Times;serif" w:hAnsi="Times New Roman;Times;serif"/>
          <w:b w:val="false"/>
          <w:i w:val="false"/>
          <w:caps w:val="false"/>
          <w:smallCaps w:val="false"/>
          <w:sz w:val="20"/>
        </w:rPr>
        <w:t>30</w:t>
      </w:r>
      <w:r>
        <w:rPr>
          <w:rFonts w:ascii="Times New Roman;Times;serif" w:hAnsi="Times New Roman;Times;serif"/>
          <w:sz w:val="20"/>
        </w:rPr>
        <w:t xml:space="preserve"> to 60 days of delivery. The Company, at times, extends volume discounts to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accounts for its stock-based compensation plans in accordance with FASB ASC 718, </w:t>
      </w:r>
      <w:r>
        <w:rPr>
          <w:rFonts w:ascii="Times New Roman;Times;serif" w:hAnsi="Times New Roman;Times;serif"/>
          <w:i/>
          <w:sz w:val="20"/>
        </w:rPr>
        <w:t>Accounting for Stock Compensation</w:t>
      </w:r>
      <w:r>
        <w:rPr>
          <w:rFonts w:ascii="Times New Roman;Times;serif" w:hAnsi="Times New Roman;Times;serif"/>
          <w:sz w:val="20"/>
        </w:rPr>
        <w:t>. FASB ASC 718 requires the measurement and recognition of compensation expense for all stock-based awards made 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costs, which include mainly salaries, outside services and supplies, are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Financial instruments that potentially subject the Company to significant concentrations of credit risk consist primarily of cash. At June 30, 2023, the Company maintained $9.3 million in bank deposit accounts that are in excess of the $0.25 million insurance provided by the Federal Deposit Insurance Corporation in one federally insured financial institution. Market conditions can impact the viability of these institutions. In the event of failure of any of the financial institutions where we maintain our cash, the Company could lose its deposits in excess of the federally insured or protected amounts and there can be no assurance that we will be able to access uninsured funds in a timely manner or at all. The Company has not experienced any losses in such accounts.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June 19, 2023, Surgalign Holdings, Inc. (“Surgalign”) and certain of its direct and indirect subsidiaries commenced voluntary proceedings under chapter 11 of the United States Bankruptcy Code in the United States Bankruptcy Court for the Southern District of Texas. The percentage of the Company’s total revenues derived from Surgalign was 10% during the three and six months ended June 30, 2023 and 2022. As of June 30, 2023, the Company’s gross accounts receivable from Surgalign totaled $1.1 million, of which $0.8 million has been reserved at June 30, 2023 due to the uncertainty of collection.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Comprehensive Income (Loss)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Comprehensive income (loss) comprises net income (loss) and other changes in equity that are excluded from net income (loss). For the three and six months ended June 30, 2023 and 2022, the Company’s net loss equaled its comprehensive loss and accordingly, no additional disclosure is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Recently Issued Accounting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2016, the FASB issued ASU 2016-13, Financial Instruments – Credit Losses (Topic 326): Disclosure Framework – Measurement of Credit Losses on Financial Instruments, which requires financial assets measured at amortized cost, including trade receivables, be presented net of the amount expected to be collected. The measurement of all expected credit losses is based on relevant information about the credit quality of customers, past events, including historical experience, and reasonable and supportable forecasts that affect the collectability of the reported amount. In October 2019, the FASB voted to approve a proposal to defer the effective date of ASC 2016-13 for certain entities, including emerging growth companies that take advantage of the extended transition period, to fiscal years beginning after December 15, 2022. This ASU was effective for the Company beginning on January 1, 2023 and did not have a material impact on our condensed consolidated Financial Statements. The Company adopted this ASU using the modified retrospective transition method. Under this transition method, the new standard is applied from January 1, 2023 without restatement of comparative period amounts. The impact of transitioning to the new standard was immaterial and no adjustment was recorded to retained earnings for the cumulative effect of adopting this ASU on January 1, 2023. Results for reporting periods beginning after January 1, 2023 are presented under Topic 326 while prior period amounts continue to be reported in accordance with previously applicable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Stock-Based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2015, the Company established the Aziyo Biologics, Inc. 2015 Stock Option/Stock Issuance Plan, as amended (the “2015 Plan”) which provided for the granting of incentive and non-qualified stock options to employees, directors and consultants of the Company. On October 7, 2020, the Company adopted the Aziyo Biologics, Inc. 2020 Incentive Award Plan, which was amended and restated on June 8, 2023 (the “2020 Plan”). The 2020 Plan authorizes the grant of incentive and non-qualified stock options, restricted stock, restricted stock units and stock appreciation rights to employees, directors and consultants.  Shares of Class A common stock totaling 3,636,000 have been reserved for issuance under the 2020 Plan. In addition, the shares reserved for issuance under the 2020 Plan also include shares reserved but not issued under the 2015 Plan as well as an annual increase as set forth in the 2020 Plan. As of June 30, 2023, the Company had 3,308,997 shares of Class A common stock available for issuance under the 2020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June 21, 2022, C. Randa</w:t>
      </w:r>
      <w:r>
        <w:rPr>
          <w:rFonts w:ascii="Times New Roman;Times;serif" w:hAnsi="Times New Roman;Times;serif"/>
          <w:sz w:val="20"/>
          <w:shd w:fill="FFFFFF" w:val="clear"/>
        </w:rPr>
        <w:t xml:space="preserve">l Mills, Ph.D., a member of the Board of Directors (the “Board”) of the Company, was appointed as the Company’s Interim President and Chief Executive Officer, succeeding Ronald Lloyd, who stepped down as the Company’s President and Chief Executive Officer and as a member of the Board. </w:t>
      </w:r>
      <w:r>
        <w:rPr>
          <w:rFonts w:ascii="Times New Roman;Times;serif" w:hAnsi="Times New Roman;Times;serif"/>
          <w:sz w:val="20"/>
        </w:rPr>
        <w:t xml:space="preserve">In connection with his appointment as the Interim President and Chief Executive Officer, Dr. Mills and the Company entered into an employment agreement for an initial term of 90 days (such period, the “Interim Period”).  On August 9, 2022, Dr. Mills was appointed to the role of President and Chief Executive Officer of the Company, thereby ending the Interim Period, and his employment agreement was extended pursuant to the terms thereof. In accordance with the terms of his employment agreement, Dr. Mills (1) received a stock option award to purchase 456,278 shares of Class A common stock of the Company (the “Option Grant”) on June 21, 2022; </w:t>
      </w:r>
      <w:r>
        <w:rPr>
          <w:rFonts w:ascii="Times New Roman;Times;serif" w:hAnsi="Times New Roman;Times;serif"/>
          <w:b w:val="false"/>
          <w:i w:val="false"/>
          <w:caps w:val="false"/>
          <w:smallCaps w:val="false"/>
          <w:sz w:val="20"/>
        </w:rPr>
        <w:t>three-fifths</w:t>
      </w:r>
      <w:r>
        <w:rPr>
          <w:rFonts w:ascii="Times New Roman;Times;serif" w:hAnsi="Times New Roman;Times;serif"/>
          <w:sz w:val="20"/>
        </w:rPr>
        <w:t xml:space="preserve"> of such Option Grant is subject to time-based vesting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674" w:name="Tc_6Jar8b4y2EuIWd243TYYzA_12_11"/>
      <w:bookmarkStart w:id="675" w:name="Tc_63xIHJiJc0eoWx6aq65ZsQ_12_10"/>
      <w:bookmarkStart w:id="676" w:name="Tc_1cujiuWOUEy_2sBYSRpohg_12_4"/>
      <w:bookmarkStart w:id="677" w:name="Tc_GxD8k_Dt80yjaYR2muKeYw_12_0"/>
      <w:bookmarkStart w:id="678" w:name="Tc_s-RCaC3KIU-oj86S0aaJjg_11_11"/>
      <w:bookmarkStart w:id="679" w:name="Tc_Q1FS7dcPQ0GxFHKa2wnrtQ_11_10"/>
      <w:bookmarkStart w:id="680" w:name="Tc_Gl_PNaSSBEOXWnnJxXy3cg_11_4"/>
      <w:bookmarkStart w:id="681" w:name="Tc_PJIrKNPgyE6Rnc1aunUGWg_11_0"/>
      <w:bookmarkStart w:id="682" w:name="Tc_fg4FTk70TUeJAu_76slXcw_10_4"/>
      <w:bookmarkStart w:id="683" w:name="Tc__Nh8DU8QmkKgw2-lmBT1zA_10_0"/>
      <w:bookmarkStart w:id="684" w:name="Tc_9enz43Oo9k67IAhW_7vT0A_9_5"/>
      <w:bookmarkStart w:id="685" w:name="Tc_DQgB_XZPfUWcwQ_hoU2Vcg_9_4"/>
      <w:bookmarkStart w:id="686" w:name="Tc_Fv-DLOZhTUaxNe1xdLlRLQ_9_2"/>
      <w:bookmarkStart w:id="687" w:name="Tc_57eyBF4XyE2hQZSEyq1AoQ_9_0"/>
      <w:bookmarkStart w:id="688" w:name="Tc_v7yOkpAXzE-2TefahPOp3w_8_4"/>
      <w:bookmarkStart w:id="689" w:name="Tc_x1QuQ6sMW0m8rgFjJPY0Pw_8_0"/>
      <w:bookmarkStart w:id="690" w:name="Tc_BNzgdVYDD0yyQT9E1CfREg_7_10"/>
      <w:bookmarkStart w:id="691" w:name="Tc_SyWNJLTHSE-BdjXVZnHl-A_7_4"/>
      <w:bookmarkStart w:id="692" w:name="Tc_MkeuuTLSMkOluS3gsZiDFA_7_0"/>
      <w:bookmarkStart w:id="693" w:name="Tc_Ebdttda-AUy6iL-hKSfEng_6_10"/>
      <w:bookmarkStart w:id="694" w:name="Tc_RKe750tz70qp_og3bOkWeQ_6_7"/>
      <w:bookmarkStart w:id="695" w:name="Tc_AH5Y3qfhYk6kJlaSVL5wcg_6_4"/>
      <w:bookmarkStart w:id="696" w:name="Tc_3OsM1fi_e0et1VTBXzdkxQ_6_2"/>
      <w:bookmarkStart w:id="697" w:name="Tc_dfcoJvii2UapxRG11YeGXg_5_10"/>
      <w:bookmarkStart w:id="698" w:name="Tc_Xl88ggNa_Uyt3MiKGr5eug_5_7"/>
      <w:bookmarkStart w:id="699" w:name="Tc_WKZdbWRqskePiXaTF1nkkA_5_4"/>
      <w:bookmarkStart w:id="700" w:name="Tc_hgxMz8bHKku-i8LaimKwVw_4_10"/>
      <w:bookmarkStart w:id="701" w:name="Tc_kYmqbUo4yEacqeCmlXGxCA_4_7"/>
      <w:bookmarkStart w:id="702" w:name="Tc_J5ahCKuMXEK28V9gHGiIRg_4_4"/>
      <w:bookmarkStart w:id="703" w:name="Tc_SDcXLZCtuECEqIqkI_8oBQ_3_10"/>
      <w:bookmarkStart w:id="704" w:name="Tc_oE6CYyJcO0CZTpZbIUuDOA_3_7"/>
      <w:bookmarkStart w:id="705" w:name="Tc_VVNHpaz-gk-zxtBRowd94Q_3_4"/>
      <w:bookmarkStart w:id="706" w:name="Tc_WyUoaQbLd0md2AVT46dK-g_2_7"/>
      <w:bookmarkStart w:id="707" w:name="Tc_dPPeYOeTZUquvcyBmnocUQ_1_7"/>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t>“</w:t>
      </w:r>
      <w:r>
        <w:rPr>
          <w:rFonts w:ascii="Times New Roman;Times;serif" w:hAnsi="Times New Roman;Times;serif"/>
          <w:sz w:val="20"/>
        </w:rPr>
        <w:t xml:space="preserve">Time-Based Options”) and </w:t>
      </w:r>
      <w:r>
        <w:rPr>
          <w:rFonts w:ascii="Times New Roman;Times;serif" w:hAnsi="Times New Roman;Times;serif"/>
          <w:b w:val="false"/>
          <w:i w:val="false"/>
          <w:caps w:val="false"/>
          <w:smallCaps w:val="false"/>
          <w:sz w:val="20"/>
        </w:rPr>
        <w:t>two-fifths</w:t>
      </w:r>
      <w:r>
        <w:rPr>
          <w:rFonts w:ascii="Times New Roman;Times;serif" w:hAnsi="Times New Roman;Times;serif"/>
          <w:sz w:val="20"/>
        </w:rPr>
        <w:t xml:space="preserve"> of such Option Grant is subject to performance-based vesting (the “Performance Based Options”) and (2) is eligible to receive 224,734 restricted stock units (the “RSU Grant”); </w:t>
      </w:r>
      <w:r>
        <w:rPr>
          <w:rFonts w:ascii="Times New Roman;Times;serif" w:hAnsi="Times New Roman;Times;serif"/>
          <w:b w:val="false"/>
          <w:i w:val="false"/>
          <w:caps w:val="false"/>
          <w:smallCaps w:val="false"/>
          <w:sz w:val="20"/>
        </w:rPr>
        <w:t>three-fifths</w:t>
      </w:r>
      <w:r>
        <w:rPr>
          <w:rFonts w:ascii="Times New Roman;Times;serif" w:hAnsi="Times New Roman;Times;serif"/>
          <w:sz w:val="20"/>
        </w:rPr>
        <w:t xml:space="preserve"> of such RSU Grant is subject to time-based vesting (the “Time-Based RSUs”) and </w:t>
      </w:r>
      <w:r>
        <w:rPr>
          <w:rFonts w:ascii="Times New Roman;Times;serif" w:hAnsi="Times New Roman;Times;serif"/>
          <w:b w:val="false"/>
          <w:i w:val="false"/>
          <w:caps w:val="false"/>
          <w:smallCaps w:val="false"/>
          <w:sz w:val="20"/>
        </w:rPr>
        <w:t>two-fifths</w:t>
      </w:r>
      <w:r>
        <w:rPr>
          <w:rFonts w:ascii="Times New Roman;Times;serif" w:hAnsi="Times New Roman;Times;serif"/>
          <w:sz w:val="20"/>
        </w:rPr>
        <w:t xml:space="preserve"> of such RSU Grant is subject to performance-based vesting (the “Performance-Based RSUs”).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of the Time-Based Options vested on </w:t>
      </w:r>
      <w:r>
        <w:rPr>
          <w:rFonts w:ascii="Times New Roman;Times;serif" w:hAnsi="Times New Roman;Times;serif"/>
          <w:b w:val="false"/>
          <w:i w:val="false"/>
          <w:caps w:val="false"/>
          <w:smallCaps w:val="false"/>
          <w:sz w:val="20"/>
        </w:rPr>
        <w:t>August 9, 2022</w:t>
      </w:r>
      <w:r>
        <w:rPr>
          <w:rFonts w:ascii="Times New Roman;Times;serif" w:hAnsi="Times New Roman;Times;serif"/>
          <w:sz w:val="20"/>
        </w:rPr>
        <w:t xml:space="preserve"> (end of  the Interim Period), and </w:t>
      </w:r>
      <w:r>
        <w:rPr>
          <w:rFonts w:ascii="Times New Roman;Times;serif" w:hAnsi="Times New Roman;Times;serif"/>
          <w:b w:val="false"/>
          <w:i w:val="false"/>
          <w:caps w:val="false"/>
          <w:smallCaps w:val="false"/>
          <w:sz w:val="20"/>
        </w:rPr>
        <w:t>two-thirds</w:t>
      </w:r>
      <w:r>
        <w:rPr>
          <w:rFonts w:ascii="Times New Roman;Times;serif" w:hAnsi="Times New Roman;Times;serif"/>
          <w:sz w:val="20"/>
        </w:rPr>
        <w:t xml:space="preserve"> of the Time-Based Options vest over a four-year vesting schedule with 25% vesting on the first anniversary of June 21, 2022 and the remaining portion vesting in twelve equal quarterly installments. </w:t>
      </w:r>
      <w:r>
        <w:rPr>
          <w:rFonts w:ascii="Times New Roman;Times;serif" w:hAnsi="Times New Roman;Times;serif"/>
          <w:b w:val="false"/>
          <w:i w:val="false"/>
          <w:caps w:val="false"/>
          <w:smallCaps w:val="false"/>
          <w:sz w:val="20"/>
        </w:rPr>
        <w:t>One-third</w:t>
      </w:r>
      <w:r>
        <w:rPr>
          <w:rFonts w:ascii="Times New Roman;Times;serif" w:hAnsi="Times New Roman;Times;serif"/>
          <w:sz w:val="20"/>
        </w:rPr>
        <w:t xml:space="preserve"> of the Time-Based RSUs vest on the </w:t>
      </w:r>
      <w:r>
        <w:rPr>
          <w:rFonts w:ascii="Times New Roman;Times;serif" w:hAnsi="Times New Roman;Times;serif"/>
          <w:b w:val="false"/>
          <w:i w:val="false"/>
          <w:caps w:val="false"/>
          <w:smallCaps w:val="false"/>
          <w:sz w:val="20"/>
        </w:rPr>
        <w:t>grant date</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two-thirds</w:t>
      </w:r>
      <w:r>
        <w:rPr>
          <w:rFonts w:ascii="Times New Roman;Times;serif" w:hAnsi="Times New Roman;Times;serif"/>
          <w:sz w:val="20"/>
        </w:rPr>
        <w:t xml:space="preserve"> of the Time-Based RSUs vest over a four-year vesting schedule in equal annual installments. The Performance-Based Options and Performance-Based RSUs each vest in equal installments upon the achievement of certain share price thresholds for </w:t>
      </w:r>
      <w:r>
        <w:rPr>
          <w:rFonts w:ascii="Times New Roman;Times;serif" w:hAnsi="Times New Roman;Times;serif"/>
          <w:b w:val="false"/>
          <w:i w:val="false"/>
          <w:caps w:val="false"/>
          <w:smallCaps w:val="false"/>
          <w:sz w:val="20"/>
        </w:rPr>
        <w:t>twenty</w:t>
      </w:r>
      <w:r>
        <w:rPr>
          <w:rFonts w:ascii="Times New Roman;Times;serif" w:hAnsi="Times New Roman;Times;serif"/>
          <w:sz w:val="20"/>
        </w:rPr>
        <w:t xml:space="preserve"> consecutive days of trading at each respective threshold. Pursuant to the terms of the employment agreement, all of these awards were deemed granted on June 21, 2022, for purposes of and in accordance with ASC 718, </w:t>
      </w:r>
      <w:r>
        <w:rPr>
          <w:rFonts w:ascii="Times New Roman;Times;serif" w:hAnsi="Times New Roman;Times;serif"/>
          <w:i/>
          <w:sz w:val="20"/>
        </w:rPr>
        <w:t>Accounting for Stock Based Compensation</w:t>
      </w:r>
      <w:r>
        <w:rPr>
          <w:rFonts w:ascii="Times New Roman;Times;serif" w:hAnsi="Times New Roman;Times;serif"/>
          <w:sz w:val="20"/>
        </w:rPr>
        <w:t xml:space="preserve">; however, the  RSUs were not legally granted until April 2023 and the vested shares underlying the award were not deemed outstanding until such time. </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policy is to grant stock options at an exercise price equal to 100% of the market value of a share of Class A common stock at closing on the date of the grant. The Company’s stock options generally have contractual terms of ten years and vest over a four-year period from the date of grant.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summary of stock option activity under the Company’s 2015 Plan and 2020 Plan for the six months ended June 30, 2023 is as follows:</w:t>
      </w:r>
    </w:p>
    <w:p>
      <w:pPr>
        <w:pStyle w:val="TextBody"/>
        <w:bidi w:val="0"/>
        <w:spacing w:before="0" w:after="240"/>
        <w:ind w:left="0" w:right="0" w:firstLine="720"/>
        <w:jc w:val="both"/>
        <w:rPr/>
      </w:pPr>
      <w:r>
        <w:rPr/>
        <w:t>​</w:t>
      </w:r>
    </w:p>
    <w:tbl>
      <w:tblPr>
        <w:tblW w:w="8942" w:type="dxa"/>
        <w:jc w:val="left"/>
        <w:tblInd w:w="0" w:type="dxa"/>
        <w:tblLayout w:type="fixed"/>
        <w:tblCellMar>
          <w:top w:w="0" w:type="dxa"/>
          <w:left w:w="0" w:type="dxa"/>
          <w:bottom w:w="0" w:type="dxa"/>
          <w:right w:w="0" w:type="dxa"/>
        </w:tblCellMar>
      </w:tblPr>
      <w:tblGrid>
        <w:gridCol w:w="3211"/>
        <w:gridCol w:w="326"/>
        <w:gridCol w:w="1411"/>
        <w:gridCol w:w="326"/>
        <w:gridCol w:w="230"/>
        <w:gridCol w:w="625"/>
        <w:gridCol w:w="326"/>
        <w:gridCol w:w="228"/>
        <w:gridCol w:w="763"/>
        <w:gridCol w:w="326"/>
        <w:gridCol w:w="501"/>
        <w:gridCol w:w="669"/>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38985" cy="175260"/>
                      <wp:effectExtent l="0" t="0" r="0" b="0"/>
                      <wp:wrapNone/>
                      <wp:docPr id="53" name="Frame53"/>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895985" cy="175260"/>
                      <wp:effectExtent l="0" t="0" r="0" b="0"/>
                      <wp:wrapNone/>
                      <wp:docPr id="55" name="Frame5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46050" cy="175260"/>
                      <wp:effectExtent l="0" t="0" r="0" b="0"/>
                      <wp:wrapNone/>
                      <wp:docPr id="57" name="Frame5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96875" cy="175260"/>
                      <wp:effectExtent l="0" t="0" r="0" b="0"/>
                      <wp:wrapNone/>
                      <wp:docPr id="58" name="Frame58"/>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4780" cy="175260"/>
                      <wp:effectExtent l="0" t="0" r="0" b="0"/>
                      <wp:wrapNone/>
                      <wp:docPr id="60" name="Frame6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84505" cy="175260"/>
                      <wp:effectExtent l="0" t="0" r="0" b="0"/>
                      <wp:wrapNone/>
                      <wp:docPr id="61" name="Frame61"/>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18135" cy="175260"/>
                      <wp:effectExtent l="0" t="0" r="0" b="0"/>
                      <wp:wrapNone/>
                      <wp:docPr id="63" name="Frame63"/>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24815" cy="175260"/>
                      <wp:effectExtent l="0" t="0" r="0" b="0"/>
                      <wp:wrapNone/>
                      <wp:docPr id="64" name="Frame64"/>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pPr>
            <w:r>
              <w:rPr/>
              <w:t>​</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Aggregate </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Intrinsic </w:t>
            </w:r>
          </w:p>
        </w:tc>
      </w:tr>
      <w:tr>
        <w:trPr/>
        <w:tc>
          <w:tcPr>
            <w:tcW w:w="32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1"/>
              <w:ind w:left="0" w:right="0" w:hanging="0"/>
              <w:jc w:val="left"/>
              <w:rPr/>
            </w:pPr>
            <w:r>
              <w:rPr/>
              <w:t>    </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211"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left"/>
              <w:rPr/>
            </w:pPr>
            <w:r>
              <w:rPr/>
              <w:t>​</w:t>
            </w:r>
          </w:p>
        </w:tc>
        <w:tc>
          <w:tcPr>
            <w:tcW w:w="8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1,864,739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9.41</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 </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157,500</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pPr>
            <w:r>
              <w:rPr/>
              <w:t>​</w:t>
            </w:r>
          </w:p>
        </w:tc>
      </w:tr>
      <w:tr>
        <w:trPr/>
        <w:tc>
          <w:tcPr>
            <w:tcW w:w="3211" w:type="dxa"/>
            <w:tcBorders>
              <w:bottom w:val="single" w:sz="2" w:space="0" w:color="FFFFFF"/>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2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(355,690)</w:t>
            </w:r>
          </w:p>
        </w:tc>
        <w:tc>
          <w:tcPr>
            <w:tcW w:w="32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bottom w:val="single" w:sz="2" w:space="0" w:color="FFFFFF"/>
            </w:tcBorders>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501" w:type="dxa"/>
            <w:tcBorders>
              <w:bottom w:val="single" w:sz="2" w:space="0" w:color="FFFFFF"/>
            </w:tcBorders>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FFFFFF"/>
            </w:tcBorders>
            <w:tcMar>
              <w:bottom w:w="28" w:type="dxa"/>
            </w:tcMar>
            <w:vAlign w:val="center"/>
          </w:tcPr>
          <w:p>
            <w:pPr>
              <w:pStyle w:val="TableContents"/>
              <w:bidi w:val="0"/>
              <w:spacing w:before="0" w:after="1"/>
              <w:ind w:left="0" w:right="0" w:hanging="0"/>
              <w:jc w:val="right"/>
              <w:rPr/>
            </w:pPr>
            <w:r>
              <w:rPr/>
              <w:t>​</w:t>
            </w:r>
          </w:p>
        </w:tc>
      </w:tr>
      <w:tr>
        <w:trPr/>
        <w:tc>
          <w:tcPr>
            <w:tcW w:w="3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1,666,549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1"/>
              <w:ind w:left="0" w:right="0" w:hanging="0"/>
              <w:jc w:val="left"/>
              <w:rPr/>
            </w:pPr>
            <w:r>
              <w:rPr/>
              <w:t>​</w:t>
            </w:r>
          </w:p>
        </w:tc>
        <w:tc>
          <w:tcPr>
            <w:tcW w:w="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exercisable, June 30, 2023</w:t>
            </w:r>
          </w:p>
        </w:tc>
        <w:tc>
          <w:tcPr>
            <w:tcW w:w="326" w:type="dxa"/>
            <w:tcBorders/>
            <w:vAlign w:val="center"/>
          </w:tcPr>
          <w:p>
            <w:pPr>
              <w:pStyle w:val="TableContents"/>
              <w:bidi w:val="0"/>
              <w:spacing w:before="0" w:after="1"/>
              <w:ind w:left="0" w:right="0" w:hanging="0"/>
              <w:jc w:val="left"/>
              <w:rPr/>
            </w:pPr>
            <w:r>
              <w:rPr/>
              <w:t>​</w:t>
            </w:r>
          </w:p>
        </w:tc>
        <w:tc>
          <w:tcPr>
            <w:tcW w:w="14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704,485</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9.85</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vAlign w:val="center"/>
          </w:tcPr>
          <w:p>
            <w:pPr>
              <w:pStyle w:val="TableContents"/>
              <w:bidi w:val="0"/>
              <w:spacing w:before="0" w:after="1"/>
              <w:ind w:left="0" w:right="0" w:hanging="0"/>
              <w:jc w:val="left"/>
              <w:rPr/>
            </w:pPr>
            <w:r>
              <w:rPr/>
              <w:t>​</w:t>
            </w:r>
          </w:p>
        </w:tc>
        <w:tc>
          <w:tcPr>
            <w:tcW w:w="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 average grant date fair value of options granted during the six months ended June 30, 2023 was $1.63. As of June 30, 2023, there was approximately $3.1 million of total unrecognized compensation expense related to unvested stock options. These costs are expected to be recognized over a weighted-average period of 2.2 years.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uses the Black-Scholes model to value its time-based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and is recognized on a straight-line basis over the requisite service period for the entire award.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708" w:name="Tc_Yr9JtULfsEip9m30tqukYQ_9_4"/>
      <w:bookmarkStart w:id="709" w:name="Tc_Xxu0HjlYU02hTt9xvXuisw_9_0"/>
      <w:bookmarkStart w:id="710" w:name="Tc_PSZt5wfKpkyNUVw2sNbgAA_8_4"/>
      <w:bookmarkStart w:id="711" w:name="Tc_-T7nzwgd4Ey6yrP0GNfA8A_8_0"/>
      <w:bookmarkStart w:id="712" w:name="Tc_Rs2_M8Df4kKfej8A3G2f-w_7_4"/>
      <w:bookmarkStart w:id="713" w:name="Tc_BzpngwTb1UqfSBhL6TeF3g_7_0"/>
      <w:bookmarkStart w:id="714" w:name="Tc_HQB69jo14EGkgRpmy1a0Dw_6_5"/>
      <w:bookmarkStart w:id="715" w:name="Tc_vr-EYTZBjUedT-wMJ-K0gA_6_4"/>
      <w:bookmarkStart w:id="716" w:name="Tc_RatEOd8bMEymF0VK-KpxPg_6_2"/>
      <w:bookmarkStart w:id="717" w:name="Tc_bQtA_6PzxkOyz_iDEjdPiQ_6_0"/>
      <w:bookmarkStart w:id="718" w:name="Tc_dUPSeQJzA0qd7daaXXdJWg_5_4"/>
      <w:bookmarkStart w:id="719" w:name="Tc_x4K4ZHfjekaXTR57oOPTpA_5_0"/>
      <w:bookmarkStart w:id="720" w:name="Tc_yEivV8gK8U6wNvHYar9eww_4_4"/>
      <w:bookmarkStart w:id="721" w:name="Tc_QVo-Xg322kCcWDrfMBJwiw_4_2"/>
      <w:bookmarkStart w:id="722" w:name="Tc__xUi3UouqE-0DWZXrjAtLQ_3_4"/>
      <w:bookmarkStart w:id="723" w:name="Tc_Da0WJSKQ-U6vlax-nz7iyQ_3_2"/>
      <w:bookmarkStart w:id="724" w:name="Tc_2S4JQkXCgUO6XingNQ_ZpA_2_4"/>
      <w:bookmarkStart w:id="725" w:name="Tc_EEA3YpRW1kSmY8VgvTFGTA_1_4"/>
      <w:bookmarkStart w:id="726" w:name="Tc_EmUxdUk8o0uxUQSeTAkXaw_7_0"/>
      <w:bookmarkStart w:id="727" w:name="Tc_GRF75d8KUE6JdDuYMqVERQ_6_5"/>
      <w:bookmarkStart w:id="728" w:name="Tc_Sk8ulXVoxUWnw0KCIs__Ow_6_3"/>
      <w:bookmarkStart w:id="729" w:name="Tc_1dbYZa7LuUq14weY47-pAg_6_0"/>
      <w:bookmarkStart w:id="730" w:name="Tc_sZjkGVNRmEuHdznI1UQ_yw_5_5"/>
      <w:bookmarkStart w:id="731" w:name="Tc_4TzjT34Ob02ZZ96rEg0TRg_5_3"/>
      <w:bookmarkStart w:id="732" w:name="Tc_LcsDMEhAs02o7VIrRUl3Vw_5_0"/>
      <w:bookmarkStart w:id="733" w:name="Tc_9EY3zwB630-46pSdTVifPg_4_0"/>
      <w:bookmarkStart w:id="734" w:name="Tc_7KMzsQe4HUyoDcWxCp7HyQ_3_4"/>
      <w:bookmarkStart w:id="735" w:name="Tc_BWxPCH9k30qtxFxKftj6RA_3_2"/>
      <w:bookmarkStart w:id="736" w:name="Tc_emV0Lyg6qEelOegFkzhneQ_2_2"/>
      <w:bookmarkStart w:id="737" w:name="Tc_yaIEw_yjI0aDgUCnGCk-xg_1_2"/>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r>
        <w:rPr>
          <w:rFonts w:ascii="Times New Roman;Times;serif" w:hAnsi="Times New Roman;Times;serif"/>
          <w:sz w:val="20"/>
        </w:rPr>
        <w:t>The following weighted-average assumptions were used to determine the fair value of options granted during the six months ended June 30, 2023 and 2022:</w:t>
      </w:r>
    </w:p>
    <w:p>
      <w:pPr>
        <w:pStyle w:val="TextBody"/>
        <w:bidi w:val="0"/>
        <w:spacing w:before="0" w:after="240"/>
        <w:ind w:left="0" w:right="0" w:firstLine="720"/>
        <w:jc w:val="both"/>
        <w:rPr/>
      </w:pPr>
      <w:r>
        <w:rPr/>
        <w:t>​</w:t>
      </w:r>
    </w:p>
    <w:tbl>
      <w:tblPr>
        <w:tblW w:w="3852" w:type="dxa"/>
        <w:jc w:val="left"/>
        <w:tblInd w:w="0" w:type="dxa"/>
        <w:tblLayout w:type="fixed"/>
        <w:tblCellMar>
          <w:top w:w="0" w:type="dxa"/>
          <w:left w:w="0" w:type="dxa"/>
          <w:bottom w:w="0" w:type="dxa"/>
          <w:right w:w="0" w:type="dxa"/>
        </w:tblCellMar>
      </w:tblPr>
      <w:tblGrid>
        <w:gridCol w:w="1921"/>
        <w:gridCol w:w="206"/>
        <w:gridCol w:w="522"/>
        <w:gridCol w:w="365"/>
        <w:gridCol w:w="522"/>
        <w:gridCol w:w="31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19835" cy="175260"/>
                      <wp:effectExtent l="0" t="0" r="0" b="0"/>
                      <wp:wrapNone/>
                      <wp:docPr id="65" name="Frame65"/>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0810" cy="175260"/>
                      <wp:effectExtent l="0" t="0" r="0" b="0"/>
                      <wp:wrapNone/>
                      <wp:docPr id="66" name="Frame6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31470" cy="175260"/>
                      <wp:effectExtent l="0" t="0" r="0" b="0"/>
                      <wp:wrapNone/>
                      <wp:docPr id="67" name="Frame67"/>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31775" cy="175260"/>
                      <wp:effectExtent l="0" t="0" r="0" b="0"/>
                      <wp:wrapNone/>
                      <wp:docPr id="68" name="Frame68"/>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31470" cy="175260"/>
                      <wp:effectExtent l="0" t="0" r="0" b="0"/>
                      <wp:wrapNone/>
                      <wp:docPr id="69" name="Frame69"/>
                      <a:graphic xmlns:a="http://schemas.openxmlformats.org/drawingml/2006/main">
                        <a:graphicData uri="http://schemas.microsoft.com/office/word/2010/wordprocessingShape">
                          <wps:wsp>
                            <wps:cNvSpPr txBox="1"/>
                            <wps:spPr>
                              <a:xfrm>
                                <a:off x="0" y="0"/>
                                <a:ext cx="3314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0660" cy="175260"/>
                      <wp:effectExtent l="0" t="0" r="0" b="0"/>
                      <wp:wrapNone/>
                      <wp:docPr id="70" name="Frame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40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16"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140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5" w:type="dxa"/>
            <w:tcBorders/>
            <w:vAlign w:val="center"/>
          </w:tcPr>
          <w:p>
            <w:pPr>
              <w:pStyle w:val="TableContents"/>
              <w:bidi w:val="0"/>
              <w:spacing w:before="0" w:after="1"/>
              <w:ind w:left="0" w:right="0" w:hanging="0"/>
              <w:jc w:val="left"/>
              <w:rPr/>
            </w:pPr>
            <w:r>
              <w:rPr/>
              <w:t>    </w:t>
            </w:r>
          </w:p>
        </w:tc>
        <w:tc>
          <w:tcPr>
            <w:tcW w:w="52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Expected term (years) </w:t>
            </w:r>
          </w:p>
        </w:tc>
        <w:tc>
          <w:tcPr>
            <w:tcW w:w="206"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65"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Risk-free interest rate </w:t>
            </w:r>
          </w:p>
        </w:tc>
        <w:tc>
          <w:tcPr>
            <w:tcW w:w="206"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Volatility factor </w:t>
            </w:r>
          </w:p>
        </w:tc>
        <w:tc>
          <w:tcPr>
            <w:tcW w:w="206" w:type="dxa"/>
            <w:tcBorders/>
            <w:shd w:fill="CCEEFF" w:val="clear"/>
            <w:vAlign w:val="center"/>
          </w:tcPr>
          <w:p>
            <w:pPr>
              <w:pStyle w:val="TableContents"/>
              <w:bidi w:val="0"/>
              <w:spacing w:before="0" w:after="1"/>
              <w:ind w:left="0" w:right="0" w:hanging="0"/>
              <w:jc w:val="left"/>
              <w:rPr/>
            </w:pPr>
            <w:r>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3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Dividend yield </w:t>
            </w:r>
          </w:p>
        </w:tc>
        <w:tc>
          <w:tcPr>
            <w:tcW w:w="206"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right"/>
              <w:rPr/>
            </w:pPr>
            <w:r>
              <w:rPr/>
              <w:t>—</w:t>
            </w:r>
          </w:p>
        </w:tc>
        <w:tc>
          <w:tcPr>
            <w:tcW w:w="365" w:type="dxa"/>
            <w:tcBorders/>
            <w:vAlign w:val="center"/>
          </w:tcPr>
          <w:p>
            <w:pPr>
              <w:pStyle w:val="TableContents"/>
              <w:bidi w:val="0"/>
              <w:spacing w:before="0" w:after="1"/>
              <w:ind w:left="0" w:right="0" w:hanging="0"/>
              <w:jc w:val="left"/>
              <w:rPr/>
            </w:pPr>
            <w:r>
              <w:rPr/>
              <w:t>​</w:t>
            </w:r>
          </w:p>
        </w:tc>
        <w:tc>
          <w:tcPr>
            <w:tcW w:w="522"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For the Performance-Based Options with a market condition granted as described above, the Company used an option pricing model, the Monte Carlo model, to determine the fair value of the respective equity instruments and an expense recognition term of approximately three years.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Restricted stock units (“RSUs”) represent rights to receive common shares at a future date. There is no exercise price and no monetary payment is required for receipt of restricted stock units or the shares issued in settlement of the award. The Company’s RSUs generally vest over a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four year period from the date of grant.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summary of the RSU activity under the Company’s 2020 Plan for the six months ended June 30, 2023 is as follows:</w:t>
      </w:r>
    </w:p>
    <w:p>
      <w:pPr>
        <w:pStyle w:val="TextBody"/>
        <w:bidi w:val="0"/>
        <w:spacing w:before="0" w:after="240"/>
        <w:ind w:left="0" w:right="0" w:firstLine="720"/>
        <w:jc w:val="both"/>
        <w:rPr/>
      </w:pPr>
      <w:r>
        <w:rPr/>
        <w:t>​</w:t>
      </w:r>
    </w:p>
    <w:tbl>
      <w:tblPr>
        <w:tblW w:w="5605" w:type="dxa"/>
        <w:jc w:val="left"/>
        <w:tblInd w:w="0" w:type="dxa"/>
        <w:tblLayout w:type="fixed"/>
        <w:tblCellMar>
          <w:top w:w="0" w:type="dxa"/>
          <w:left w:w="0" w:type="dxa"/>
          <w:bottom w:w="0" w:type="dxa"/>
          <w:right w:w="0" w:type="dxa"/>
        </w:tblCellMar>
      </w:tblPr>
      <w:tblGrid>
        <w:gridCol w:w="2551"/>
        <w:gridCol w:w="326"/>
        <w:gridCol w:w="1411"/>
        <w:gridCol w:w="326"/>
        <w:gridCol w:w="263"/>
        <w:gridCol w:w="728"/>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19885" cy="175260"/>
                      <wp:effectExtent l="0" t="0" r="0" b="0"/>
                      <wp:wrapNone/>
                      <wp:docPr id="71" name="Frame71"/>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895985" cy="175260"/>
                      <wp:effectExtent l="0" t="0" r="0" b="0"/>
                      <wp:wrapNone/>
                      <wp:docPr id="73" name="Frame73"/>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7005" cy="175260"/>
                      <wp:effectExtent l="0" t="0" r="0" b="0"/>
                      <wp:wrapNone/>
                      <wp:docPr id="75" name="Frame7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62280" cy="175260"/>
                      <wp:effectExtent l="0" t="0" r="0" b="0"/>
                      <wp:wrapNone/>
                      <wp:docPr id="76" name="Frame76"/>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5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 RSUs</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372,307</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4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(34,994)</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(33,378)</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303,935</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5.60</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For the Performance-Based RSUs, including those granted to Dr. Mills as described above, the Company accounted for the awards as market condition awards and</w:t>
      </w:r>
      <w:r>
        <w:rPr>
          <w:rFonts w:ascii="Times New Roman;Times;serif" w:hAnsi="Times New Roman;Times;serif"/>
          <w:sz w:val="24"/>
        </w:rPr>
        <w:t xml:space="preserve"> </w:t>
      </w:r>
      <w:r>
        <w:rPr>
          <w:rFonts w:ascii="Times New Roman;Times;serif" w:hAnsi="Times New Roman;Times;serif"/>
          <w:sz w:val="20"/>
        </w:rPr>
        <w:t xml:space="preserve">used an option pricing model, the Monte Carlo model, to determine the fair value of the respective equity instruments and an expense recognition term of </w:t>
      </w:r>
      <w:r>
        <w:rPr>
          <w:rFonts w:ascii="Times New Roman;Times;serif" w:hAnsi="Times New Roman;Times;serif"/>
          <w:b w:val="false"/>
          <w:i w:val="false"/>
          <w:caps w:val="false"/>
          <w:smallCaps w:val="false"/>
          <w:sz w:val="20"/>
        </w:rPr>
        <w:t>two</w:t>
      </w:r>
      <w:r>
        <w:rPr>
          <w:rFonts w:ascii="Times New Roman;Times;serif" w:hAnsi="Times New Roman;Times;serif"/>
          <w:sz w:val="24"/>
        </w:rPr>
        <w:t xml:space="preserve"> </w:t>
      </w:r>
      <w:r>
        <w:rPr>
          <w:rFonts w:ascii="Times New Roman;Times;serif" w:hAnsi="Times New Roman;Times;serif"/>
          <w:sz w:val="20"/>
        </w:rPr>
        <w:t>to three years</w:t>
      </w:r>
      <w:r>
        <w:rPr>
          <w:rFonts w:ascii="Times New Roman;Times;serif" w:hAnsi="Times New Roman;Times;serif"/>
          <w:sz w:val="24"/>
        </w:rPr>
        <w:t xml:space="preserve"> </w:t>
      </w:r>
      <w:r>
        <w:rPr>
          <w:rFonts w:ascii="Times New Roman;Times;serif" w:hAnsi="Times New Roman;Times;serif"/>
          <w:sz w:val="20"/>
        </w:rPr>
        <w:t>using the graded vesting method.</w:t>
      </w:r>
    </w:p>
    <w:p>
      <w:pPr>
        <w:pStyle w:val="TextBody"/>
        <w:bidi w:val="0"/>
        <w:spacing w:before="0" w:after="240"/>
        <w:ind w:left="0" w:right="0" w:firstLine="720"/>
        <w:jc w:val="both"/>
        <w:rPr/>
      </w:pPr>
      <w:r>
        <w:rPr/>
        <w:t>​</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June 30, 2023, $0.9 million of unrecognized compensation costs related to RSUs is expected to be recognized over a weighted average period of approximately two years.    </w:t>
      </w:r>
    </w:p>
    <w:p>
      <w:pPr>
        <w:pStyle w:val="TextBody"/>
        <w:shd w:fill="FFFFFF" w:val="clear"/>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makes shares of its Class A common stock available for purchase under the Aziyo Biologics, Inc. 2020 Employee Stock Purchase Plan (the “ESPP”). The ESPP provides for separate six-month offering periods that begin in March and September of each year. Under the ESPP, employees may purchase a limited number of shares of Aziyo Class A common stock at 85% of the fair market value on either the first day of the offering period or the purchase date, whichever is lower. The ESPP is considered compensatory for purposes of stock-based compensation expense.  The number of shares reserved under the ESPP will automatically increase on the first day of each fiscal year through January 1, 2030, in an amount as set forth in the ESPP. As of June 30, 2023, the total shares of Class A common stock authorized for issuance under the ESPP was 542,365, of which 399,436 remained available for future issuance. During the three and six months ended June 30, 2023, 41,277 shares of Class A common stock were issued under the ESPP.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bookmarkStart w:id="738" w:name="Tc_kQ4ogWZJX0Kb6Ann2fW-Hw_8_10"/>
      <w:bookmarkStart w:id="739" w:name="Tc_Uh30iMd7f0ictt6yFwG4HQ_8_7"/>
      <w:bookmarkStart w:id="740" w:name="Tc_4BtDv9KiaUGT0QEG0SfoPQ_8_4"/>
      <w:bookmarkStart w:id="741" w:name="Tc_jE2rAjn8lEeVKE4BRMygFw_8_1"/>
      <w:bookmarkStart w:id="742" w:name="Tc_6H-B727Et0ea1a6rv5-i-Q_8_0"/>
      <w:bookmarkStart w:id="743" w:name="Tc_aaGkX2p3CU-m8S58f_6S-Q_7_0"/>
      <w:bookmarkStart w:id="744" w:name="Tc_uTd9A3JR0EeckoDUn7i46Q_6_0"/>
      <w:bookmarkStart w:id="745" w:name="Tc_5Nb9AjP7Vkq7nnv_uYH_OQ_5_0"/>
      <w:bookmarkStart w:id="746" w:name="Tc_9exWy03q7kyefEAbYYaXNQ_4_10"/>
      <w:bookmarkStart w:id="747" w:name="Tc_nV9QEcBLLEu9hGCgtM-JQw_4_7"/>
      <w:bookmarkStart w:id="748" w:name="Tc_5AGmnLoe906zdN025Jqr2Q_4_4"/>
      <w:bookmarkStart w:id="749" w:name="Tc_mQ6Xy1ZQJkWDiKkdP0ZZuQ_4_1"/>
      <w:bookmarkStart w:id="750" w:name="Tc_PJN0_ZxrWUCm3lz64ZvqsQ_4_0"/>
      <w:bookmarkStart w:id="751" w:name="Tc_F8XQtDBrdEaYInBHdbHiuQ_3_10"/>
      <w:bookmarkStart w:id="752" w:name="Tc_Y-q4aB6zUke_cw3nyf3Btw_3_7"/>
      <w:bookmarkStart w:id="753" w:name="Tc_PP-qcFTx20e6iTkRKcSvzA_3_4"/>
      <w:bookmarkStart w:id="754" w:name="Tc_gwiEzKt0uk26pCitm1rrhw_3_1"/>
      <w:bookmarkStart w:id="755" w:name="Tc_Cvd0nZ_4tkKZjkKvG2hq6A_2_7"/>
      <w:bookmarkStart w:id="756" w:name="Tc_gRVcVm9SxkGiuXiRMTU6pA_2_1"/>
      <w:bookmarkStart w:id="757" w:name="Tc_rnBiU-ZvBkaDODYWUZjlCg_1_7"/>
      <w:bookmarkStart w:id="758" w:name="Tc_GkTZtICT7U6D0dFAyxD1Vw_1_1"/>
      <w:bookmarkStart w:id="759" w:name="_ef8a8100_db7c_49a1_9e47_3b29dc6b946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Pr>
          <w:rFonts w:ascii="Times New Roman;Times;serif" w:hAnsi="Times New Roman;Times;serif"/>
          <w:b/>
          <w:i/>
          <w:sz w:val="20"/>
        </w:rPr>
        <w:t xml:space="preserve">Stock-Based Compensation Expense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Stock-based compensation expense recognized during the three and six months ended June 30, 2023 and 2022 was comprised of the following (in thousands):</w:t>
      </w:r>
    </w:p>
    <w:p>
      <w:pPr>
        <w:pStyle w:val="TextBody"/>
        <w:bidi w:val="0"/>
        <w:spacing w:before="0" w:after="240"/>
        <w:ind w:left="0" w:right="0" w:firstLine="720"/>
        <w:jc w:val="both"/>
        <w:rPr/>
      </w:pPr>
      <w:r>
        <w:rPr/>
        <w:t>​</w:t>
      </w:r>
    </w:p>
    <w:tbl>
      <w:tblPr>
        <w:tblW w:w="7658" w:type="dxa"/>
        <w:jc w:val="left"/>
        <w:tblInd w:w="0" w:type="dxa"/>
        <w:tblLayout w:type="fixed"/>
        <w:tblCellMar>
          <w:top w:w="0" w:type="dxa"/>
          <w:left w:w="0" w:type="dxa"/>
          <w:bottom w:w="0" w:type="dxa"/>
          <w:right w:w="0" w:type="dxa"/>
        </w:tblCellMar>
      </w:tblPr>
      <w:tblGrid>
        <w:gridCol w:w="3451"/>
        <w:gridCol w:w="211"/>
        <w:gridCol w:w="421"/>
        <w:gridCol w:w="326"/>
        <w:gridCol w:w="211"/>
        <w:gridCol w:w="571"/>
        <w:gridCol w:w="326"/>
        <w:gridCol w:w="211"/>
        <w:gridCol w:w="571"/>
        <w:gridCol w:w="326"/>
        <w:gridCol w:w="211"/>
        <w:gridCol w:w="571"/>
        <w:gridCol w:w="25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1385" cy="175260"/>
                      <wp:effectExtent l="0" t="0" r="0" b="0"/>
                      <wp:wrapNone/>
                      <wp:docPr id="77" name="Frame7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67335" cy="175260"/>
                      <wp:effectExtent l="0" t="0" r="0" b="0"/>
                      <wp:wrapNone/>
                      <wp:docPr id="79" name="Frame7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62585" cy="175260"/>
                      <wp:effectExtent l="0" t="0" r="0" b="0"/>
                      <wp:wrapNone/>
                      <wp:docPr id="82" name="Frame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585" cy="175260"/>
                      <wp:effectExtent l="0" t="0" r="0" b="0"/>
                      <wp:wrapNone/>
                      <wp:docPr id="85" name="Frame8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88" name="Frame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9385" cy="175260"/>
                      <wp:effectExtent l="0" t="0" r="0" b="0"/>
                      <wp:wrapNone/>
                      <wp:docPr id="89" name="Frame8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17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18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51" w:type="dxa"/>
            <w:tcBorders/>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pPr>
            <w:r>
              <w:rPr/>
              <w:t>​</w:t>
            </w:r>
          </w:p>
        </w:tc>
        <w:tc>
          <w:tcPr>
            <w:tcW w:w="17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51" w:type="dxa"/>
            <w:tcBorders/>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51" w:type="dxa"/>
            <w:tcBorders/>
            <w:vAlign w:val="center"/>
          </w:tcPr>
          <w:p>
            <w:pPr>
              <w:pStyle w:val="TableContents"/>
              <w:bidi w:val="0"/>
              <w:spacing w:before="0" w:after="1"/>
              <w:ind w:left="0" w:right="0" w:hanging="0"/>
              <w:jc w:val="left"/>
              <w:rPr/>
            </w:pPr>
            <w:r>
              <w:rPr/>
              <w:t>  </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Sales and marketing</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w:t>
            </w:r>
          </w:p>
        </w:tc>
        <w:tc>
          <w:tcPr>
            <w:tcW w:w="251"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w:t>
            </w:r>
          </w:p>
        </w:tc>
        <w:tc>
          <w:tcPr>
            <w:tcW w:w="251"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w:t>
            </w:r>
          </w:p>
        </w:tc>
        <w:tc>
          <w:tcPr>
            <w:tcW w:w="251"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Cost of goods sold</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251" w:type="dxa"/>
            <w:tcBorders/>
            <w:vAlign w:val="center"/>
          </w:tcPr>
          <w:p>
            <w:pPr>
              <w:pStyle w:val="TableContents"/>
              <w:bidi w:val="0"/>
              <w:spacing w:before="0" w:after="1"/>
              <w:ind w:left="0" w:right="0" w:hanging="0"/>
              <w:jc w:val="lef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w:t>
            </w:r>
          </w:p>
        </w:tc>
        <w:tc>
          <w:tcPr>
            <w:tcW w:w="25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120"/>
        <w:ind w:left="0" w:right="0" w:hanging="0"/>
        <w:jc w:val="left"/>
        <w:rPr>
          <w:rFonts w:ascii="Times New Roman;Times;serif" w:hAnsi="Times New Roman;Times;serif"/>
          <w:b/>
          <w:sz w:val="20"/>
        </w:rPr>
      </w:pPr>
      <w:bookmarkStart w:id="760" w:name="Tc_6EaptKJeiUe-owQAEff0QA_6_5"/>
      <w:bookmarkStart w:id="761" w:name="Tc_keyaEFv6-0qU9_Qj1hcInQ_6_2"/>
      <w:bookmarkStart w:id="762" w:name="Tc_YF-YEjUdEEeBIj6ta3foUg_6_0"/>
      <w:bookmarkStart w:id="763" w:name="Tc_YjWRlVFJDEOAKGIJOyVo9A_5_0"/>
      <w:bookmarkStart w:id="764" w:name="Tc_XC6kA8YMZEW_6z_NCDrXrw_4_0"/>
      <w:bookmarkStart w:id="765" w:name="Tc_jPZzgcZzsEuTb2fxyZ7zhA_3_5"/>
      <w:bookmarkStart w:id="766" w:name="Tc_3jTQCdWw9UiPhSp4KSZMdg_3_2"/>
      <w:bookmarkStart w:id="767" w:name="Tc_V2ouYJdMiUatgI_iS2AU4g_3_0"/>
      <w:bookmarkStart w:id="768" w:name="Tc_7p0mHWLE9EuH6Gzy4Hzahw_2_5"/>
      <w:bookmarkStart w:id="769" w:name="Tc_TuXarEWHcE2bixBW1MhHRw_2_2"/>
      <w:bookmarkStart w:id="770" w:name="Tc_VGJbfr7Gj0uQDAtOtsaV2g_1_5"/>
      <w:bookmarkStart w:id="771" w:name="Tc_3A833CRCPEiVZa5rMrKfWg_1_2"/>
      <w:bookmarkStart w:id="772" w:name="_b62fd39d_b478_48c4_b5f5_0d8dbc47a658"/>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b/>
          <w:sz w:val="20"/>
        </w:rPr>
        <w:t>Note 5. Inventory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Inventory was comprised of the following (in thousands):</w:t>
      </w:r>
    </w:p>
    <w:p>
      <w:pPr>
        <w:pStyle w:val="TextBody"/>
        <w:bidi w:val="0"/>
        <w:spacing w:before="0" w:after="240"/>
        <w:ind w:left="0" w:right="0" w:firstLine="720"/>
        <w:jc w:val="both"/>
        <w:rPr/>
      </w:pPr>
      <w:r>
        <w:rPr/>
        <w:t>​</w:t>
      </w:r>
    </w:p>
    <w:tbl>
      <w:tblPr>
        <w:tblW w:w="4411" w:type="dxa"/>
        <w:jc w:val="left"/>
        <w:tblInd w:w="0" w:type="dxa"/>
        <w:tblLayout w:type="fixed"/>
        <w:tblCellMar>
          <w:top w:w="0" w:type="dxa"/>
          <w:left w:w="0" w:type="dxa"/>
          <w:bottom w:w="0" w:type="dxa"/>
          <w:right w:w="0" w:type="dxa"/>
        </w:tblCellMar>
      </w:tblPr>
      <w:tblGrid>
        <w:gridCol w:w="1426"/>
        <w:gridCol w:w="346"/>
        <w:gridCol w:w="211"/>
        <w:gridCol w:w="571"/>
        <w:gridCol w:w="326"/>
        <w:gridCol w:w="271"/>
        <w:gridCol w:w="869"/>
        <w:gridCol w:w="391"/>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905510" cy="175260"/>
                      <wp:effectExtent l="0" t="0" r="0" b="0"/>
                      <wp:wrapNone/>
                      <wp:docPr id="90" name="Frame90"/>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2085" cy="175260"/>
                      <wp:effectExtent l="0" t="0" r="0" b="0"/>
                      <wp:wrapNone/>
                      <wp:docPr id="95" name="Frame9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51815" cy="175260"/>
                      <wp:effectExtent l="0" t="0" r="0" b="0"/>
                      <wp:wrapNone/>
                      <wp:docPr id="96" name="Frame9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48285" cy="175260"/>
                      <wp:effectExtent l="0" t="0" r="0" b="0"/>
                      <wp:wrapNone/>
                      <wp:docPr id="97" name="Frame9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before="0" w:after="0"/>
              <w:ind w:left="0" w:right="0" w:hanging="0"/>
              <w:jc w:val="left"/>
              <w:rPr/>
            </w:pPr>
            <w:r>
              <w:rPr/>
              <w:t>    ​</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1" w:type="dxa"/>
            <w:tcBorders/>
            <w:vAlign w:val="center"/>
          </w:tcPr>
          <w:p>
            <w:pPr>
              <w:pStyle w:val="TableContents"/>
              <w:bidi w:val="0"/>
              <w:spacing w:before="0" w:after="0"/>
              <w:ind w:left="0" w:right="0" w:hanging="0"/>
              <w:jc w:val="left"/>
              <w:rPr/>
            </w:pPr>
            <w:r>
              <w:rPr/>
              <w:t>    </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91" w:type="dxa"/>
            <w:tcBorders/>
            <w:vAlign w:val="center"/>
          </w:tcPr>
          <w:p>
            <w:pPr>
              <w:pStyle w:val="TableContents"/>
              <w:bidi w:val="0"/>
              <w:spacing w:before="0" w:after="0"/>
              <w:ind w:left="0" w:right="0" w:hanging="0"/>
              <w:jc w:val="left"/>
              <w:rPr/>
            </w:pPr>
            <w:r>
              <w:rPr/>
              <w:t>​</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6,848</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9,274</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10,052</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Note 6. Long-Term Debt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shd w:fill="FFFFFF" w:val="clear"/>
        </w:rPr>
        <w:t xml:space="preserve">n August 10, 2022 (the “Closing Date”), the Company entered into a senior secured term loan facility with SWK Funding LLC (“SWK”), as agent, and other lenders party thereto (the “SWK Loan Facility”) for an aggregate principal amount of $25 million. An initial draw of $21 million drawn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had not been entered into as of June 30, 2023.  The SWK Loan Facility matures on August 10, 2027 and accrues interest, payable quarterly in arrears. </w:t>
      </w:r>
      <w:r>
        <w:rPr>
          <w:rFonts w:ascii="Times New Roman;Times;serif" w:hAnsi="Times New Roman;Times;serif"/>
          <w:sz w:val="20"/>
        </w:rPr>
        <w:t>Principal amortization of the SWK Loan Facility starts on November 15, 2024, which amortization may be extended to November 17, 2025 if certain conditions have been satisfied. Principal payments during the amortization period will be limited based on revenue-based caps. As of June 30, 2023, quarterly principal payments are scheduled to begin on November 15, 2024, in an amount equal to 5% of the outstanding principal on such principal payment commencement date with the balance paid at maturity. T</w:t>
      </w:r>
      <w:r>
        <w:rPr>
          <w:rFonts w:ascii="Times New Roman;Times;serif" w:hAnsi="Times New Roman;Times;serif"/>
          <w:sz w:val="20"/>
          <w:shd w:fill="FFFFFF" w:val="clear"/>
        </w:rPr>
        <w:t xml:space="preserve">he SWK Loan Facility also includes both revenue and minimum liquidity covenants, </w:t>
      </w:r>
      <w:r>
        <w:rPr>
          <w:rFonts w:ascii="Times New Roman;Times;serif" w:hAnsi="Times New Roman;Times;serif"/>
          <w:sz w:val="20"/>
        </w:rPr>
        <w:t xml:space="preserve">restrictions as to payment of dividends, and is secured by all assets of the Company, subject to certain customary exceptions. On May 12, 2023, </w:t>
      </w:r>
      <w:r>
        <w:rPr>
          <w:rFonts w:ascii="Times New Roman;Times;serif" w:hAnsi="Times New Roman;Times;serif"/>
          <w:sz w:val="20"/>
          <w:shd w:fill="FFFFFF" w:val="clear"/>
        </w:rPr>
        <w:t>the Company</w:t>
      </w:r>
      <w:r>
        <w:rPr>
          <w:rFonts w:ascii="Times New Roman;Times;serif" w:hAnsi="Times New Roman;Times;serif"/>
          <w:sz w:val="20"/>
        </w:rPr>
        <w:t xml:space="preserve"> entered into that certain First Amendment to the SWK Loan Facility Agreement with SWK, as agent, and the other lenders party thereto (the “Amendment”). The Amendment modified the minimum liquidity covenant applicable to the Company under the SWK Loan Facility Agreement, such that the Company must maintain a minimum liquidity of at least $5.0 million until August 15, 2023 (which date may be extended by SWK in its commercially-reasonable discretion, to November 15, 2023), and after such date, a minimum liquidity of at least the greater of (i) $5.0 million, and (ii) the sum of the operating cash burn (as defined in the SWK Loan Facility Agreement) for the two prior consecutive fiscal quarters then ended. As of June 30, 2023, Aziyo was in compliance with its financial covenants under the agreement governing the SWK Loan Facility (the “SWK Loan Facility Agreement”).</w:t>
      </w:r>
    </w:p>
    <w:p>
      <w:pPr>
        <w:pStyle w:val="TextBody"/>
        <w:bidi w:val="0"/>
        <w:spacing w:before="0" w:after="24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All of the SWK Loan Facility borrowings take the form of Secured Overnight Financing Rate (“SOFR”) loans and bear interest at a rate per annum equal to the sum of an applicable margin of (i) 7.75% and the “Term SOFR Rate” (based upon an interest period of 3 months), or (ii) if the Company has elected the PIK Interest option (as defined below), 3.75% and the “Term SOFR Rate.” The Company may elect a portion of the interest due, to be paid in-kind at a rate per annum of 4.5% (“PIK Interest”), and such election may be made (x) until November 15, 2024 if the conditions to draw the Additional Term Loan have not been met, or (y) if such conditions to draw the Additional Term Loan have been satisfied, until November 17, 2025. The “Term SOFR Rate” is subject to a floor of 2.75%. The agreement, as amended, governing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773" w:name="Tc_rrHWzQM25UeUkneir7zHFA_5_5"/>
      <w:bookmarkStart w:id="774" w:name="Tc_aks818BMq0OXPVMVvXpvZw_5_2"/>
      <w:bookmarkStart w:id="775" w:name="Tc_DEwOyZOgMUaZRMMvJSBN0w_5_0"/>
      <w:bookmarkStart w:id="776" w:name="Tc_r5wxgTCIKE-DNLerLKZB6A_4_6"/>
      <w:bookmarkStart w:id="777" w:name="Tc_q-mUYKuvdU68uVCwM7hMLA_4_3"/>
      <w:bookmarkStart w:id="778" w:name="Tc_ryqoZ_9gTEuXE9bxneyrLg_4_0"/>
      <w:bookmarkStart w:id="779" w:name="Tc_1VhX-N96OEaniIi-QXQh3A_3_5"/>
      <w:bookmarkStart w:id="780" w:name="Tc_kIymPkPjyUu3nGl5vtENYA_3_2"/>
      <w:bookmarkStart w:id="781" w:name="Tc_JP-DrLkf30GbVE0zFnodSg_3_0"/>
      <w:bookmarkStart w:id="782" w:name="Tc_mZRw9qe2aE6ciNiIdQrekQ_2_5"/>
      <w:bookmarkStart w:id="783" w:name="Tc_1qSuum-aFU2UQgU4svc3OA_2_2"/>
      <w:bookmarkStart w:id="784" w:name="Tc_RvUc8VRz80qAwCjxY7Mfng_1_5"/>
      <w:bookmarkStart w:id="785" w:name="Tc_O88uDPhSqUGCD0IYBaEYFQ_1_2"/>
      <w:bookmarkStart w:id="786" w:name="_16c9d7d9_4881_467f_bf26_c7b2f3b445b6"/>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sz w:val="20"/>
        </w:rPr>
        <w:t xml:space="preserve">the SWK Loan Facility also includes an exit fee equal to 6.5% of the aggregate principal amount funded prior to termination plus $62,500 and prepayment penalties equal to: (i) if such prepayment occurs prior to the first anniversary of the Closing Date, 2% of the aggregate principal amount funded prior to the termination plus remaining unpaid interest payments scheduled to be paid during the first year of the loan or (ii) if such prepayment occurs after the first anniversary of the Closing Date but prior to the second anniversary of the Closing Date, 2% of the aggregate principal amount funded prior to the termination. The weighted average interest rate on the SWK Loan Facility was 13.0% and 12.9% for the three and six months ended June 30, 2023, respectively.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10, 2022, the Company issued to SWK Funding LLC a warrant (the “Warrant”) to purchase, in the aggregate, up to 187,969 shares of Class A common stock of the Company, $0.001 par value per share at an exercise price of $6.65 per share. The Warrant is immediately exercisable for up to 187,969 shares of Class A common stock from time to time on or after the Closing Date.  The exercise price and number of shares of Class A common stock issuable upon exercise of the Warrant are subject to adjustment in the event of stock dividends, stock splits and certain other events affecting the Class A common stock. Unless earlier exercised or terminated in accordance with its terms, the Warrant will expire on the seventh anniversary of the Closing Date.</w:t>
      </w:r>
      <w:r>
        <w:rPr>
          <w:rFonts w:ascii="Times New Roman;Times;serif" w:hAnsi="Times New Roman;Times;serif"/>
          <w:sz w:val="20"/>
          <w:shd w:fill="FFFFFF" w:val="clear"/>
        </w:rPr>
        <w:t xml:space="preserve"> Upon issuance, the Company valued the Warrant at approximately $0.6 million using the Black-Scholes model. The recognition of the Warrant as well as deferred financing costs of approximately $0.5 million incurred in securing the SWK Loan Facility resulted in a reduction in the recorded value of the associated debt. The debt discount and deferred financing costs will be recognized as interest expense through the maturity of the loan.</w:t>
      </w:r>
    </w:p>
    <w:p>
      <w:pPr>
        <w:pStyle w:val="TextBody"/>
        <w:bidi w:val="0"/>
        <w:spacing w:before="0" w:after="0"/>
        <w:ind w:left="0" w:right="0" w:firstLine="72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SWK Loan Facility Agreement requires certain mandatory prepayments, subject to certain exceptions, with: (1) 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and six months ended June 30, 2023.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18"/>
        </w:rPr>
      </w:pPr>
      <w:r>
        <w:rPr>
          <w:rFonts w:ascii="Times New Roman;Times;serif" w:hAnsi="Times New Roman;Times;serif"/>
          <w:sz w:val="20"/>
          <w:shd w:fill="FFFFFF" w:val="clear"/>
        </w:rPr>
        <w:t>In connection with the August 2022 debt refinancing, the Company used $16</w:t>
      </w:r>
      <w:r>
        <w:rPr>
          <w:rFonts w:ascii="Times New Roman;Times;serif" w:hAnsi="Times New Roman;Times;serif"/>
          <w:sz w:val="18"/>
          <w:shd w:fill="FFFFFF" w:val="clear"/>
        </w:rPr>
        <w:t xml:space="preserve"> </w:t>
      </w:r>
      <w:r>
        <w:rPr>
          <w:rFonts w:ascii="Times New Roman;Times;serif" w:hAnsi="Times New Roman;Times;serif"/>
          <w:sz w:val="20"/>
          <w:shd w:fill="FFFFFF" w:val="clear"/>
        </w:rPr>
        <w:t xml:space="preserve">million of the proceeds of the SWK Loan Facility to repay all outstanding obligations on its former MidCap term loan </w:t>
      </w:r>
      <w:r>
        <w:rPr>
          <w:rFonts w:ascii="Times New Roman;Times;serif" w:hAnsi="Times New Roman;Times;serif"/>
          <w:sz w:val="18"/>
          <w:shd w:fill="FFFFFF" w:val="clear"/>
        </w:rPr>
        <w:t xml:space="preserve">(“MidCap </w:t>
      </w:r>
      <w:r>
        <w:rPr>
          <w:rFonts w:ascii="Times New Roman;Times;serif" w:hAnsi="Times New Roman;Times;serif"/>
          <w:sz w:val="20"/>
          <w:shd w:fill="FFFFFF" w:val="clear"/>
        </w:rPr>
        <w:t xml:space="preserve">Loan Facility”) and former asset-backed revolving line of credit (“MidCap Credit Facility”). </w:t>
      </w:r>
      <w:r>
        <w:rPr>
          <w:rFonts w:ascii="Times New Roman;Times;serif" w:hAnsi="Times New Roman;Times;serif"/>
          <w:sz w:val="20"/>
        </w:rPr>
        <w:t>Borrowings under the MidCap Loan Facility bore interest at a rate per annum equal to the sum of  (x) the greater of  (i) 2.25%</w:t>
      </w:r>
      <w:r>
        <w:rPr>
          <w:rFonts w:ascii="Times New Roman;Times;serif" w:hAnsi="Times New Roman;Times;serif"/>
          <w:sz w:val="18"/>
        </w:rPr>
        <w:t xml:space="preserve"> </w:t>
      </w:r>
      <w:r>
        <w:rPr>
          <w:rFonts w:ascii="Times New Roman;Times;serif" w:hAnsi="Times New Roman;Times;serif"/>
          <w:sz w:val="20"/>
        </w:rPr>
        <w:t>and (ii) the applicable London Interbank Offered Rate for U.S. dollar deposits divided by 1.00</w:t>
      </w:r>
      <w:r>
        <w:rPr>
          <w:rFonts w:ascii="Times New Roman;Times;serif" w:hAnsi="Times New Roman;Times;serif"/>
          <w:sz w:val="18"/>
        </w:rPr>
        <w:t xml:space="preserve"> </w:t>
      </w:r>
      <w:r>
        <w:rPr>
          <w:rFonts w:ascii="Times New Roman;Times;serif" w:hAnsi="Times New Roman;Times;serif"/>
          <w:sz w:val="20"/>
        </w:rPr>
        <w:t>minus the maximum effective reserve percentage for Eurocurrency funding (“LIBOR”) plus (y) 7.25%. The weighted average interest rate on MidCap Loan Facility was 9.5%</w:t>
      </w:r>
      <w:r>
        <w:rPr>
          <w:rFonts w:ascii="Times New Roman;Times;serif" w:hAnsi="Times New Roman;Times;serif"/>
          <w:sz w:val="18"/>
        </w:rPr>
        <w:t xml:space="preserve"> </w:t>
      </w:r>
      <w:r>
        <w:rPr>
          <w:rFonts w:ascii="Times New Roman;Times;serif" w:hAnsi="Times New Roman;Times;serif"/>
          <w:sz w:val="20"/>
        </w:rPr>
        <w:t>for the three and six months ended June 30, 2022. Borrowings under the MidCap Credit Facility bore interest at a rate per annum equal to the sum of  (x) the greater of  (i) 2.25%</w:t>
      </w:r>
      <w:r>
        <w:rPr>
          <w:rFonts w:ascii="Times New Roman;Times;serif" w:hAnsi="Times New Roman;Times;serif"/>
          <w:sz w:val="18"/>
        </w:rPr>
        <w:t xml:space="preserve"> </w:t>
      </w:r>
      <w:r>
        <w:rPr>
          <w:rFonts w:ascii="Times New Roman;Times;serif" w:hAnsi="Times New Roman;Times;serif"/>
          <w:sz w:val="20"/>
        </w:rPr>
        <w:t>and (ii) LIBOR plus (y) 4.95%. The weighted average interest rate on MidCap Credit Facility was 7.2%</w:t>
      </w:r>
      <w:r>
        <w:rPr>
          <w:rFonts w:ascii="Times New Roman;Times;serif" w:hAnsi="Times New Roman;Times;serif"/>
          <w:sz w:val="18"/>
        </w:rPr>
        <w:t xml:space="preserve"> </w:t>
      </w:r>
      <w:r>
        <w:rPr>
          <w:rFonts w:ascii="Times New Roman;Times;serif" w:hAnsi="Times New Roman;Times;serif"/>
          <w:sz w:val="20"/>
        </w:rPr>
        <w:t>for the three and six months ended June 30, 2022.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Long-term debt was comprised of the following (in thousands):</w:t>
      </w:r>
    </w:p>
    <w:p>
      <w:pPr>
        <w:pStyle w:val="TextBody"/>
        <w:bidi w:val="0"/>
        <w:spacing w:before="0" w:after="240"/>
        <w:ind w:left="0" w:right="0" w:firstLine="720"/>
        <w:jc w:val="both"/>
        <w:rPr/>
      </w:pPr>
      <w:r>
        <w:rPr/>
        <w:t>​</w:t>
      </w:r>
    </w:p>
    <w:tbl>
      <w:tblPr>
        <w:tblW w:w="9100" w:type="dxa"/>
        <w:jc w:val="left"/>
        <w:tblInd w:w="0" w:type="dxa"/>
        <w:tblLayout w:type="fixed"/>
        <w:tblCellMar>
          <w:top w:w="0" w:type="dxa"/>
          <w:left w:w="0" w:type="dxa"/>
          <w:bottom w:w="0" w:type="dxa"/>
          <w:right w:w="0" w:type="dxa"/>
        </w:tblCellMar>
      </w:tblPr>
      <w:tblGrid>
        <w:gridCol w:w="6376"/>
        <w:gridCol w:w="326"/>
        <w:gridCol w:w="211"/>
        <w:gridCol w:w="676"/>
        <w:gridCol w:w="326"/>
        <w:gridCol w:w="248"/>
        <w:gridCol w:w="937"/>
      </w:tblGrid>
      <w:tr>
        <w:trPr/>
        <w:tc>
          <w:tcPr>
            <w:tcW w:w="6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048760" cy="175260"/>
                      <wp:effectExtent l="0" t="0" r="0" b="0"/>
                      <wp:wrapNone/>
                      <wp:docPr id="98" name="Frame98"/>
                      <a:graphic xmlns:a="http://schemas.openxmlformats.org/drawingml/2006/main">
                        <a:graphicData uri="http://schemas.microsoft.com/office/word/2010/wordprocessingShape">
                          <wps:wsp>
                            <wps:cNvSpPr txBox="1"/>
                            <wps:spPr>
                              <a:xfrm>
                                <a:off x="0" y="0"/>
                                <a:ext cx="404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0" name="Frame1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1"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7480" cy="175260"/>
                      <wp:effectExtent l="0" t="0" r="0" b="0"/>
                      <wp:wrapNone/>
                      <wp:docPr id="103" name="Frame10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4995" cy="175260"/>
                      <wp:effectExtent l="0" t="0" r="0" b="0"/>
                      <wp:wrapNone/>
                      <wp:docPr id="104" name="Frame104"/>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3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Facility, net of unamortized discount and deferred financing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24,927</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24,260</w:t>
            </w:r>
          </w:p>
        </w:tc>
      </w:tr>
      <w:tr>
        <w:trPr/>
        <w:tc>
          <w:tcPr>
            <w:tcW w:w="63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3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24,927</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24,260</w:t>
            </w:r>
          </w:p>
        </w:tc>
      </w:tr>
    </w:tbl>
    <w:p>
      <w:pPr>
        <w:pStyle w:val="TextBody"/>
        <w:bidi w:val="0"/>
        <w:spacing w:before="0" w:after="24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fair value of all debt instruments, which is based on inputs considered to be Level 2 under the fair value hierarchy, approximates the respective carrying values as of June 30, 2023 and December 31, 2022.</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Revenue Interest Obligation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r>
        <w:rPr>
          <w:rFonts w:ascii="Times New Roman;Times;serif" w:hAnsi="Times New Roman;Times;serif"/>
          <w:sz w:val="20"/>
        </w:rPr>
        <w:t>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include antibiotics.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a $5.0 million payment will be due to Ligand if cumulative sales of these products exceed $100 million and a second $5.0 million will be due if cumulative sales exceed $300 million during the ten-year term of the agreement which expires on May 31, 2027.</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recorded the present value of the estimated total future payments under the Revenue Interest Obligation as a long-term obligation, with the annual minimum payments, along with the expected payment timing of the first $5.0 million sales milestone payment noted above, serving to establish the short-term portion. </w:t>
      </w:r>
      <w:r>
        <w:rPr>
          <w:rFonts w:ascii="Times New Roman;Times;serif" w:hAnsi="Times New Roman;Times;serif"/>
          <w:sz w:val="20"/>
          <w:shd w:fill="FFFFFF" w:val="clear"/>
        </w:rPr>
        <w:t xml:space="preserve">At each reporting period, the value of the Revenue Interest Obligation is re-measured based on current estimates of future payments, with changes to be recorded in the condensed consolidated statements of operations using the catch-up method. There was no change to estimated future payments during the three and six months ended June 30, 2023 and 2022, and thus, no re-measurement gain or loss was recognized. </w:t>
      </w:r>
      <w:r>
        <w:rPr>
          <w:rFonts w:ascii="Times New Roman;Times;serif" w:hAnsi="Times New Roman;Times;serif"/>
          <w:sz w:val="20"/>
        </w:rPr>
        <w:t>Interest expense related to the Revenue Interest Obligation of approximately $0.5 million and $0.7 million was recorded for the three months ended June 30, 2023 and 2022, respectively and approximately $1.1 million and $1.3 million was recorded for the six months ended June 30, 2023 and 2022, respectively.</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8.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Cook Biotech License and Supply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Aziyo has entered into a license agreement with Cook Biotech (“Cook”) for an exclusive, worldwide license to the porcine tissue for use in the Company’s Cardiac Patch and CanGaroo products, subject to certain co-exclusive rights retained by Cook (the “Cook License Agreement”).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and six months ended June 30, 2023 or 2022.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in the Cook Amendment, occurs within Aziyo. The Company, in its sole discretion, can terminate the Cook License Agreement at any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the Company may be involved in claims and proceedings arising in the course of the Company’s business. The outcome of any such claims or proceedings, regardless of the merits, is inherently uncertain. The Company records accruals for contingencies when it is probable that a liability has been incurred and the amount can be reasonably estimated. These accruals are adjusted periodically as assessments change or additional information becomes available.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FiberCel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June 2021, the Company announced a voluntary recall of a single lot of FiberCel fiber viable bone matrix. Since September 2021, 76 lawsuits (78 plaintiffs) in Indiana, Delaware, Florida, Maryland, Colorado, Michigan, Ohio, Kentucky, Oregon, North Carolina, Louisiana, Illinois, Virginia, California, Pennsylvania, and Arizona have been filed against Aziyo Biologics Inc., certain Medtronic entities, and others alleging that the plaintiffs were exposed to and/or contracted tuberculosis and/or suffered substantial symptoms and complications following the implantation of FiberCel during spinal fusion operations. Such lawsuits were filed in Indiana state court (collectively, the “Indiana State Complaints”); the Superior Court of the State of Delaware (collectively, the “Delaware State Complaints”); the Circuit Court of Maryland (collectively, the “Maryland State Complaints”); the Court of Common Pleas of Ohio and the U.S. District Court of the Southern District of Ohio (collectively, the “Ohio Complaints”); the U.S. District Court for the Western District of North Carolina (“North Carolina Federal Complaint”); the U.S. District Court for the Northern District of Florida and the U.S. District Court for the Southern District of Florida (collectively, the “Florida Federal Complaints”); the U.S. District Court for the Eastern District of Michigan (collectively “the Michigan Federal Complaints.”); the U.S. District Court for the District of Colorado (“Colorado Federal Complaint”); the U.S. District Court for the District of Oregon (“Oregon Federal Complaint”); the Fayette, Kentucky Circuit Court and the U.S. District Court for the Eastern District of Kentucky (collectively, the “Kentucky Complaints.”); the U.S. District Court for the Western District of Louisiana (“Louisiana Federal Complaint”); the Illinois Circuit Court (collectively, the “Illinois State Complaints”); the U.S. District Court for the Eastern District of Virginia (“Virginia Federal Complaint”); the U.S. District Court for the Eastern District of Pennsylvania (“Pennsylvania Federal Complaint”); Philadelphia County Court of Common Pleas (“Pennsylvania State Complaint”);  the U.S. District Court for the Central District of California (“California Federal Complaint”) and the U.S. District Court for the District of Arizona (“Arizona Federal Complaint.”)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Plaintiffs in the Indiana State Complaints allege a cause of action under Indiana’s Product Liability Act, citing manufacturing defects, defective design and failure to properly warn and instruct, and several of the complaints allege loss of consortium.  Plaintiffs in these actions assert that the defendants are strictly liable or have breached the duty of care owed to plaintiffs by failing to exercise reasonable care in designing, manufacturing, marketing and labeling FiberCel and are seeking various types of damages, including economic damages, non-economic damages and loss of consortium.  Plaintiffs in one of the Indiana State Complaints allege causes of action for product liability, negligence, breach of express and implied warranties, and punitive damages.  Each of the plaintiffs in the Delaware State Complaints alleges negligence, breach of implied warranty, breach of express warranty, and medical monitoring and punitive damages, and two also allege loss of consortium.  Plaintiffs in the Delaware State Complaints are seeking economic, consequential, and punitive damages. The Maryland State Complaints assert claims of negligence, breach of implied warranty, breach of express warranty, medical monitoring, and loss of consortium. The Florida Federal Complaint contains three strict liability claims for defective design, defective manufacture, and failure to warn. A claim for punitive damages is also pled. The Ohio State Complaint alleges causes of action for product liability and negligence and seeks compensatory damages. The Colorado Federal Complaint asserts causes of action for strict product liability, misrepresentation, negligence, breach of express warranty, and breach of implied warranty of merchantability. The Michigan Federal Complaints assert causes of action for negligence, gross negligence breach of implied warranty, breach of express warranty, intentional infliction of emotional distress, and liability under the res ipsa loquitur doctrine. The Michigan Federal Complaints seek compensatory damages and punitive damages.  The North Carolina Federal Complaint alleges causes of action for negligence, defective design, breach of implied warranty, breach of express warranty, and loss of consortium, and seeks both compensatory and punitive damages. The Oregon Federal Complaint asserts strict liability claims for defective design, defective manufacture, and failure to warn, and seeks compensatory damages.  The Ohio Federal Complaint asserts strict liability claims for defective manufacturing, inadequate warning, nonconformance with representations, and also alleges loss of consortium and seeks compensatory damages. The Kentucky Complaints assert strict liability claims based on manufacturing defect, design defect, failure to warn, negligence, breach of implied warranty, breach of express warranty, and seek recovery for medical monitoring, loss of consortium, compensatory damages, and punitive damages. The Louisiana Federal Complaint asserts claims of violation of the Louisiana products liability act, negligence and gross negligence, breach of implied warranty, breach of express warranty and seek recovery for medical monitoring. The Illinois State Complaints contain claims of strict liability- defective design and manufacturing, breach of express warranty, breach of implied warranty and negligence and seek compensatory damages. The Virginia State Complaint asserts causes of action for negligent failure to warn, negligence, breach of implied warranty, breach of express warranty and seeks recovery for medical monitoring, compensatory damages and punitive damages. The California Federal Complaint advances claims of strict liability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(defective design and manufacture), negligence and breach of implied warranty and seeks compensatory damages and recovery for medical monitoring. The Arizona Federal Complaint asserts strict product liability claims for defective design, manufacture and failure to warn, negligence, breach of implied warranty and breach of express warranty and seeks recovery for medical monitoring, loss of consortium, compensatory damages, and punitive damages.  Plaintiff in the Pennsylvania State Complaint asserts claims for strict liability, negligence, breach of implied warranty, and breach of express warranty, as well as claims under the Wrongful Death Act and the Survival Act and seeks compensatory and punitive damages.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above, there are 31 claims related to the FiberCel recall that have not yet resulted in a lawsuit. The Company refers to all of the aforementioned litigation, or claim notices, collectively as the “FiberCel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Since August 2022, the Company has engaged in a process to negotiate and attempt to resolve many of the cases in the FiberCel Litigation.  In total, Aziyo’s liability in 27 of the cases was settled for a total of approximately $7.5 million.  Of these settled matters, 26 cases were both settled and paid as of June 30, 2023 for a total cash outlay of $7.3 million. For the remaining 82 cases for which settlements have not been reached, the Company estimated a probable loss related to each case and has recorded a liability at an estimated amount of $14.3 million bringing the total estimated liability at June 30, 2023 to $14.5 million, which is recorded as Contingent Liability for FiberCel Litigation in the accompanying consolidated balance sheets.  Although the Company believes there is a possibility that a loss in excess of the amount recognized exists, the Company is unable to estimate the possible loss or range of loss in excess of the amount recognized at this time. In order to reasonably estimate the liability for the unsettled FiberCel Litigation cases, the Company, along with outside legal counsel, has assessed a variety of factors, including (i) the extent of the injuries incurred, (ii) recent experience on the settled claims, (iii) settlement offers made to the other parties to the litigation and (iv) any other factors that may have a material effect on the FiberCel Litigation. While the Company believes its estimated liability to be reasonable, the actual loss amounts are highly variable and turn on a case-by-case analysis of the relevant facts. As more information is learned about asserted claims and potential future trends, adjustments may be made to this Contingent Liability for FiberCel Litigation as appropriate.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Defense costs are recognized in the accompanying consolidated statements of operations as incurred.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has purchased insurance coverage that, subject to common contract exclusions, provided coverage for the FiberCel Litigation product liability losses as well as legal defense costs. Additionally, the Company has various potential indemnity and/or contribution rights against third party sources with respect to certain product liability losses. When settlements are reached and/or amounts are recorded in the related Contingent Liability for FiberCel Litigation, the Company calculates amounts due to be reimbursed pursuant to the terms of the coverage and related agreements, and pursuant to other indemnity or contribution claims, in respect of product liability losses and related defense costs. The amounts probable of reimbursement or recovery from this calculation are recorded as receivables. The determination that the recorded receivables are probable of collection is based on the terms of agreements reached in respect of indemnity and contribution claims as well as the advice of the Company’s outside legal counsel. These receivables at June 30, 2023 totaled $8.9 million and are recorded as Receivables of FiberCel Litigation Costs in the accompanying consolidated balance sheets.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indemnity and contribution receivables amount at June 30, 2023 represents amounts that are not believed to be subject to any current dispute. At June 30, 2023, the Company continues to pursue up to $3.8 million or more in additional amounts in respect of such indemnity and contribution claims and as such, has not been reflected as part of this receivable. The Company will vigorously pursue its position with respect to this amount. </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Viable Bone Matrix Recall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July 2023, the Company announced a voluntary recall of a single lot of a certain viable bone matrix (“VBM”) product and the market withdrawal of all of its VBM products produced after a specified date (the “VBM Matter”). Such VBM products are within the Company’s Orthobiologics business. Notice of the voluntary recall was issued to centers after the Company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VBM recall and market withdrawal necessitated the establishment of a product returns reserve and reversal of revenue totaling $3.0 million, which is included in accrued expenses and other current liabilities in the condensed consolidated balance sheet as of June 30, 2023. Furthermore, the Company has written off the full value of its VBM inventory on-hand at June 30, 2023 resulting in a $2.0 million charge to cost of goods sold in the condensed consolidated income statement for the three and six months ended June 30, 2023. Such writedown was deemed necessary due to the limited shelf-life of the inventory and the inability to sell the VBM inventory until a valid MTB test can be identified or developed, both of which are uncertain at this time.</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present, no lawsuits have been filed or claims asserted as a result of the VBM Matter. Management has determined that there is a reasonably possible likelihood of material claims due to the recall and market withdrawal but does not believe that the claims are probable or estimable. Consequently, management has determined that no liability for such possible claims would be recognized for the VBM recall and market withdrawal as of June 30, 2023.  While unknown at this time, possible losses in connection with the VBM Matter could have a material effect on the Company’s financial position and results of operations. Consistent with the FiberCel Litigation above, the Company has purchased insurance coverage that, subject to common contract exclusions, provide coverage for the possible claims associated with the VBM Matter as well as legal defense costs.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both June 30, 2023 and 2022, the Company was not a party to, or aware of, any legal matters or claims with material financial exposure, except for the FiberCel Litigation.</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bookmarkStart w:id="787" w:name="Tc_Q9otGeQbc0CD7N519eD5BQ_6_0"/>
      <w:bookmarkStart w:id="788" w:name="Tc_fTssDnVXFU-FlweqhJU5xA_5_4"/>
      <w:bookmarkStart w:id="789" w:name="Tc_3ArGbVmsGkiFMtzha1WriQ_5_0"/>
      <w:bookmarkStart w:id="790" w:name="Tc_FQM2jXxulEeKki-4XuFApw_4_0"/>
      <w:bookmarkStart w:id="791" w:name="Tc_a4fxT1Tk1kOKRJiQpvJVXg_3_0"/>
      <w:bookmarkStart w:id="792" w:name="Tc_WZXiGzeM90SOT2pJaysowg_2_4"/>
      <w:bookmarkStart w:id="793" w:name="Tc_GLzj-KdXN06tAvEKnf95CQ_2_2"/>
      <w:bookmarkStart w:id="794" w:name="Tc_zfcKY_JDUU6j70y4HTtTqw_1_2"/>
      <w:bookmarkStart w:id="795" w:name="Tc_KhNBw4KcfEqDDQSzoa0s_g_8_11"/>
      <w:bookmarkStart w:id="796" w:name="Tc_rxRMDpwcm0i_ba8-FvC8BA_8_8"/>
      <w:bookmarkStart w:id="797" w:name="Tc_O9LrTv8N-02GisiwMlAlxg_8_5"/>
      <w:bookmarkStart w:id="798" w:name="Tc_6N3Papy9a0KyVRjb8u_RYw_8_2"/>
      <w:bookmarkStart w:id="799" w:name="Tc_dHwqTQzDiE27x_a54VhiHQ_8_0"/>
      <w:bookmarkStart w:id="800" w:name="Tc_Wz61HFEiQ02FbMozTm_0nQ_7_0"/>
      <w:bookmarkStart w:id="801" w:name="Tc_vYzfGVp8N0Cd1ZNKlWV7Uw_6_0"/>
      <w:bookmarkStart w:id="802" w:name="Tc_6UMl1Ks1Nk21RROwc_ePTg_5_11"/>
      <w:bookmarkStart w:id="803" w:name="Tc_CgmEQof3X0ez175b0kvr7g_5_8"/>
      <w:bookmarkStart w:id="804" w:name="Tc_JsiRAEQWtkusAeS6aqAlCA_5_5"/>
      <w:bookmarkStart w:id="805" w:name="Tc_N2WO3eRjQ0OO8eKFZVqgow_5_2"/>
      <w:bookmarkStart w:id="806" w:name="Tc_xVLPyt1H1kuWcS80z7CQOg_5_0"/>
      <w:bookmarkStart w:id="807" w:name="Tc_ItQJ_0BR7U2R7DS6ThMROA_4_0"/>
      <w:bookmarkStart w:id="808" w:name="Tc_6T0pjB4ZEUaQ2NUuByU5ZQ_3_11"/>
      <w:bookmarkStart w:id="809" w:name="Tc_coenCfACzUadSwzWQ4qCoQ_3_8"/>
      <w:bookmarkStart w:id="810" w:name="Tc_Vt040btQqkarPtYRoEraBw_3_5"/>
      <w:bookmarkStart w:id="811" w:name="Tc_ALZHAFea6kSWoIAdjENPiQ_3_2"/>
      <w:bookmarkStart w:id="812" w:name="Tc_2yRXVF4UdUiFkwiCN7WbNQ_2_8"/>
      <w:bookmarkStart w:id="813" w:name="Tc_4QwD_Qh6AEuYeWXgBcULew_2_2"/>
      <w:bookmarkStart w:id="814" w:name="Tc_tMAzU_UHVkW78EJw7uU1cg_2_0"/>
      <w:bookmarkStart w:id="815" w:name="Tc_bbLpLF3ua0KjZmD9WC61uQ_1_8"/>
      <w:bookmarkStart w:id="816" w:name="Tc_U6A8E5TcsUKnpBOP8GuJRA_1_2"/>
      <w:bookmarkStart w:id="817" w:name="_df0c3366_64ab_42f3_b8d7_bb46697a7e9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r>
        <w:rPr>
          <w:rFonts w:ascii="Times New Roman;Times;serif" w:hAnsi="Times New Roman;Times;serif"/>
          <w:b/>
          <w:sz w:val="20"/>
        </w:rPr>
        <w:t>Note 9. Net Loss Per Share Attributable to Common Stockholders</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542"/>
        <w:gridCol w:w="326"/>
        <w:gridCol w:w="211"/>
        <w:gridCol w:w="1036"/>
        <w:gridCol w:w="326"/>
        <w:gridCol w:w="211"/>
        <w:gridCol w:w="1036"/>
        <w:gridCol w:w="326"/>
        <w:gridCol w:w="211"/>
        <w:gridCol w:w="1036"/>
        <w:gridCol w:w="326"/>
        <w:gridCol w:w="211"/>
        <w:gridCol w:w="1036"/>
        <w:gridCol w:w="371"/>
      </w:tblGrid>
      <w:tr>
        <w:trPr/>
        <w:tc>
          <w:tcPr>
            <w:tcW w:w="3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249170" cy="175260"/>
                      <wp:effectExtent l="0" t="0" r="0" b="0"/>
                      <wp:wrapNone/>
                      <wp:docPr id="105" name="Frame105"/>
                      <a:graphic xmlns:a="http://schemas.openxmlformats.org/drawingml/2006/main">
                        <a:graphicData uri="http://schemas.microsoft.com/office/word/2010/wordprocessingShape">
                          <wps:wsp>
                            <wps:cNvSpPr txBox="1"/>
                            <wps:spPr>
                              <a:xfrm>
                                <a:off x="0" y="0"/>
                                <a:ext cx="2249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57860" cy="175260"/>
                      <wp:effectExtent l="0" t="0" r="0" b="0"/>
                      <wp:wrapNone/>
                      <wp:docPr id="108" name="Frame10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7860" cy="175260"/>
                      <wp:effectExtent l="0" t="0" r="0" b="0"/>
                      <wp:wrapNone/>
                      <wp:docPr id="111" name="Frame11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57860" cy="175260"/>
                      <wp:effectExtent l="0" t="0" r="0" b="0"/>
                      <wp:wrapNone/>
                      <wp:docPr id="114" name="Frame1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57860" cy="175260"/>
                      <wp:effectExtent l="0" t="0" r="0" b="0"/>
                      <wp:wrapNone/>
                      <wp:docPr id="117" name="Frame1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35585" cy="175260"/>
                      <wp:effectExtent l="0" t="0" r="0" b="0"/>
                      <wp:wrapNone/>
                      <wp:docPr id="118" name="Frame11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share and per share data)</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(17,547)</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35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16,223,919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13,620,196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16,208,905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13,597,243</w:t>
            </w:r>
          </w:p>
        </w:tc>
        <w:tc>
          <w:tcPr>
            <w:tcW w:w="371" w:type="dxa"/>
            <w:tcBorders/>
            <w:vAlign w:val="center"/>
          </w:tcPr>
          <w:p>
            <w:pPr>
              <w:pStyle w:val="TableContents"/>
              <w:bidi w:val="0"/>
              <w:spacing w:before="0" w:after="0"/>
              <w:ind w:left="0" w:right="0" w:hanging="0"/>
              <w:jc w:val="left"/>
              <w:rPr/>
            </w:pPr>
            <w:r>
              <w:rPr/>
              <w:t>​</w:t>
            </w:r>
          </w:p>
        </w:tc>
      </w:tr>
      <w:tr>
        <w:trPr/>
        <w:tc>
          <w:tcPr>
            <w:tcW w:w="35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pStyle w:val="TextBody"/>
        <w:bidi w:val="0"/>
        <w:spacing w:before="0" w:after="240"/>
        <w:ind w:left="0" w:right="0" w:firstLine="720"/>
        <w:jc w:val="both"/>
        <w:rPr/>
      </w:pPr>
      <w:r>
        <w:rPr/>
        <w:t>​</w:t>
      </w:r>
    </w:p>
    <w:tbl>
      <w:tblPr>
        <w:tblW w:w="5856" w:type="dxa"/>
        <w:jc w:val="left"/>
        <w:tblInd w:w="0" w:type="dxa"/>
        <w:tblLayout w:type="fixed"/>
        <w:tblCellMar>
          <w:top w:w="0" w:type="dxa"/>
          <w:left w:w="0" w:type="dxa"/>
          <w:bottom w:w="0" w:type="dxa"/>
          <w:right w:w="0" w:type="dxa"/>
        </w:tblCellMar>
      </w:tblPr>
      <w:tblGrid>
        <w:gridCol w:w="2971"/>
        <w:gridCol w:w="326"/>
        <w:gridCol w:w="931"/>
        <w:gridCol w:w="326"/>
        <w:gridCol w:w="931"/>
        <w:gridCol w:w="37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86585" cy="175260"/>
                      <wp:effectExtent l="0" t="0" r="0" b="0"/>
                      <wp:wrapNone/>
                      <wp:docPr id="119" name="Frame119"/>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21" name="Frame1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3"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5585" cy="175260"/>
                      <wp:effectExtent l="0" t="0" r="0" b="0"/>
                      <wp:wrapNone/>
                      <wp:docPr id="124" name="Frame124"/>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1,666,549</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2,370,226</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303,935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773,285</w:t>
            </w:r>
          </w:p>
        </w:tc>
        <w:tc>
          <w:tcPr>
            <w:tcW w:w="371" w:type="dxa"/>
            <w:tcBorders/>
            <w:vAlign w:val="center"/>
          </w:tcPr>
          <w:p>
            <w:pPr>
              <w:pStyle w:val="TableContents"/>
              <w:bidi w:val="0"/>
              <w:spacing w:before="0" w:after="0"/>
              <w:ind w:left="0" w:right="0" w:hanging="0"/>
              <w:jc w:val="lef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187,969</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2,158,453</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3,143,511</w:t>
            </w:r>
          </w:p>
        </w:tc>
        <w:tc>
          <w:tcPr>
            <w:tcW w:w="3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10. Segment Information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operates in four segments. These segments are based on financial information that is utilized by the Company’s CODM to assess performance and allocate resources. The Company determined its operating and reportable segments to be consistent with its major product groupings – Device Protection, Women’s Health, Orthobiologics and Cardiovascular.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bookmarkStart w:id="818" w:name="Tc_ec4ZRISKe0uPdIcBqPqFQQ_14_11"/>
      <w:bookmarkStart w:id="819" w:name="Tc_1x_9AMqV40OdfrFWz1QV9A_14_8"/>
      <w:bookmarkStart w:id="820" w:name="Tc_h-Z1PZVWnUehxRCdr6zQGg_14_5"/>
      <w:bookmarkStart w:id="821" w:name="Tc_PydF3PtlBUaMe6e-7Pw3Yw_14_2"/>
      <w:bookmarkStart w:id="822" w:name="Tc_KxY1tK7FVkKU_qQa_KlT3Q_14_0"/>
      <w:bookmarkStart w:id="823" w:name="Tc_mS8pmrmKak2zKFQzx1sedw_13_0"/>
      <w:bookmarkStart w:id="824" w:name="Tc_huXs8pD47E2x2xXrqSwhvQ_12_0"/>
      <w:bookmarkStart w:id="825" w:name="Tc__qLmf3pnNUujK8nAw34sTA_11_0"/>
      <w:bookmarkStart w:id="826" w:name="Tc_4HQyU_YFXkaRMO2NeHduKA_10_0"/>
      <w:bookmarkStart w:id="827" w:name="Tc_F0rnMMTfpUKEPt2eWB4P2A_9_0"/>
      <w:bookmarkStart w:id="828" w:name="Tc_mACVbrL2cEOQ3O-jJBkrUA_8_0"/>
      <w:bookmarkStart w:id="829" w:name="Tc_wrRnGbQblkWXBlPaaZ_Wcg_7_0"/>
      <w:bookmarkStart w:id="830" w:name="Tc_72PALMM35km5LckHTvEjHQ_6_0"/>
      <w:bookmarkStart w:id="831" w:name="Tc_dgX-qAFR_0SWsnIE_AyJuA_4_11"/>
      <w:bookmarkStart w:id="832" w:name="Tc_Pp-SYZr1IEec7oxi_-WbiA_4_8"/>
      <w:bookmarkStart w:id="833" w:name="Tc_jCvlzwbNokWQzLG_T0qrTw_4_5"/>
      <w:bookmarkStart w:id="834" w:name="Tc_zeSyB6XybkS8DTVW4htIVw_4_2"/>
      <w:bookmarkStart w:id="835" w:name="Tc_Z-_7lt8Gj0mHozU7yI7aoQ_4_0"/>
      <w:bookmarkStart w:id="836" w:name="Tc_1-WfkOrtNUCz1H43XByhaQ_3_11"/>
      <w:bookmarkStart w:id="837" w:name="Tc_-NP8WMZQ1USKyeUi6pnjwg_3_8"/>
      <w:bookmarkStart w:id="838" w:name="Tc_P4VXL76npkGSbnz8br0GOA_3_5"/>
      <w:bookmarkStart w:id="839" w:name="Tc_1K4DbuzDQ0uh225zYNgyUg_3_2"/>
      <w:bookmarkStart w:id="840" w:name="Tc_XQxlXOffCESA8LVSHINnqw_2_8"/>
      <w:bookmarkStart w:id="841" w:name="Tc_cjVkBpH5fUyi41DtI3GGUw_2_2"/>
      <w:bookmarkStart w:id="842" w:name="Tc_cbmJRtLmJEmky4LXSs7qDQ_1_8"/>
      <w:bookmarkStart w:id="843" w:name="Tc_uXUN_d8FgkaGjb82kD1KpQ_1_2"/>
      <w:bookmarkStart w:id="844" w:name="_f46a2d98_76de_4d42_8aff_d242ea78cbf1"/>
      <w:bookmarkStart w:id="845" w:name="Tc_ZfZc-w5wpEyty5R0r5n_bA_11_11"/>
      <w:bookmarkStart w:id="846" w:name="Tc_i-lSew0aeEepxIgg0FOxBA_11_8"/>
      <w:bookmarkStart w:id="847" w:name="Tc_DUNlDQ54kUOT-ZdFF1RNeA_11_5"/>
      <w:bookmarkStart w:id="848" w:name="Tc_Syb_bx6_kUeZm-WeOSI2-A_11_2"/>
      <w:bookmarkStart w:id="849" w:name="Tc_RJ5ePtjJ20-5Qgn3SrNIQw_11_0"/>
      <w:bookmarkStart w:id="850" w:name="Tc_5k4N4--90kOe0l0rq0VERA_10_0"/>
      <w:bookmarkStart w:id="851" w:name="Tc_WWmBWdDWMEedg8SWGqPiDg_9_2"/>
      <w:bookmarkStart w:id="852" w:name="Tc_cRWqZeC3xE6rYRYoiZyMgg_9_0"/>
      <w:bookmarkStart w:id="853" w:name="Tc_z6cvW5XygEOZcOcAytqNAw_8_0"/>
      <w:bookmarkStart w:id="854" w:name="Tc_bejKpCAsPESqGMb2m0vCmw_7_0"/>
      <w:bookmarkStart w:id="855" w:name="Tc_evamaqo6sk-lPSCkw4n8WA_6_0"/>
      <w:bookmarkStart w:id="856" w:name="Tc_kCHtUz-cokWPAtHZx79ovA_5_11"/>
      <w:bookmarkStart w:id="857" w:name="Tc_Et7a47IzH0CrS6UujU__aQ_5_8"/>
      <w:bookmarkStart w:id="858" w:name="Tc_vSGpAIRZM0uU6kX_XLTLOw_5_5"/>
      <w:bookmarkStart w:id="859" w:name="Tc_nUHk_XrsiEC7dSebi6IQCA_5_2"/>
      <w:bookmarkStart w:id="860" w:name="Tc_jGBvn_heEEGrW_IGNMwyvg_5_0"/>
      <w:bookmarkStart w:id="861" w:name="Tc_KbVF3rliaUuB5S_upno_rw_4_0"/>
      <w:bookmarkStart w:id="862" w:name="Tc_avUQFbQVF0Wo4xNH1RkOig_3_11"/>
      <w:bookmarkStart w:id="863" w:name="Tc_G1wSOPjojUic4D_X67KLPg_3_8"/>
      <w:bookmarkStart w:id="864" w:name="Tc_T3Dv9t7Xy0i31h3P2KTjzA_3_5"/>
      <w:bookmarkStart w:id="865" w:name="Tc_nMmh8PxuVkWFWO0ZjQw-xQ_3_2"/>
      <w:bookmarkStart w:id="866" w:name="Tc_lswYrIcXe02ZrUC31c8CAg_2_8"/>
      <w:bookmarkStart w:id="867" w:name="Tc_GSvZaAi2e0y_G35NON9-bQ_2_2"/>
      <w:bookmarkStart w:id="868" w:name="Tc_YZ2aPR0hWkCvpB7WSi7Qvg_1_8"/>
      <w:bookmarkStart w:id="869" w:name="Tc_p3QGqcN09Ei-YRPw1zQljQ_1_2"/>
      <w:bookmarkStart w:id="870" w:name="_1e08d9bf_f167_45a5_927e_e7a191298318"/>
      <w:bookmarkStart w:id="871" w:name="Tc_svQdwzMffECpEJf1VjfBJw_9_11"/>
      <w:bookmarkStart w:id="872" w:name="Tc_hmB2tY-HS0iJm0hlCD7-OA_9_8"/>
      <w:bookmarkStart w:id="873" w:name="Tc_lk4AZZbI50-nCxidaD4fSQ_9_5"/>
      <w:bookmarkStart w:id="874" w:name="Tc_ODqvalbIrUyjz348dH69Bg_9_2"/>
      <w:bookmarkStart w:id="875" w:name="Tc_tsWtGxo-PkyDVxolYE1fEw_9_0"/>
      <w:bookmarkStart w:id="876" w:name="Tc_letiw6PnqEeeBN6xZXbmyw_8_0"/>
      <w:bookmarkStart w:id="877" w:name="Tc_uEuNJgXhZk-2WyGs_klKEg_7_0"/>
      <w:bookmarkStart w:id="878" w:name="Tc_uU2TG2_58km94Z_PH-QbEA_6_0"/>
      <w:bookmarkStart w:id="879" w:name="Tc_1MmJs7W-Ek-guAfkNbCbHg_5_11"/>
      <w:bookmarkStart w:id="880" w:name="Tc_RRkj0IZWhUOW4klf8Hq2-Q_5_8"/>
      <w:bookmarkStart w:id="881" w:name="Tc_suTqq1NJA02-BcYolqMhHg_5_2"/>
      <w:bookmarkStart w:id="882" w:name="Tc_4W7FQykJ50u3xfZvHwto9g_5_0"/>
      <w:bookmarkStart w:id="883" w:name="Tc_VjrL0MouGECX9tklxKxlWw_4_0"/>
      <w:bookmarkStart w:id="884" w:name="Tc_6_jMqLu7IECJpmCc0I9sMA_3_11"/>
      <w:bookmarkStart w:id="885" w:name="Tc_NhHk0WjU70W1P50cQysQsQ_3_8"/>
      <w:bookmarkStart w:id="886" w:name="Tc_LqCRkvwU8UyVw-ZL3LWsvQ_3_5"/>
      <w:bookmarkStart w:id="887" w:name="Tc_QnE0XZQvq0iaVkaj64PZWA_3_2"/>
      <w:bookmarkStart w:id="888" w:name="Tc_CGgNazYj5EiLM9grUdvNTA_2_8"/>
      <w:bookmarkStart w:id="889" w:name="Tc_yWEDYHinMkiZHiycL1gq4A_2_2"/>
      <w:bookmarkStart w:id="890" w:name="Tc_MF5co4CnPEKxjf_7FMLESA_1_8"/>
      <w:bookmarkStart w:id="891" w:name="Tc_C1jHs0Yl_kSMh_OwGIyQUw_1_2"/>
      <w:bookmarkStart w:id="892" w:name="_d1377930_154a_4860_b2c3_4e5631ecbfca"/>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rFonts w:ascii="Times New Roman;Times;serif" w:hAnsi="Times New Roman;Times;serif"/>
          <w:sz w:val="20"/>
        </w:rPr>
        <w:t>The Company’s net sales disaggregated by segment were as follows (in thousands):</w:t>
      </w:r>
    </w:p>
    <w:p>
      <w:pPr>
        <w:pStyle w:val="TextBody"/>
        <w:bidi w:val="0"/>
        <w:spacing w:before="0" w:after="240"/>
        <w:ind w:left="0" w:right="0" w:firstLine="720"/>
        <w:jc w:val="both"/>
        <w:rPr/>
      </w:pPr>
      <w:r>
        <w:rPr/>
        <w:t>​</w:t>
      </w:r>
    </w:p>
    <w:tbl>
      <w:tblPr>
        <w:tblW w:w="6543" w:type="dxa"/>
        <w:jc w:val="left"/>
        <w:tblInd w:w="0" w:type="dxa"/>
        <w:tblLayout w:type="fixed"/>
        <w:tblCellMar>
          <w:top w:w="0" w:type="dxa"/>
          <w:left w:w="0" w:type="dxa"/>
          <w:bottom w:w="0" w:type="dxa"/>
          <w:right w:w="0" w:type="dxa"/>
        </w:tblCellMar>
      </w:tblPr>
      <w:tblGrid>
        <w:gridCol w:w="1576"/>
        <w:gridCol w:w="326"/>
        <w:gridCol w:w="211"/>
        <w:gridCol w:w="676"/>
        <w:gridCol w:w="326"/>
        <w:gridCol w:w="211"/>
        <w:gridCol w:w="676"/>
        <w:gridCol w:w="326"/>
        <w:gridCol w:w="211"/>
        <w:gridCol w:w="676"/>
        <w:gridCol w:w="326"/>
        <w:gridCol w:w="211"/>
        <w:gridCol w:w="791"/>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000760" cy="175260"/>
                      <wp:effectExtent l="0" t="0" r="0" b="0"/>
                      <wp:wrapNone/>
                      <wp:docPr id="125" name="Frame125"/>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28" name="Frame1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29260" cy="175260"/>
                      <wp:effectExtent l="0" t="0" r="0" b="0"/>
                      <wp:wrapNone/>
                      <wp:docPr id="131" name="Frame1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4" name="Frame1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02285" cy="175260"/>
                      <wp:effectExtent l="0" t="0" r="0" b="0"/>
                      <wp:wrapNone/>
                      <wp:docPr id="137" name="Frame13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1" w:type="dxa"/>
            <w:tcBorders/>
            <w:shd w:fill="CCEEFF" w:val="clear"/>
            <w:vAlign w:val="center"/>
          </w:tcPr>
          <w:p>
            <w:pPr>
              <w:pStyle w:val="TableContents"/>
              <w:bidi w:val="0"/>
              <w:spacing w:before="0" w:after="0"/>
              <w:ind w:left="0" w:right="0" w:hanging="0"/>
              <w:jc w:val="center"/>
              <w:rPr/>
            </w:pPr>
            <w:r>
              <w:rPr/>
              <w:t>​</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Device protection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Orthobiologics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12,720</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w:t>
            </w:r>
          </w:p>
        </w:tc>
      </w:tr>
      <w:tr>
        <w:trPr/>
        <w:tc>
          <w:tcPr>
            <w:tcW w:w="1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24,133</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Company’s gross profit disaggregated by segment were as follows (in thousands):</w:t>
      </w:r>
    </w:p>
    <w:p>
      <w:pPr>
        <w:pStyle w:val="TextBody"/>
        <w:bidi w:val="0"/>
        <w:spacing w:before="0" w:after="240"/>
        <w:ind w:left="0" w:right="0" w:firstLine="720"/>
        <w:jc w:val="both"/>
        <w:rPr/>
      </w:pPr>
      <w:r>
        <w:rPr/>
        <w:t>​</w:t>
      </w:r>
    </w:p>
    <w:tbl>
      <w:tblPr>
        <w:tblW w:w="9083" w:type="dxa"/>
        <w:jc w:val="left"/>
        <w:tblInd w:w="0" w:type="dxa"/>
        <w:tblLayout w:type="fixed"/>
        <w:tblCellMar>
          <w:top w:w="0" w:type="dxa"/>
          <w:left w:w="0" w:type="dxa"/>
          <w:bottom w:w="0" w:type="dxa"/>
          <w:right w:w="0" w:type="dxa"/>
        </w:tblCellMar>
      </w:tblPr>
      <w:tblGrid>
        <w:gridCol w:w="4381"/>
        <w:gridCol w:w="326"/>
        <w:gridCol w:w="211"/>
        <w:gridCol w:w="691"/>
        <w:gridCol w:w="326"/>
        <w:gridCol w:w="211"/>
        <w:gridCol w:w="571"/>
        <w:gridCol w:w="326"/>
        <w:gridCol w:w="211"/>
        <w:gridCol w:w="571"/>
        <w:gridCol w:w="326"/>
        <w:gridCol w:w="211"/>
        <w:gridCol w:w="721"/>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781935" cy="175260"/>
                      <wp:effectExtent l="0" t="0" r="0" b="0"/>
                      <wp:wrapNone/>
                      <wp:docPr id="138" name="Frame138"/>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38785" cy="175260"/>
                      <wp:effectExtent l="0" t="0" r="0" b="0"/>
                      <wp:wrapNone/>
                      <wp:docPr id="141" name="Frame1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62585" cy="175260"/>
                      <wp:effectExtent l="0" t="0" r="0" b="0"/>
                      <wp:wrapNone/>
                      <wp:docPr id="144" name="Frame1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62585" cy="175260"/>
                      <wp:effectExtent l="0" t="0" r="0" b="0"/>
                      <wp:wrapNone/>
                      <wp:docPr id="147" name="Frame14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49"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57835" cy="175260"/>
                      <wp:effectExtent l="0" t="0" r="0" b="0"/>
                      <wp:wrapNone/>
                      <wp:docPr id="150" name="Frame15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Device protection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Orthobiologics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3,545</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2,906</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excluding intangible asset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10,878</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9,179</w:t>
            </w:r>
          </w:p>
        </w:tc>
      </w:tr>
    </w:tbl>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is a reconciliation of segment gross profit to the consolidated loss before provision for income taxes (in thousands):</w:t>
      </w:r>
    </w:p>
    <w:p>
      <w:pPr>
        <w:pStyle w:val="TextBody"/>
        <w:bidi w:val="0"/>
        <w:spacing w:before="0" w:after="240"/>
        <w:ind w:left="0" w:right="0" w:firstLine="720"/>
        <w:jc w:val="both"/>
        <w:rPr/>
      </w:pPr>
      <w:r>
        <w:rPr/>
        <w:t>​</w:t>
      </w:r>
    </w:p>
    <w:tbl>
      <w:tblPr>
        <w:tblW w:w="9653" w:type="dxa"/>
        <w:jc w:val="left"/>
        <w:tblInd w:w="0" w:type="dxa"/>
        <w:tblLayout w:type="fixed"/>
        <w:tblCellMar>
          <w:top w:w="0" w:type="dxa"/>
          <w:left w:w="0" w:type="dxa"/>
          <w:bottom w:w="0" w:type="dxa"/>
          <w:right w:w="0" w:type="dxa"/>
        </w:tblCellMar>
      </w:tblPr>
      <w:tblGrid>
        <w:gridCol w:w="4381"/>
        <w:gridCol w:w="326"/>
        <w:gridCol w:w="211"/>
        <w:gridCol w:w="796"/>
        <w:gridCol w:w="326"/>
        <w:gridCol w:w="211"/>
        <w:gridCol w:w="691"/>
        <w:gridCol w:w="326"/>
        <w:gridCol w:w="211"/>
        <w:gridCol w:w="796"/>
        <w:gridCol w:w="326"/>
        <w:gridCol w:w="211"/>
        <w:gridCol w:w="841"/>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781935" cy="175260"/>
                      <wp:effectExtent l="0" t="0" r="0" b="0"/>
                      <wp:wrapNone/>
                      <wp:docPr id="151" name="Frame151"/>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05460" cy="175260"/>
                      <wp:effectExtent l="0" t="0" r="0" b="0"/>
                      <wp:wrapNone/>
                      <wp:docPr id="154" name="Frame15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38785" cy="175260"/>
                      <wp:effectExtent l="0" t="0" r="0" b="0"/>
                      <wp:wrapNone/>
                      <wp:docPr id="157" name="Frame15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05460" cy="175260"/>
                      <wp:effectExtent l="0" t="0" r="0" b="0"/>
                      <wp:wrapNone/>
                      <wp:docPr id="160" name="Frame1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34035" cy="175260"/>
                      <wp:effectExtent l="0" t="0" r="0" b="0"/>
                      <wp:wrapNone/>
                      <wp:docPr id="163" name="Frame1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excluding intangible asset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10,878</w:t>
            </w:r>
          </w:p>
        </w:tc>
      </w:tr>
      <w:tr>
        <w:trPr/>
        <w:tc>
          <w:tcPr>
            <w:tcW w:w="4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(8,736)</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(4,889)</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FiberCel litigation costs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(15,104)</w:t>
            </w:r>
          </w:p>
        </w:tc>
      </w:tr>
      <w:tr>
        <w:trPr/>
        <w:tc>
          <w:tcPr>
            <w:tcW w:w="43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2,419</w:t>
            </w:r>
          </w:p>
        </w:tc>
      </w:tr>
      <w:tr>
        <w:trPr/>
        <w:tc>
          <w:tcPr>
            <w:tcW w:w="43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(17,523)</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93" w:name="Item2ManagementsDiscussionandAnalysisofF"/>
      <w:bookmarkStart w:id="894" w:name="_f1932c8e_a1fd_46e6_86f3_a0a66bae62d0"/>
      <w:bookmarkEnd w:id="893"/>
      <w:bookmarkEnd w:id="894"/>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Part II, Item 7. “Management’s Discussion and Analysis of Financial Condition and Results of Operations” included in our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and Part II, Item 1A. “Risk Factors” of this Quarterly Report and in the section entitled “Risk Factor Summary” and in Part I, Item IA. “Risk Factors” of our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commercial-stage regenerative medicine company focused on creating the next generation of differentiated products and improving outcomes in patients undergoing surgery. We seek to leverage our unique understanding of biologics to improve the interaction between medical devices and patients, with the goal of reducing complications and improving healing. From our proprietary tissue processing platforms, we have developed a portfolio of advanced regenerative medical products that are designed to mimic the healing response of natural biological material. Our proprietary products are designed to address the device protection, women’s health, orthobiologics and cardiovascular markets, which represented a combined $3 billion market opportunity in the United States in 2019. To expand our commercial reach, we have commercial relationships with major medical device companies, such as Boston Scientific, Biotronik, Sientra and LeMaitre Vascular, to promote and sell some of our products. We believe our focus on our unique regenerative medicine platforms will ultimately maximize our probability of continued clinical and commercial success and will create a long-term competitive advantage for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estimate that, over the past two years, approximately two million patients per year in the United States were implanted with either medical devices, such as pacemakers, defibrillators, neuro-stimulators, spinal fusion and trauma fracture hardware or tissue expanders for breast reconstruction. This number has been driven by advances in medical device technologies, reimbursement models focused on patient outcomes, and an aging population with a growing incidence of comorbidities, including diabetes, obesity and cardiovascular and peripheral vascular diseases. These comorbidities can exacerbate various immune responses and contribute to other complications upon device implant.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are targeted to address unmet clinical needs with the goal of promoting healthy tissue formation and avoiding complications associated with medical device implants, such as infection, scar-tissue formation, capsular contraction, erosion, migration, non-union of implants and implant rejection. We have leading products in each of our four priority markets: device protection, cardiovascular, orthobiologics and women’s health.  In device protection, we sell the only biological envelope, protected by a global patent portfolio, that forms a natural, systemically vascularized pocket for holding implanted electronic devices. In cardiovascular, we sell our SIS ECM for use as an intracardiac and vascular patch. In orthobiologics, we have a proprietary processing technology for manufacturing a comprehensive portfolio of bone regenerative products designed to promote the body’s ability to regenerate healthy bone, osteogenesis, while decreasing cell apoptosis, or programmed cell death. In women’s health, we have a patented cell removal technology that produces undamaged extracellular dermal matrices with superior handling, designed to promote faster healing and reduce inflammation. In pre-clinical and clinical studies, our products have supported and, in some cases, accelerated tissue healing, and thereby improved patient outcomes.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process all of our products at our two manufacturing facilities in Roswell, Georgia and Richmond, California, and stock inventory of raw materials, supplies and finished goods at those locations. We rely on a single or limited number of suppliers for certain raw materials and supplies.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 through tissue procurement firms engaged by us. Our products are shipped either directly to hospital customers or through distribution partners.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inception, we have financed our operations primarily through private placements of our convertible preferred stock, amounts borrowed under our credit facilities, sales of our products and, more recently, with proceeds from our initial public offering (“IPO”) and a private placement of our common stock. We have devoted the majority of our resources to acquisitions and integration, manufacturing and administrative costs, general and administrative,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June 30, 2023, we had 151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incurred significant operating losses since our inception. We incurred a net loss of $18.6 million for the six months ended June 30, 2023. Our accumulated deficit as of June 30, 2023 was $156.6 million. We expect our losses to continue for the foreseeable future and these losses will continue to have an adverse effect on our financial position. Because of the numerous risks and uncertainties associated with our commercialization and development efforts, including risks relating to our ability to obtain FDA clearance for the next generation of our flagship CanGaroo product, CanGaroo RM, and our ability to successfully commercialize this product, we are unable to predict when we will become profitable, and we may never become profitable. Our inability to achieve and then maintain profitability would negatively affect our business, financial condition, results of operations and cash flows.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mitigate the current and potential future liquidity issues caused by the matters noted above, we may seek to raise capital through the issuance of common stock, restructure our Revenue Interest Obligation, or pursue asset sale or other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 the SWK Loan Facility (described below under “—Credit Facilities”),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Viable Bone Matrix Recall and FiberCel Recall</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Viable Bone Matrix Recall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July 2023, we announced a voluntary recall of a single lot of a certain viable bone matrix product and the market withdrawal of all of our viable bone matrix (“VBM”) products produced after a specified date. Notice of the voluntary recall was issued to centers after we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Since issuing the recall, we have been working with the U.S. Food and Drug Administration (“FDA”) and the U.S. Centers for Disease Control and Prevention (“CDC”) to identify and secure all unused product, ascertain the medical status of patients treated with the recalled product, understand whether there is any relationship between the post-surgical infections and the recalled product lot and determine the medical cause of these infections. We have identified the 115 units comprising the single product lot in question. Based on information from the CDC, 49 units within this product lot were implanted into 36 patients and the remaining units were either never distributed by us or were returned to either us or the CDC. Of these 36 patients, CDC has identified at least five patients who have exhibited clinical or diagnostic findings consistent with tuberculosis infection. </w:t>
      </w:r>
    </w:p>
    <w:p>
      <w:pPr>
        <w:pStyle w:val="TextBody"/>
        <w:bidi w:val="0"/>
        <w:spacing w:before="0" w:after="0"/>
        <w:ind w:left="0" w:right="0" w:hanging="0"/>
        <w:jc w:val="both"/>
        <w:rPr>
          <w:shd w:fill="FFFF00" w:val="clear"/>
        </w:rPr>
      </w:pPr>
      <w:r>
        <w:rPr>
          <w:shd w:fill="FFFF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continuing to work closely with the FDA and CDC in investigating the circumstances surrounding the event.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FiberCel Recall</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June 2021, we issued a voluntary recall pertaining to a single donor lot of our FiberCel, our bone repair product formerly distributed by Medtronic, after learning of postsurgical infections reported in several patients treated with the product, including some patients that tested positive for tuberculosis. For information about the FiberCel Litigation in which we are involved, the impact of such proceedings on our financial statements included in this Quarterly Report, and the possible future financial implications, see Note 8 to the condensed consolidated financial statements included elsewhere in this Quarterly Report.  The impact of FiberCel Litigation on our results of operations for the periods covered by this Quarterly Report are discussed below under “ – Results of Operations.”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Strategic Transactions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March 2023, we entered into an agreement with Sientra, a medical aesthetics company uniquely focused on plastic surgery, to expand the distribution of our women’s health segment product line, SimpliDerm. Under the agreement terms, Aziyo will grant Sientra certain non-exclusive rights in the United States to market, sell and distribute SimpliDerm for select use in reconstruction surgery.</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April 2023, we entered into an agreement with LeMaitre Vascular, a provider of vascular devices, implants and services, granting LeMaitre Vascular the exclusive U.S. distribution rights for the products within its cardiovascular segment: ProxiCor® PC, ProxiCor® CTR, Tyke® and VasCure®. The term of the collaboration is three years, and LeMaitre Vascular will have the exclusive option to acquire the product line following the first year or under certain other circumstances.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CanGaroo RM Status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currently developing a version of the CanGaroo Envelope, CanGaroo RM, that combines the envelope with antibiotics and is designed to reduce the risk of infection following surgical implantation of an electronic device. Based on feedback from the FDA, CanGaroo RM will require clearance of a 510(k) submission to be marketed in the United States. We submitted the required 510(k) in April 2022 and, in March 2023, received a Not Substantially Equivalent (“NSE”) letter from FDA requiring us to address questions relating to drug testing, primarily a request by FDA to modify an </w:t>
      </w:r>
      <w:r>
        <w:rPr>
          <w:rFonts w:ascii="Times New Roman;Times;serif" w:hAnsi="Times New Roman;Times;serif"/>
          <w:i/>
          <w:sz w:val="20"/>
        </w:rPr>
        <w:t>in vitro</w:t>
      </w:r>
      <w:r>
        <w:rPr>
          <w:rFonts w:ascii="Times New Roman;Times;serif" w:hAnsi="Times New Roman;Times;serif"/>
          <w:sz w:val="20"/>
        </w:rPr>
        <w:t xml:space="preserve"> drug release assay employed as a manufacturing control.  We intend to address the questions raised in the NSE letter and continue to work with FDA for potential clearance via the 510(k) pathway. We anticipate being able to complete our responses to outstanding questions from FDA in the 2023 calendar year.</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Impact of Inflation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three or six months ended June 30, 2023 and 2022.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recognize revenue on the sale of our products. During the three months ended June 30, 2023, our device protection and cardiovascular products were sold to hospitals and other healthcare facilities primarily through our direct sales force, commercial partners or independent sales agents; however, beginning in April 2023, our cardiovascular products have been sold domestically through our distribution agreement with LeMaitre Vascular and internationally through commercial partners. Our women’s health product, SimpliDerm, is sold directly to hospitals and other healthcare facilities through independent sales agents or through our distribution agreement with Sientra.  Our orthobiologics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are sold through commercial partners. Our contract manufacturing products are sold directly to corporate customers. Gross to net sales adjustments include sales returns and prompt payment and volume discounts.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we have incurred significant costs in the operation of our business. We expect that our recurring operating costs will largely stabilize, or increase at modest rates, in the near future through the identification of efficiencies as we grow. We may, however, still experience more significant expense increases as we expand our product development and clinical and research activities. As a result, we will need to generate significant net sales in order to achieve profitability. Below is a breakdown of our main expense categories and the related expenses incurred in each category: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are primarily related to our direct sales force, consisting of salaries, commission compensation, fringe benefits, meals and other expenses. Auto and travel costs have also historically contributed to sales and marketing expenses.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related to our products, and customer service expenses.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(“G&amp;A”) expenses consist primarily of compensation, consulting, legal, human resources, information technology, accounting, insurance and general business expenses. Our G&amp;A expenses have increased as a result of operating as a public company, especially as a result of hiring additional personnel and incurring greater director and officer insurance premiums, greater investor relations costs, and additional costs associated with accounting, legal, tax-related and other services associated with maintaining compliance with exchange listing and SEC requirements.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(“R&amp;D”) expenses consist primarily of salaries and fringe benefits, laboratory supplies, clinical studies and outside service costs. Our product development efforts primarily relate to new offerings in support of the orthobiologics market and activities associated with the development of CanGaroo RM, our CanGaroo Envelope with antibiotics. Our future R&amp;D expenses may increase as a result of additional work required to address the FDA’s questions in the NSE letter we recently received regarding our CanGaroo RM. We also conduct clinical studies to validate the performance characteristics of our products and to capture patient data necessary to support our commercial efforts.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FiberCel Litigation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FiberCel litigation costs consist primarily of legal fees and the estimated costs to resolve the outstanding FiberCel litigation cases offset by the estimated amounts recoverable under insurance, indemnity and contribution agreements for such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2023 and 2022</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172"/>
        <w:gridCol w:w="326"/>
        <w:gridCol w:w="211"/>
        <w:gridCol w:w="795"/>
        <w:gridCol w:w="326"/>
        <w:gridCol w:w="764"/>
        <w:gridCol w:w="326"/>
        <w:gridCol w:w="211"/>
        <w:gridCol w:w="690"/>
        <w:gridCol w:w="326"/>
        <w:gridCol w:w="763"/>
        <w:gridCol w:w="326"/>
        <w:gridCol w:w="211"/>
        <w:gridCol w:w="690"/>
        <w:gridCol w:w="109"/>
        <w:gridCol w:w="585"/>
        <w:gridCol w:w="374"/>
      </w:tblGrid>
      <w:tr>
        <w:trPr/>
        <w:tc>
          <w:tcPr>
            <w:tcW w:w="3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14220" cy="175260"/>
                      <wp:effectExtent l="0" t="0" r="0" b="0"/>
                      <wp:wrapNone/>
                      <wp:docPr id="164" name="Frame164"/>
                      <a:graphic xmlns:a="http://schemas.openxmlformats.org/drawingml/2006/main">
                        <a:graphicData uri="http://schemas.microsoft.com/office/word/2010/wordprocessingShape">
                          <wps:wsp>
                            <wps:cNvSpPr txBox="1"/>
                            <wps:spPr>
                              <a:xfrm>
                                <a:off x="0" y="0"/>
                                <a:ext cx="2014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04825" cy="175260"/>
                      <wp:effectExtent l="0" t="0" r="0" b="0"/>
                      <wp:wrapNone/>
                      <wp:docPr id="167" name="Frame167"/>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85140" cy="175260"/>
                      <wp:effectExtent l="0" t="0" r="0" b="0"/>
                      <wp:wrapNone/>
                      <wp:docPr id="169" name="Frame169"/>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38150" cy="175260"/>
                      <wp:effectExtent l="0" t="0" r="0" b="0"/>
                      <wp:wrapNone/>
                      <wp:docPr id="172" name="Frame17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84505" cy="175260"/>
                      <wp:effectExtent l="0" t="0" r="0" b="0"/>
                      <wp:wrapNone/>
                      <wp:docPr id="174" name="Frame174"/>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38150" cy="175260"/>
                      <wp:effectExtent l="0" t="0" r="0" b="0"/>
                      <wp:wrapNone/>
                      <wp:docPr id="177" name="Frame17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71475" cy="175260"/>
                      <wp:effectExtent l="0" t="0" r="0" b="0"/>
                      <wp:wrapNone/>
                      <wp:docPr id="179" name="Frame179"/>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37490" cy="175260"/>
                      <wp:effectExtent l="0" t="0" r="0" b="0"/>
                      <wp:wrapNone/>
                      <wp:docPr id="180" name="Frame180"/>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412"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85" w:type="dxa"/>
            <w:tcBorders/>
            <w:vAlign w:val="center"/>
          </w:tcPr>
          <w:p>
            <w:pPr>
              <w:pStyle w:val="TableContents"/>
              <w:bidi w:val="0"/>
              <w:spacing w:before="0" w:after="1"/>
              <w:ind w:left="0" w:right="0" w:hanging="0"/>
              <w:jc w:val="center"/>
              <w:rPr/>
            </w:pPr>
            <w:r>
              <w:rPr/>
              <w:t>​</w:t>
            </w:r>
          </w:p>
        </w:tc>
        <w:tc>
          <w:tcPr>
            <w:tcW w:w="374" w:type="dxa"/>
            <w:tcBorders/>
            <w:vAlign w:val="center"/>
          </w:tcPr>
          <w:p>
            <w:pPr>
              <w:pStyle w:val="TableContents"/>
              <w:bidi w:val="0"/>
              <w:spacing w:before="0" w:after="1"/>
              <w:ind w:left="0" w:right="0" w:hanging="0"/>
              <w:jc w:val="center"/>
              <w:rPr/>
            </w:pPr>
            <w:r>
              <w:rPr/>
              <w:t> </w:t>
            </w:r>
          </w:p>
        </w:tc>
      </w:tr>
      <w:tr>
        <w:trPr/>
        <w:tc>
          <w:tcPr>
            <w:tcW w:w="31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9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99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595"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2022 / 2023</w:t>
            </w:r>
          </w:p>
        </w:tc>
        <w:tc>
          <w:tcPr>
            <w:tcW w:w="374" w:type="dxa"/>
            <w:tcBorders/>
            <w:vAlign w:val="center"/>
          </w:tcPr>
          <w:p>
            <w:pPr>
              <w:pStyle w:val="TableContents"/>
              <w:bidi w:val="0"/>
              <w:spacing w:before="0" w:after="1"/>
              <w:ind w:left="0" w:right="0" w:hanging="0"/>
              <w:jc w:val="center"/>
              <w:rPr/>
            </w:pPr>
            <w:r>
              <w:rPr/>
              <w:t> </w:t>
            </w:r>
          </w:p>
        </w:tc>
      </w:tr>
      <w:tr>
        <w:trPr/>
        <w:tc>
          <w:tcPr>
            <w:tcW w:w="317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6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585" w:type="dxa"/>
            <w:tcBorders/>
            <w:vAlign w:val="center"/>
          </w:tcPr>
          <w:p>
            <w:pPr>
              <w:pStyle w:val="TableContents"/>
              <w:bidi w:val="0"/>
              <w:spacing w:before="0" w:after="1"/>
              <w:ind w:left="0" w:right="0" w:hanging="0"/>
              <w:jc w:val="center"/>
              <w:rPr/>
            </w:pPr>
            <w:r>
              <w:rPr/>
              <w:t>​</w:t>
            </w:r>
          </w:p>
        </w:tc>
        <w:tc>
          <w:tcPr>
            <w:tcW w:w="374" w:type="dxa"/>
            <w:tcBorders/>
            <w:vAlign w:val="center"/>
          </w:tcPr>
          <w:p>
            <w:pPr>
              <w:pStyle w:val="TableContents"/>
              <w:bidi w:val="0"/>
              <w:spacing w:before="0" w:after="1"/>
              <w:ind w:left="0" w:right="0" w:hanging="0"/>
              <w:jc w:val="center"/>
              <w:rPr/>
            </w:pPr>
            <w:r>
              <w:rPr/>
              <w:t>​</w:t>
            </w:r>
          </w:p>
        </w:tc>
      </w:tr>
      <w:tr>
        <w:trPr/>
        <w:tc>
          <w:tcPr>
            <w:tcW w:w="317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1"/>
              <w:ind w:left="0" w:right="0" w:hanging="0"/>
              <w:jc w:val="center"/>
              <w:rPr/>
            </w:pPr>
            <w:r>
              <w:rPr/>
              <w:t>    </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1"/>
              <w:ind w:left="0" w:right="0" w:hanging="0"/>
              <w:jc w:val="center"/>
              <w:rPr/>
            </w:pPr>
            <w:r>
              <w:rPr/>
              <w:t>​</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74" w:type="dxa"/>
            <w:tcBorders/>
            <w:vAlign w:val="center"/>
          </w:tcPr>
          <w:p>
            <w:pPr>
              <w:pStyle w:val="TableContents"/>
              <w:bidi w:val="0"/>
              <w:spacing w:before="0" w:after="1"/>
              <w:ind w:left="0" w:right="0" w:hanging="0"/>
              <w:jc w:val="center"/>
              <w:rPr/>
            </w:pPr>
            <w:r>
              <w:rPr/>
              <w:t>    </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10,296</w:t>
            </w:r>
          </w:p>
        </w:tc>
        <w:tc>
          <w:tcPr>
            <w:tcW w:w="326" w:type="dxa"/>
            <w:tcBorders/>
            <w:shd w:fill="CCEEFF" w:val="clear"/>
            <w:vAlign w:val="center"/>
          </w:tcPr>
          <w:p>
            <w:pPr>
              <w:pStyle w:val="TableContents"/>
              <w:bidi w:val="0"/>
              <w:spacing w:before="0" w:after="1"/>
              <w:ind w:left="0" w:right="0" w:hanging="0"/>
              <w:jc w:val="center"/>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12,638</w:t>
            </w:r>
          </w:p>
        </w:tc>
        <w:tc>
          <w:tcPr>
            <w:tcW w:w="326" w:type="dxa"/>
            <w:tcBorders/>
            <w:shd w:fill="CCEEFF" w:val="clear"/>
            <w:vAlign w:val="center"/>
          </w:tcPr>
          <w:p>
            <w:pPr>
              <w:pStyle w:val="TableContents"/>
              <w:bidi w:val="0"/>
              <w:spacing w:before="0" w:after="1"/>
              <w:ind w:left="0" w:right="0" w:hanging="0"/>
              <w:jc w:val="center"/>
              <w:rPr/>
            </w:pPr>
            <w:r>
              <w:rPr/>
              <w:t>​</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(2,342)</w:t>
            </w:r>
          </w:p>
        </w:tc>
        <w:tc>
          <w:tcPr>
            <w:tcW w:w="109"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9,316</w:t>
            </w:r>
          </w:p>
        </w:tc>
        <w:tc>
          <w:tcPr>
            <w:tcW w:w="326" w:type="dxa"/>
            <w:tcBorders/>
            <w:vAlign w:val="center"/>
          </w:tcPr>
          <w:p>
            <w:pPr>
              <w:pStyle w:val="TableContents"/>
              <w:bidi w:val="0"/>
              <w:spacing w:before="0" w:after="1"/>
              <w:ind w:left="0" w:right="0" w:hanging="0"/>
              <w:jc w:val="left"/>
              <w:rPr/>
            </w:pPr>
            <w:r>
              <w:rPr/>
              <w:t> </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7,740</w:t>
            </w:r>
          </w:p>
        </w:tc>
        <w:tc>
          <w:tcPr>
            <w:tcW w:w="326" w:type="dxa"/>
            <w:tcBorders/>
            <w:vAlign w:val="center"/>
          </w:tcPr>
          <w:p>
            <w:pPr>
              <w:pStyle w:val="TableContents"/>
              <w:bidi w:val="0"/>
              <w:spacing w:before="0" w:after="1"/>
              <w:ind w:left="0" w:right="0" w:hanging="0"/>
              <w:jc w:val="left"/>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109" w:type="dxa"/>
            <w:tcBorders/>
            <w:vAlign w:val="center"/>
          </w:tcPr>
          <w:p>
            <w:pPr>
              <w:pStyle w:val="TableContents"/>
              <w:bidi w:val="0"/>
              <w:spacing w:before="0" w:after="1"/>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980</w:t>
            </w:r>
          </w:p>
        </w:tc>
        <w:tc>
          <w:tcPr>
            <w:tcW w:w="326"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4,898</w:t>
            </w:r>
          </w:p>
        </w:tc>
        <w:tc>
          <w:tcPr>
            <w:tcW w:w="326"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(3,918)</w:t>
            </w:r>
          </w:p>
        </w:tc>
        <w:tc>
          <w:tcPr>
            <w:tcW w:w="109"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w:t>
            </w:r>
          </w:p>
        </w:tc>
        <w:tc>
          <w:tcPr>
            <w:tcW w:w="326"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5,406</w:t>
            </w:r>
          </w:p>
        </w:tc>
        <w:tc>
          <w:tcPr>
            <w:tcW w:w="326"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w:t>
            </w:r>
          </w:p>
        </w:tc>
        <w:tc>
          <w:tcPr>
            <w:tcW w:w="10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4,005</w:t>
            </w:r>
          </w:p>
        </w:tc>
        <w:tc>
          <w:tcPr>
            <w:tcW w:w="326"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4,711</w:t>
            </w:r>
          </w:p>
        </w:tc>
        <w:tc>
          <w:tcPr>
            <w:tcW w:w="326"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109"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w:t>
            </w:r>
          </w:p>
        </w:tc>
        <w:tc>
          <w:tcPr>
            <w:tcW w:w="326"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(1,446)</w:t>
            </w:r>
          </w:p>
        </w:tc>
        <w:tc>
          <w:tcPr>
            <w:tcW w:w="10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FiberCel litigation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326" w:type="dxa"/>
            <w:tcBorders/>
            <w:shd w:fill="CCEEFF" w:val="clear"/>
            <w:vAlign w:val="center"/>
          </w:tcPr>
          <w:p>
            <w:pPr>
              <w:pStyle w:val="TableContents"/>
              <w:bidi w:val="0"/>
              <w:spacing w:before="0" w:after="1"/>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w:t>
            </w:r>
          </w:p>
        </w:tc>
        <w:tc>
          <w:tcPr>
            <w:tcW w:w="326" w:type="dxa"/>
            <w:tcBorders/>
            <w:shd w:fill="CCEEFF" w:val="cle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109" w:type="dxa"/>
            <w:tcBorders/>
            <w:shd w:fill="CCEEFF" w:val="clear"/>
            <w:vAlign w:val="center"/>
          </w:tcPr>
          <w:p>
            <w:pPr>
              <w:pStyle w:val="TableContents"/>
              <w:bidi w:val="0"/>
              <w:spacing w:before="0" w:after="1"/>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10,065</w:t>
            </w:r>
          </w:p>
        </w:tc>
        <w:tc>
          <w:tcPr>
            <w:tcW w:w="326" w:type="dxa"/>
            <w:tcBorders/>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13,080</w:t>
            </w:r>
          </w:p>
        </w:tc>
        <w:tc>
          <w:tcPr>
            <w:tcW w:w="326" w:type="dxa"/>
            <w:tcBorders/>
            <w:vAlign w:val="center"/>
          </w:tcPr>
          <w:p>
            <w:pPr>
              <w:pStyle w:val="TableContents"/>
              <w:bidi w:val="0"/>
              <w:spacing w:before="0" w:after="1"/>
              <w:ind w:left="0" w:right="0" w:hanging="0"/>
              <w:jc w:val="left"/>
              <w:rPr/>
            </w:pPr>
            <w:r>
              <w:rPr/>
              <w:t>​</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(3,015)</w:t>
            </w:r>
          </w:p>
        </w:tc>
        <w:tc>
          <w:tcPr>
            <w:tcW w:w="109" w:type="dxa"/>
            <w:tcBorders/>
            <w:vAlign w:val="center"/>
          </w:tcPr>
          <w:p>
            <w:pPr>
              <w:pStyle w:val="TableContents"/>
              <w:bidi w:val="0"/>
              <w:spacing w:before="0" w:after="1"/>
              <w:ind w:left="0" w:right="0" w:hanging="0"/>
              <w:jc w:val="left"/>
              <w:rPr/>
            </w:pPr>
            <w:r>
              <w:rPr/>
              <w:t>​</w:t>
            </w:r>
          </w:p>
        </w:tc>
        <w:tc>
          <w:tcPr>
            <w:tcW w:w="5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(9,085)</w:t>
            </w:r>
          </w:p>
        </w:tc>
        <w:tc>
          <w:tcPr>
            <w:tcW w:w="326" w:type="dxa"/>
            <w:tcBorders/>
            <w:shd w:fill="CCEEFF" w:val="clear"/>
            <w:vAlign w:val="center"/>
          </w:tcPr>
          <w:p>
            <w:pPr>
              <w:pStyle w:val="TableContents"/>
              <w:bidi w:val="0"/>
              <w:spacing w:before="0" w:after="1"/>
              <w:ind w:left="0" w:right="0" w:hanging="0"/>
              <w:jc w:val="left"/>
              <w:rPr/>
            </w:pPr>
            <w:r>
              <w:rPr/>
              <w:t> </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(8,182)</w:t>
            </w:r>
          </w:p>
        </w:tc>
        <w:tc>
          <w:tcPr>
            <w:tcW w:w="326" w:type="dxa"/>
            <w:tcBorders/>
            <w:shd w:fill="CCEEFF" w:val="clear"/>
            <w:vAlign w:val="center"/>
          </w:tcPr>
          <w:p>
            <w:pPr>
              <w:pStyle w:val="TableContents"/>
              <w:bidi w:val="0"/>
              <w:spacing w:before="0" w:after="1"/>
              <w:ind w:left="0" w:right="0" w:hanging="0"/>
              <w:jc w:val="left"/>
              <w:rPr/>
            </w:pPr>
            <w:r>
              <w:rPr/>
              <w:t> </w:t>
            </w:r>
          </w:p>
        </w:tc>
        <w:tc>
          <w:tcPr>
            <w:tcW w:w="7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(903)</w:t>
            </w:r>
          </w:p>
        </w:tc>
        <w:tc>
          <w:tcPr>
            <w:tcW w:w="109"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w:t>
            </w:r>
          </w:p>
        </w:tc>
        <w:tc>
          <w:tcPr>
            <w:tcW w:w="326"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10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of income taxes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(10,609)</w:t>
            </w:r>
          </w:p>
        </w:tc>
        <w:tc>
          <w:tcPr>
            <w:tcW w:w="326" w:type="dxa"/>
            <w:tcBorders/>
            <w:vAlign w:val="center"/>
          </w:tcPr>
          <w:p>
            <w:pPr>
              <w:pStyle w:val="TableContents"/>
              <w:bidi w:val="0"/>
              <w:spacing w:before="0" w:after="1"/>
              <w:ind w:left="0" w:right="0" w:hanging="0"/>
              <w:jc w:val="left"/>
              <w:rPr/>
            </w:pPr>
            <w:r>
              <w:rPr/>
              <w:t> </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(9,386)</w:t>
            </w:r>
          </w:p>
        </w:tc>
        <w:tc>
          <w:tcPr>
            <w:tcW w:w="326" w:type="dxa"/>
            <w:tcBorders/>
            <w:vAlign w:val="center"/>
          </w:tcPr>
          <w:p>
            <w:pPr>
              <w:pStyle w:val="TableContents"/>
              <w:bidi w:val="0"/>
              <w:spacing w:before="0" w:after="1"/>
              <w:ind w:left="0" w:right="0" w:hanging="0"/>
              <w:jc w:val="left"/>
              <w:rPr/>
            </w:pPr>
            <w:r>
              <w:rPr/>
              <w:t> </w:t>
            </w:r>
          </w:p>
        </w:tc>
        <w:tc>
          <w:tcPr>
            <w:tcW w:w="7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(74.3)</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109" w:type="dxa"/>
            <w:tcBorders/>
            <w:vAlign w:val="center"/>
          </w:tcPr>
          <w:p>
            <w:pPr>
              <w:pStyle w:val="TableContents"/>
              <w:bidi w:val="0"/>
              <w:spacing w:before="0" w:after="1"/>
              <w:ind w:left="0" w:right="0" w:hanging="0"/>
              <w:jc w:val="left"/>
              <w:rPr/>
            </w:pPr>
            <w:r>
              <w:rPr/>
              <w:t>​</w:t>
            </w:r>
          </w:p>
        </w:tc>
        <w:tc>
          <w:tcPr>
            <w:tcW w:w="5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7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7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(10,621)</w:t>
            </w:r>
          </w:p>
        </w:tc>
        <w:tc>
          <w:tcPr>
            <w:tcW w:w="326" w:type="dxa"/>
            <w:tcBorders/>
            <w:vAlign w:val="center"/>
          </w:tcPr>
          <w:p>
            <w:pPr>
              <w:pStyle w:val="TableContents"/>
              <w:bidi w:val="0"/>
              <w:spacing w:before="0" w:after="1"/>
              <w:ind w:left="0" w:right="0" w:hanging="0"/>
              <w:jc w:val="left"/>
              <w:rPr/>
            </w:pPr>
            <w:r>
              <w:rPr/>
              <w:t> </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(103.2)</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(9,398)</w:t>
            </w:r>
          </w:p>
        </w:tc>
        <w:tc>
          <w:tcPr>
            <w:tcW w:w="326" w:type="dxa"/>
            <w:tcBorders/>
            <w:vAlign w:val="center"/>
          </w:tcPr>
          <w:p>
            <w:pPr>
              <w:pStyle w:val="TableContents"/>
              <w:bidi w:val="0"/>
              <w:spacing w:before="0" w:after="1"/>
              <w:ind w:left="0" w:right="0" w:hanging="0"/>
              <w:jc w:val="left"/>
              <w:rPr/>
            </w:pPr>
            <w:r>
              <w:rPr/>
              <w:t> </w:t>
            </w:r>
          </w:p>
        </w:tc>
        <w:tc>
          <w:tcPr>
            <w:tcW w:w="7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(1,223)</w:t>
            </w:r>
          </w:p>
        </w:tc>
        <w:tc>
          <w:tcPr>
            <w:tcW w:w="109" w:type="dxa"/>
            <w:tcBorders/>
            <w:vAlign w:val="center"/>
          </w:tcPr>
          <w:p>
            <w:pPr>
              <w:pStyle w:val="TableContents"/>
              <w:bidi w:val="0"/>
              <w:spacing w:before="0" w:after="1"/>
              <w:ind w:left="0" w:right="0" w:hanging="0"/>
              <w:jc w:val="left"/>
              <w:rPr/>
            </w:pPr>
            <w:r>
              <w:rPr/>
              <w:t>​</w:t>
            </w:r>
          </w:p>
        </w:tc>
        <w:tc>
          <w:tcPr>
            <w:tcW w:w="5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13.0</w:t>
            </w:r>
          </w:p>
        </w:tc>
        <w:tc>
          <w:tcPr>
            <w:tcW w:w="37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information for our products is summarized as follows:</w:t>
      </w:r>
    </w:p>
    <w:tbl>
      <w:tblPr>
        <w:tblW w:w="9692" w:type="dxa"/>
        <w:jc w:val="left"/>
        <w:tblInd w:w="0" w:type="dxa"/>
        <w:tblLayout w:type="fixed"/>
        <w:tblCellMar>
          <w:top w:w="0" w:type="dxa"/>
          <w:left w:w="0" w:type="dxa"/>
          <w:bottom w:w="0" w:type="dxa"/>
          <w:right w:w="0" w:type="dxa"/>
        </w:tblCellMar>
      </w:tblPr>
      <w:tblGrid>
        <w:gridCol w:w="2596"/>
        <w:gridCol w:w="326"/>
        <w:gridCol w:w="211"/>
        <w:gridCol w:w="676"/>
        <w:gridCol w:w="326"/>
        <w:gridCol w:w="766"/>
        <w:gridCol w:w="326"/>
        <w:gridCol w:w="211"/>
        <w:gridCol w:w="676"/>
        <w:gridCol w:w="326"/>
        <w:gridCol w:w="766"/>
        <w:gridCol w:w="326"/>
        <w:gridCol w:w="211"/>
        <w:gridCol w:w="691"/>
        <w:gridCol w:w="326"/>
        <w:gridCol w:w="586"/>
        <w:gridCol w:w="34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648460" cy="175260"/>
                      <wp:effectExtent l="0" t="0" r="0" b="0"/>
                      <wp:wrapNone/>
                      <wp:docPr id="181" name="Frame18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9260" cy="175260"/>
                      <wp:effectExtent l="0" t="0" r="0" b="0"/>
                      <wp:wrapNone/>
                      <wp:docPr id="184"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86410" cy="175260"/>
                      <wp:effectExtent l="0" t="0" r="0" b="0"/>
                      <wp:wrapNone/>
                      <wp:docPr id="186" name="Frame18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29260" cy="175260"/>
                      <wp:effectExtent l="0" t="0" r="0" b="0"/>
                      <wp:wrapNone/>
                      <wp:docPr id="189" name="Frame1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86410" cy="175260"/>
                      <wp:effectExtent l="0" t="0" r="0" b="0"/>
                      <wp:wrapNone/>
                      <wp:docPr id="191" name="Frame1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4" name="Frame1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72110" cy="175260"/>
                      <wp:effectExtent l="0" t="0" r="0" b="0"/>
                      <wp:wrapNone/>
                      <wp:docPr id="196" name="Frame19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8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9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w:t>
            </w:r>
          </w:p>
        </w:tc>
        <w:tc>
          <w:tcPr>
            <w:tcW w:w="18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2022 / 2023</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Device protection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Orthobiologics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6,476</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1,730</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10,296</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12,638</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net sales decreased $2.3 million, or 18.5%, to $10.3 million in the three months ended June 30, 2023 compared to $12.6 million in the three months ended June 30, 2022, with such decrease primarily attributable to the viable bone matrix recall and market withdrawal in July 2023 described above. Such recall and market withdrawal, which impacted only our Orthobiologics business, necessitated the establishment of a product returns reserve and reversal of revenue totaling $3.0 million. Revenues from Women’s Health increased compared to the prior year’s second quarter due to volume growth and revenues from Cardiovascular decreased slightly due to the commencement of our distribution agreement with LeMaitre Vascular which provides for sales at a transfer price versus sales prior to such agreement being made at end-user pricing.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June 19, 2023, Surgalign Holdings, Inc. (“Surgalign”) and certain of its direct and indirect subsidiaries commenced voluntary proceedings under chapter 11 of the United States Bankruptcy Code in the United States Bankruptcy Court for the Southern District of Texas. Total revenues generated by us from Surgalign during the three months ended June 30, 2023 and 2022 were $1.1 million and $1.3, respectively. Surgalign is in the process of selling its assets through the chapter 11 process. Our contract with Surgalign is not being assumed by the buyer of the relevant assets. Consequently, future revenues from our Surgalign distribution relationship are highly uncertain.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goods sold and gross margin percentage information for our products is summarized as follows:</w:t>
      </w:r>
    </w:p>
    <w:tbl>
      <w:tblPr>
        <w:tblW w:w="10205" w:type="dxa"/>
        <w:jc w:val="left"/>
        <w:tblInd w:w="0" w:type="dxa"/>
        <w:tblLayout w:type="fixed"/>
        <w:tblCellMar>
          <w:top w:w="0" w:type="dxa"/>
          <w:left w:w="0" w:type="dxa"/>
          <w:bottom w:w="0" w:type="dxa"/>
          <w:right w:w="0" w:type="dxa"/>
        </w:tblCellMar>
      </w:tblPr>
      <w:tblGrid>
        <w:gridCol w:w="3616"/>
        <w:gridCol w:w="146"/>
        <w:gridCol w:w="211"/>
        <w:gridCol w:w="571"/>
        <w:gridCol w:w="326"/>
        <w:gridCol w:w="778"/>
        <w:gridCol w:w="326"/>
        <w:gridCol w:w="211"/>
        <w:gridCol w:w="571"/>
        <w:gridCol w:w="326"/>
        <w:gridCol w:w="778"/>
        <w:gridCol w:w="326"/>
        <w:gridCol w:w="211"/>
        <w:gridCol w:w="571"/>
        <w:gridCol w:w="326"/>
        <w:gridCol w:w="563"/>
        <w:gridCol w:w="348"/>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96160" cy="175260"/>
                      <wp:effectExtent l="0" t="0" r="0" b="0"/>
                      <wp:wrapNone/>
                      <wp:docPr id="198" name="Frame198"/>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2710" cy="175260"/>
                      <wp:effectExtent l="0" t="0" r="0" b="0"/>
                      <wp:wrapNone/>
                      <wp:docPr id="199" name="Frame1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62585" cy="175260"/>
                      <wp:effectExtent l="0" t="0" r="0" b="0"/>
                      <wp:wrapNone/>
                      <wp:docPr id="201" name="Frame2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94030" cy="175260"/>
                      <wp:effectExtent l="0" t="0" r="0" b="0"/>
                      <wp:wrapNone/>
                      <wp:docPr id="203" name="Frame203"/>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5" name="Frame2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62585" cy="175260"/>
                      <wp:effectExtent l="0" t="0" r="0" b="0"/>
                      <wp:wrapNone/>
                      <wp:docPr id="206" name="Frame2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94030" cy="175260"/>
                      <wp:effectExtent l="0" t="0" r="0" b="0"/>
                      <wp:wrapNone/>
                      <wp:docPr id="208" name="Frame208"/>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62585" cy="175260"/>
                      <wp:effectExtent l="0" t="0" r="0" b="0"/>
                      <wp:wrapNone/>
                      <wp:docPr id="211" name="Frame2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57505" cy="175260"/>
                      <wp:effectExtent l="0" t="0" r="0" b="0"/>
                      <wp:wrapNone/>
                      <wp:docPr id="213" name="Frame21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0980" cy="175260"/>
                      <wp:effectExtent l="0" t="0" r="0" b="0"/>
                      <wp:wrapNone/>
                      <wp:docPr id="214" name="Frame214"/>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098"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left"/>
              <w:rPr/>
            </w:pPr>
            <w:r>
              <w:rPr/>
              <w:t>​</w:t>
            </w:r>
          </w:p>
        </w:tc>
      </w:tr>
      <w:tr>
        <w:trPr/>
        <w:tc>
          <w:tcPr>
            <w:tcW w:w="36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8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88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center"/>
              <w:rPr/>
            </w:pPr>
            <w:r>
              <w:rPr/>
              <w:t>​</w:t>
            </w:r>
          </w:p>
        </w:tc>
        <w:tc>
          <w:tcPr>
            <w:tcW w:w="348" w:type="dxa"/>
            <w:tcBorders/>
            <w:vAlign w:val="center"/>
          </w:tcPr>
          <w:p>
            <w:pPr>
              <w:pStyle w:val="TableContents"/>
              <w:bidi w:val="0"/>
              <w:spacing w:before="0" w:after="1"/>
              <w:ind w:left="0" w:right="0" w:hanging="0"/>
              <w:jc w:val="left"/>
              <w:rPr/>
            </w:pPr>
            <w:r>
              <w:rPr/>
              <w:t> </w:t>
            </w:r>
          </w:p>
        </w:tc>
      </w:tr>
      <w:tr>
        <w:trPr/>
        <w:tc>
          <w:tcPr>
            <w:tcW w:w="36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7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78"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167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2022 / 2023</w:t>
            </w:r>
          </w:p>
        </w:tc>
        <w:tc>
          <w:tcPr>
            <w:tcW w:w="348" w:type="dxa"/>
            <w:tcBorders/>
            <w:vAlign w:val="center"/>
          </w:tcPr>
          <w:p>
            <w:pPr>
              <w:pStyle w:val="TableContents"/>
              <w:bidi w:val="0"/>
              <w:spacing w:before="0" w:after="1"/>
              <w:ind w:left="0" w:right="0" w:hanging="0"/>
              <w:jc w:val="left"/>
              <w:rPr/>
            </w:pPr>
            <w:r>
              <w:rPr/>
              <w:t> </w:t>
            </w:r>
          </w:p>
        </w:tc>
      </w:tr>
      <w:tr>
        <w:trPr/>
        <w:tc>
          <w:tcPr>
            <w:tcW w:w="36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1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7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5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8" w:type="dxa"/>
            <w:tcBorders/>
            <w:vAlign w:val="center"/>
          </w:tcPr>
          <w:p>
            <w:pPr>
              <w:pStyle w:val="TableContents"/>
              <w:bidi w:val="0"/>
              <w:spacing w:before="0" w:after="1"/>
              <w:ind w:left="0" w:right="0" w:hanging="0"/>
              <w:jc w:val="left"/>
              <w:rPr/>
            </w:pPr>
            <w:r>
              <w:rPr/>
              <w:t> </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left"/>
              <w:rPr/>
            </w:pPr>
            <w:r>
              <w:rPr/>
              <w:t>  </w:t>
            </w:r>
          </w:p>
        </w:tc>
        <w:tc>
          <w:tcPr>
            <w:tcW w:w="348" w:type="dxa"/>
            <w:tcBorders/>
            <w:shd w:fill="CCEEFF" w:val="clear"/>
            <w:vAlign w:val="center"/>
          </w:tcPr>
          <w:p>
            <w:pPr>
              <w:pStyle w:val="TableContents"/>
              <w:bidi w:val="0"/>
              <w:spacing w:before="0" w:after="1"/>
              <w:ind w:left="0" w:right="0" w:hanging="0"/>
              <w:jc w:val="left"/>
              <w:rPr/>
            </w:pPr>
            <w:r>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Device protection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32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26"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w:t>
            </w:r>
          </w:p>
        </w:tc>
        <w:tc>
          <w:tcPr>
            <w:tcW w:w="32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Orthobiologics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5,678</w:t>
            </w:r>
          </w:p>
        </w:tc>
        <w:tc>
          <w:tcPr>
            <w:tcW w:w="32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4,834</w:t>
            </w:r>
          </w:p>
        </w:tc>
        <w:tc>
          <w:tcPr>
            <w:tcW w:w="326"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326" w:type="dxa"/>
            <w:tcBorders/>
            <w:shd w:fill="CCEEFF" w:val="cle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shd w:fill="CCEEFF" w:val="cle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8,467</w:t>
            </w:r>
          </w:p>
        </w:tc>
        <w:tc>
          <w:tcPr>
            <w:tcW w:w="32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6,891</w:t>
            </w:r>
          </w:p>
        </w:tc>
        <w:tc>
          <w:tcPr>
            <w:tcW w:w="326"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32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w:t>
            </w:r>
          </w:p>
        </w:tc>
        <w:tc>
          <w:tcPr>
            <w:tcW w:w="3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26" w:type="dxa"/>
            <w:tcBorders/>
            <w:shd w:fill="CCEEFF" w:val="clear"/>
            <w:vAlign w:val="center"/>
          </w:tcPr>
          <w:p>
            <w:pPr>
              <w:pStyle w:val="TableContents"/>
              <w:bidi w:val="0"/>
              <w:spacing w:before="0" w:after="1"/>
              <w:ind w:left="0" w:right="0" w:hanging="0"/>
              <w:jc w:val="left"/>
              <w:rPr/>
            </w:pPr>
            <w:r>
              <w:rPr/>
              <w:t>​</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Goods Sold</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9,316</w:t>
            </w:r>
          </w:p>
        </w:tc>
        <w:tc>
          <w:tcPr>
            <w:tcW w:w="326" w:type="dxa"/>
            <w:tcBorders/>
            <w:vAlign w:val="center"/>
          </w:tcPr>
          <w:p>
            <w:pPr>
              <w:pStyle w:val="TableContents"/>
              <w:bidi w:val="0"/>
              <w:spacing w:before="0" w:after="1"/>
              <w:ind w:left="0" w:right="0" w:hanging="0"/>
              <w:jc w:val="left"/>
              <w:rPr/>
            </w:pPr>
            <w:r>
              <w:rPr/>
              <w:t> </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7,740</w:t>
            </w:r>
          </w:p>
        </w:tc>
        <w:tc>
          <w:tcPr>
            <w:tcW w:w="326" w:type="dxa"/>
            <w:tcBorders/>
            <w:vAlign w:val="center"/>
          </w:tcPr>
          <w:p>
            <w:pPr>
              <w:pStyle w:val="TableContents"/>
              <w:bidi w:val="0"/>
              <w:spacing w:before="0" w:after="1"/>
              <w:ind w:left="0" w:right="0" w:hanging="0"/>
              <w:jc w:val="left"/>
              <w:rPr/>
            </w:pPr>
            <w:r>
              <w:rPr/>
              <w:t> </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38.8</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1,576</w:t>
            </w:r>
          </w:p>
        </w:tc>
        <w:tc>
          <w:tcPr>
            <w:tcW w:w="326" w:type="dxa"/>
            <w:tcBorders/>
            <w:vAlign w:val="center"/>
          </w:tcPr>
          <w:p>
            <w:pPr>
              <w:pStyle w:val="TableContents"/>
              <w:bidi w:val="0"/>
              <w:spacing w:before="0" w:after="1"/>
              <w:ind w:left="0" w:right="0" w:hanging="0"/>
              <w:jc w:val="left"/>
              <w:rPr/>
            </w:pPr>
            <w:r>
              <w:rPr/>
              <w:t> </w:t>
            </w:r>
          </w:p>
        </w:tc>
        <w:tc>
          <w:tcPr>
            <w:tcW w:w="5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(29.2)</w:t>
            </w:r>
          </w:p>
        </w:tc>
        <w:tc>
          <w:tcPr>
            <w:tcW w:w="34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cost of goods sold increased $1.6 million to $9.3 million in the three months ended June 30, 2023 compared to $7.7 million in the three months ended June 30, 2022. Gross margin was 9.5% in the three months ended June 30, 2023 compared to 38.8% in the three months ended June 30, 2022. Gross margin, excluding intangible asset amortization, was 17.8% in the three months ended June 30, 2023 compared to 45.5% in the three months ended June 30, 2022. The decline in gross margin was due to the gross margin impact of the viable bone matrix recall and market withdrawal in July 2023 which, including both the revenue reversal noted above and inventory writedown described in Note 8 to the condensed consolidated financial statements, totaled $5.0 million causing a decrease in gross margin percentage of 35.4%. With respect to the individual product segments, the gross margin of Device Protection improved in the three months ended June 30, 2023 compared to the three months ended June 30, 2022 due to operational efficiencies in the current year causing lower costs to manufacture the product. The gross margin of Women’s Health declined due to non-recurring production issues and the gross margin of the Cardiovascular business declined due to the commencement of the LeMaitre Vascular distribution agreement described above.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increased $1.8 million, or 33.1%, to $3.6 million in the three months ended June 30, 2023 compared to $5.4 million in the three months ended June 30, 2022. As a percentage of sales, sales and marketing expenses decreased to 35.1% in the three months ended June 30, 2023 from 42.8% in the three months ended June 30, 2022. The decrease in expense was largely attributable to the previously announced reduction in force which occurred in the first quarter of 2023 and primarily impacted certain members of sales and marketing management.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G&amp;A expenses decreased $0.7 million, or 15.0%, to $4.0 million in the three months ended June 30, 2023 compared to $4.7 million in the three months ended June 30, 2022. As a percentage of net sales, G&amp;A expenses increased to 38.9% in the three months ended June 30, 2023 from 37.3% in the three months ended June 30, 2022. The decrease in expense was primarily due to declines in the cost of insurance and lower equity compensation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R&amp;D expenses decreased to $1.2 million in the three months ended June 30, 2023 compared to $2.6 million in the three months ended June 30, 2022. We continue to focus our R&amp;D efforts primarily on the development of our CanGaroo RM Antibacterial Envelope. Such related costs were less in the second quarter of 2023 versus the prior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comparable period due to the reduction of efforts needed and expenses incurred as the development progresses toward anticipated completion.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FiberCel Litigation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FiberCel litigation costs increased to $1.3 million in the three months ended June 30, 2023 compared to $0.3 million in the three months ended June 30, 2022. The increase in expense was primarily due to the establishment of the Contingent Liability for FiberCel litigation in the third quarter of 2022 and the legal defense costs incurred as the FiberCel cases progress. FiberCel litigation costs in the three months ended June 30, 2022 were comprised only of legal fees incurred See further discussion in Note 8 to condensed consolidated financial statements included elsewhere in this Quarterly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was approximately $1.5 million in the three months ended June 30, 2023 compared to $1.2 million in the three months ended June 30, 2022. The increase was due to the higher principal outstanding and interest rates incurred by us on our existing debt, the SWK Loan Facility, as compared to the debt outstanding in the three months ending June 30, 2022, which consisted primarily of the MidCap Loan Facility and MidCap Credit Facility. See “ - Liquidity and Capital Resources - Credit Facilities” below for a further discussion of these debt agreements and Note 6 to the condensed consolidated financial statements included elsewhere in this Quarterly Report.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2023 and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49"/>
        <w:gridCol w:w="326"/>
        <w:gridCol w:w="211"/>
        <w:gridCol w:w="785"/>
        <w:gridCol w:w="326"/>
        <w:gridCol w:w="730"/>
        <w:gridCol w:w="326"/>
        <w:gridCol w:w="211"/>
        <w:gridCol w:w="785"/>
        <w:gridCol w:w="326"/>
        <w:gridCol w:w="730"/>
        <w:gridCol w:w="326"/>
        <w:gridCol w:w="211"/>
        <w:gridCol w:w="680"/>
        <w:gridCol w:w="109"/>
        <w:gridCol w:w="575"/>
        <w:gridCol w:w="326"/>
        <w:gridCol w:w="373"/>
      </w:tblGrid>
      <w:tr>
        <w:trPr/>
        <w:tc>
          <w:tcPr>
            <w:tcW w:w="2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809115" cy="175260"/>
                      <wp:effectExtent l="0" t="0" r="0" b="0"/>
                      <wp:wrapNone/>
                      <wp:docPr id="215" name="Frame215"/>
                      <a:graphic xmlns:a="http://schemas.openxmlformats.org/drawingml/2006/main">
                        <a:graphicData uri="http://schemas.microsoft.com/office/word/2010/wordprocessingShape">
                          <wps:wsp>
                            <wps:cNvSpPr txBox="1"/>
                            <wps:spPr>
                              <a:xfrm>
                                <a:off x="0" y="0"/>
                                <a:ext cx="180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8475" cy="175260"/>
                      <wp:effectExtent l="0" t="0" r="0" b="0"/>
                      <wp:wrapNone/>
                      <wp:docPr id="218" name="Frame218"/>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3550" cy="175260"/>
                      <wp:effectExtent l="0" t="0" r="0" b="0"/>
                      <wp:wrapNone/>
                      <wp:docPr id="220" name="Frame22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98475" cy="175260"/>
                      <wp:effectExtent l="0" t="0" r="0" b="0"/>
                      <wp:wrapNone/>
                      <wp:docPr id="223" name="Frame22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63550" cy="175260"/>
                      <wp:effectExtent l="0" t="0" r="0" b="0"/>
                      <wp:wrapNone/>
                      <wp:docPr id="225" name="Frame225"/>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1800" cy="175260"/>
                      <wp:effectExtent l="0" t="0" r="0" b="0"/>
                      <wp:wrapNone/>
                      <wp:docPr id="228" name="Frame22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5125" cy="175260"/>
                      <wp:effectExtent l="0" t="0" r="0" b="0"/>
                      <wp:wrapNone/>
                      <wp:docPr id="230" name="Frame230"/>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36855" cy="175260"/>
                      <wp:effectExtent l="0" t="0" r="0" b="0"/>
                      <wp:wrapNone/>
                      <wp:docPr id="232" name="Frame232"/>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3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373" w:type="dxa"/>
            <w:tcBorders/>
            <w:vAlign w:val="center"/>
          </w:tcPr>
          <w:p>
            <w:pPr>
              <w:pStyle w:val="TableContents"/>
              <w:bidi w:val="0"/>
              <w:spacing w:before="0" w:after="0"/>
              <w:ind w:left="0" w:right="0" w:hanging="0"/>
              <w:jc w:val="center"/>
              <w:rPr/>
            </w:pPr>
            <w:r>
              <w:rPr/>
              <w:t>​</w:t>
            </w:r>
          </w:p>
        </w:tc>
      </w:tr>
      <w:tr>
        <w:trPr/>
        <w:tc>
          <w:tcPr>
            <w:tcW w:w="28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5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205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57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2022 / 2023</w:t>
            </w:r>
          </w:p>
        </w:tc>
        <w:tc>
          <w:tcPr>
            <w:tcW w:w="326" w:type="dxa"/>
            <w:tcBorders/>
            <w:vAlign w:val="center"/>
          </w:tcPr>
          <w:p>
            <w:pPr>
              <w:pStyle w:val="TableContents"/>
              <w:bidi w:val="0"/>
              <w:spacing w:before="0" w:after="0"/>
              <w:ind w:left="0" w:right="0" w:hanging="0"/>
              <w:jc w:val="center"/>
              <w:rPr/>
            </w:pPr>
            <w:r>
              <w:rPr/>
              <w:t> </w:t>
            </w:r>
          </w:p>
        </w:tc>
        <w:tc>
          <w:tcPr>
            <w:tcW w:w="373" w:type="dxa"/>
            <w:tcBorders/>
            <w:vAlign w:val="center"/>
          </w:tcPr>
          <w:p>
            <w:pPr>
              <w:pStyle w:val="TableContents"/>
              <w:bidi w:val="0"/>
              <w:spacing w:before="0" w:after="0"/>
              <w:ind w:left="0" w:right="0" w:hanging="0"/>
              <w:jc w:val="center"/>
              <w:rPr/>
            </w:pPr>
            <w:r>
              <w:rPr/>
              <w:t>​</w:t>
            </w:r>
          </w:p>
        </w:tc>
      </w:tr>
      <w:tr>
        <w:trPr/>
        <w:tc>
          <w:tcPr>
            <w:tcW w:w="28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5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73" w:type="dxa"/>
            <w:tcBorders/>
            <w:vAlign w:val="center"/>
          </w:tcPr>
          <w:p>
            <w:pPr>
              <w:pStyle w:val="TableContents"/>
              <w:bidi w:val="0"/>
              <w:spacing w:before="0" w:after="0"/>
              <w:ind w:left="0" w:right="0" w:hanging="0"/>
              <w:jc w:val="center"/>
              <w:rPr/>
            </w:pPr>
            <w:r>
              <w:rPr/>
              <w:t>​</w:t>
            </w:r>
          </w:p>
        </w:tc>
      </w:tr>
      <w:tr>
        <w:trPr/>
        <w:tc>
          <w:tcPr>
            <w:tcW w:w="28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0"/>
              <w:ind w:left="0" w:right="0" w:hanging="0"/>
              <w:jc w:val="center"/>
              <w:rPr/>
            </w:pPr>
            <w:r>
              <w:rPr/>
              <w:t>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0"/>
              <w:ind w:left="0" w:right="0" w:hanging="0"/>
              <w:jc w:val="center"/>
              <w:rPr/>
            </w:pPr>
            <w:r>
              <w:rPr/>
              <w:t>    </w:t>
            </w:r>
          </w:p>
        </w:tc>
        <w:tc>
          <w:tcPr>
            <w:tcW w:w="9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0"/>
              <w:ind w:left="0" w:right="0" w:hanging="0"/>
              <w:jc w:val="center"/>
              <w:rPr/>
            </w:pPr>
            <w:r>
              <w:rPr/>
              <w:t>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center"/>
              <w:rPr/>
            </w:pPr>
            <w:r>
              <w:rPr/>
              <w:t>​</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373" w:type="dxa"/>
            <w:tcBorders/>
            <w:vAlign w:val="center"/>
          </w:tcPr>
          <w:p>
            <w:pPr>
              <w:pStyle w:val="TableContents"/>
              <w:bidi w:val="0"/>
              <w:spacing w:before="0" w:after="0"/>
              <w:ind w:left="0" w:right="0" w:hanging="0"/>
              <w:jc w:val="center"/>
              <w:rPr/>
            </w:pPr>
            <w:r>
              <w:rPr/>
              <w:t>    </w:t>
            </w:r>
          </w:p>
        </w:tc>
      </w:tr>
      <w:tr>
        <w:trPr/>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23,346</w:t>
            </w:r>
          </w:p>
        </w:tc>
        <w:tc>
          <w:tcPr>
            <w:tcW w:w="326" w:type="dxa"/>
            <w:tcBorders/>
            <w:shd w:fill="CCEEFF" w:val="clear"/>
            <w:vAlign w:val="center"/>
          </w:tcPr>
          <w:p>
            <w:pPr>
              <w:pStyle w:val="TableContents"/>
              <w:bidi w:val="0"/>
              <w:spacing w:before="0" w:after="0"/>
              <w:ind w:left="0" w:right="0" w:hanging="0"/>
              <w:jc w:val="center"/>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24,133</w:t>
            </w:r>
          </w:p>
        </w:tc>
        <w:tc>
          <w:tcPr>
            <w:tcW w:w="326" w:type="dxa"/>
            <w:tcBorders/>
            <w:shd w:fill="CCEEFF" w:val="clear"/>
            <w:vAlign w:val="center"/>
          </w:tcPr>
          <w:p>
            <w:pPr>
              <w:pStyle w:val="TableContents"/>
              <w:bidi w:val="0"/>
              <w:spacing w:before="0" w:after="0"/>
              <w:ind w:left="0" w:right="0" w:hanging="0"/>
              <w:jc w:val="center"/>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109"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0"/>
              <w:ind w:left="0" w:right="0" w:hanging="0"/>
              <w:jc w:val="center"/>
              <w:rPr/>
            </w:pPr>
            <w:r>
              <w:rPr/>
              <w:t>​</w:t>
            </w:r>
          </w:p>
        </w:tc>
      </w:tr>
      <w:tr>
        <w:trPr/>
        <w:tc>
          <w:tcPr>
            <w:tcW w:w="2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16,035</w:t>
            </w:r>
          </w:p>
        </w:tc>
        <w:tc>
          <w:tcPr>
            <w:tcW w:w="326" w:type="dxa"/>
            <w:tcBorders/>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c>
          <w:tcPr>
            <w:tcW w:w="326" w:type="dxa"/>
            <w:tcBorders/>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109" w:type="dxa"/>
            <w:tcBorders/>
            <w:vAlign w:val="center"/>
          </w:tcPr>
          <w:p>
            <w:pPr>
              <w:pStyle w:val="TableContents"/>
              <w:bidi w:val="0"/>
              <w:spacing w:before="0" w:after="0"/>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vAlign w:val="center"/>
          </w:tcPr>
          <w:p>
            <w:pPr>
              <w:pStyle w:val="TableContents"/>
              <w:bidi w:val="0"/>
              <w:spacing w:before="0" w:after="0"/>
              <w:ind w:left="0" w:right="0" w:hanging="0"/>
              <w:jc w:val="left"/>
              <w:rPr/>
            </w:pPr>
            <w:r>
              <w:rPr/>
              <w:t> </w:t>
            </w:r>
          </w:p>
        </w:tc>
      </w:tr>
      <w:tr>
        <w:trPr/>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w:t>
            </w:r>
          </w:p>
        </w:tc>
        <w:tc>
          <w:tcPr>
            <w:tcW w:w="109"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0"/>
              <w:ind w:left="0" w:right="0" w:hanging="0"/>
              <w:jc w:val="left"/>
              <w:rPr/>
            </w:pPr>
            <w:r>
              <w:rPr/>
              <w:t> </w:t>
            </w:r>
          </w:p>
        </w:tc>
      </w:tr>
      <w:tr>
        <w:trPr/>
        <w:tc>
          <w:tcPr>
            <w:tcW w:w="2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8,974</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10,224</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109"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vAlign w:val="center"/>
          </w:tcPr>
          <w:p>
            <w:pPr>
              <w:pStyle w:val="TableContents"/>
              <w:bidi w:val="0"/>
              <w:spacing w:before="0" w:after="0"/>
              <w:ind w:left="0" w:right="0" w:hanging="0"/>
              <w:jc w:val="left"/>
              <w:rPr/>
            </w:pPr>
            <w:r>
              <w:rPr/>
              <w:t> </w:t>
            </w:r>
          </w:p>
        </w:tc>
      </w:tr>
      <w:tr>
        <w:trPr/>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7,684</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8,736</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109"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0"/>
              <w:ind w:left="0" w:right="0" w:hanging="0"/>
              <w:jc w:val="left"/>
              <w:rPr/>
            </w:pPr>
            <w:r>
              <w:rPr/>
              <w:t> </w:t>
            </w:r>
          </w:p>
        </w:tc>
      </w:tr>
      <w:tr>
        <w:trPr/>
        <w:tc>
          <w:tcPr>
            <w:tcW w:w="2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4,889</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109"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vAlign w:val="center"/>
          </w:tcPr>
          <w:p>
            <w:pPr>
              <w:pStyle w:val="TableContents"/>
              <w:bidi w:val="0"/>
              <w:spacing w:before="0" w:after="0"/>
              <w:ind w:left="0" w:right="0" w:hanging="0"/>
              <w:jc w:val="left"/>
              <w:rPr/>
            </w:pPr>
            <w:r>
              <w:rPr/>
              <w:t> </w:t>
            </w:r>
          </w:p>
        </w:tc>
      </w:tr>
      <w:tr>
        <w:trPr/>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FiberCel litigation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2,748</w:t>
            </w:r>
          </w:p>
        </w:tc>
        <w:tc>
          <w:tcPr>
            <w:tcW w:w="109" w:type="dxa"/>
            <w:tcBorders/>
            <w:shd w:fill="CCEEFF" w:val="clear"/>
            <w:vAlign w:val="center"/>
          </w:tcPr>
          <w:p>
            <w:pPr>
              <w:pStyle w:val="TableContents"/>
              <w:bidi w:val="0"/>
              <w:spacing w:before="0" w:after="0"/>
              <w:ind w:left="0" w:right="0" w:hanging="0"/>
              <w:jc w:val="left"/>
              <w:rPr/>
            </w:pPr>
            <w:r>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32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2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22,814</w:t>
            </w:r>
          </w:p>
        </w:tc>
        <w:tc>
          <w:tcPr>
            <w:tcW w:w="326" w:type="dxa"/>
            <w:tcBorders/>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24,283</w:t>
            </w:r>
          </w:p>
        </w:tc>
        <w:tc>
          <w:tcPr>
            <w:tcW w:w="326" w:type="dxa"/>
            <w:tcBorders/>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w:t>
            </w:r>
          </w:p>
        </w:tc>
        <w:tc>
          <w:tcPr>
            <w:tcW w:w="109" w:type="dxa"/>
            <w:tcBorders/>
            <w:vAlign w:val="center"/>
          </w:tcPr>
          <w:p>
            <w:pPr>
              <w:pStyle w:val="TableContents"/>
              <w:bidi w:val="0"/>
              <w:spacing w:before="0" w:after="0"/>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vAlign w:val="center"/>
          </w:tcPr>
          <w:p>
            <w:pPr>
              <w:pStyle w:val="TableContents"/>
              <w:bidi w:val="0"/>
              <w:spacing w:before="0" w:after="0"/>
              <w:ind w:left="0" w:right="0" w:hanging="0"/>
              <w:jc w:val="left"/>
              <w:rPr/>
            </w:pPr>
            <w:r>
              <w:rPr/>
              <w:t> </w:t>
            </w:r>
          </w:p>
        </w:tc>
      </w:tr>
      <w:tr>
        <w:trPr/>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(15,503)</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(15,104)</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109"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0"/>
              <w:ind w:left="0" w:right="0" w:hanging="0"/>
              <w:jc w:val="left"/>
              <w:rPr/>
            </w:pPr>
            <w:r>
              <w:rPr/>
              <w:t> </w:t>
            </w:r>
          </w:p>
        </w:tc>
      </w:tr>
      <w:tr>
        <w:trPr/>
        <w:tc>
          <w:tcPr>
            <w:tcW w:w="2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32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w:t>
            </w:r>
          </w:p>
        </w:tc>
        <w:tc>
          <w:tcPr>
            <w:tcW w:w="109"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vAlign w:val="center"/>
          </w:tcPr>
          <w:p>
            <w:pPr>
              <w:pStyle w:val="TableContents"/>
              <w:bidi w:val="0"/>
              <w:spacing w:before="0" w:after="0"/>
              <w:ind w:left="0" w:right="0" w:hanging="0"/>
              <w:jc w:val="left"/>
              <w:rPr/>
            </w:pPr>
            <w:r>
              <w:rPr/>
              <w:t> </w:t>
            </w:r>
          </w:p>
        </w:tc>
      </w:tr>
      <w:tr>
        <w:trPr/>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of income taxes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(18,571)</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(17,523)</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109"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0"/>
              <w:ind w:left="0" w:right="0" w:hanging="0"/>
              <w:jc w:val="left"/>
              <w:rPr/>
            </w:pPr>
            <w:r>
              <w:rPr/>
              <w:t> </w:t>
            </w:r>
          </w:p>
        </w:tc>
      </w:tr>
      <w:tr>
        <w:trPr/>
        <w:tc>
          <w:tcPr>
            <w:tcW w:w="28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3" w:type="dxa"/>
            <w:tcBorders/>
            <w:vAlign w:val="center"/>
          </w:tcPr>
          <w:p>
            <w:pPr>
              <w:pStyle w:val="TableContents"/>
              <w:bidi w:val="0"/>
              <w:spacing w:before="0" w:after="0"/>
              <w:ind w:left="0" w:right="0" w:hanging="0"/>
              <w:jc w:val="left"/>
              <w:rPr/>
            </w:pPr>
            <w:r>
              <w:rPr/>
              <w:t> </w:t>
            </w:r>
          </w:p>
        </w:tc>
      </w:tr>
      <w:tr>
        <w:trPr/>
        <w:tc>
          <w:tcPr>
            <w:tcW w:w="28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(18,595)</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(79.6)</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(17,547)</w:t>
            </w:r>
          </w:p>
        </w:tc>
        <w:tc>
          <w:tcPr>
            <w:tcW w:w="326" w:type="dxa"/>
            <w:tcBorders/>
            <w:shd w:fill="CCEEFF" w:val="clear"/>
            <w:vAlign w:val="center"/>
          </w:tcPr>
          <w:p>
            <w:pPr>
              <w:pStyle w:val="TableContents"/>
              <w:bidi w:val="0"/>
              <w:spacing w:before="0" w:after="0"/>
              <w:ind w:left="0" w:right="0" w:hanging="0"/>
              <w:jc w:val="left"/>
              <w:rPr/>
            </w:pPr>
            <w:r>
              <w:rPr/>
              <w:t> </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(1,048)</w:t>
            </w:r>
          </w:p>
        </w:tc>
        <w:tc>
          <w:tcPr>
            <w:tcW w:w="109" w:type="dxa"/>
            <w:tcBorders/>
            <w:shd w:fill="CCEEFF" w:val="clear"/>
            <w:vAlign w:val="center"/>
          </w:tcPr>
          <w:p>
            <w:pPr>
              <w:pStyle w:val="TableContents"/>
              <w:bidi w:val="0"/>
              <w:spacing w:before="0" w:after="0"/>
              <w:ind w:left="0" w:right="0" w:hanging="0"/>
              <w:jc w:val="left"/>
              <w:rPr/>
            </w:pPr>
            <w:r>
              <w:rPr/>
              <w:t>​</w:t>
            </w:r>
          </w:p>
        </w:tc>
        <w:tc>
          <w:tcPr>
            <w:tcW w:w="5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7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information for our products is summarized as follows:</w:t>
      </w:r>
    </w:p>
    <w:tbl>
      <w:tblPr>
        <w:tblW w:w="10018" w:type="dxa"/>
        <w:jc w:val="left"/>
        <w:tblInd w:w="0" w:type="dxa"/>
        <w:tblLayout w:type="fixed"/>
        <w:tblCellMar>
          <w:top w:w="0" w:type="dxa"/>
          <w:left w:w="0" w:type="dxa"/>
          <w:bottom w:w="0" w:type="dxa"/>
          <w:right w:w="0" w:type="dxa"/>
        </w:tblCellMar>
      </w:tblPr>
      <w:tblGrid>
        <w:gridCol w:w="2596"/>
        <w:gridCol w:w="326"/>
        <w:gridCol w:w="211"/>
        <w:gridCol w:w="676"/>
        <w:gridCol w:w="326"/>
        <w:gridCol w:w="766"/>
        <w:gridCol w:w="326"/>
        <w:gridCol w:w="211"/>
        <w:gridCol w:w="676"/>
        <w:gridCol w:w="326"/>
        <w:gridCol w:w="766"/>
        <w:gridCol w:w="326"/>
        <w:gridCol w:w="211"/>
        <w:gridCol w:w="691"/>
        <w:gridCol w:w="326"/>
        <w:gridCol w:w="586"/>
        <w:gridCol w:w="301"/>
        <w:gridCol w:w="37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648460" cy="175260"/>
                      <wp:effectExtent l="0" t="0" r="0" b="0"/>
                      <wp:wrapNone/>
                      <wp:docPr id="233" name="Frame23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29260" cy="175260"/>
                      <wp:effectExtent l="0" t="0" r="0" b="0"/>
                      <wp:wrapNone/>
                      <wp:docPr id="236" name="Frame23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86410" cy="175260"/>
                      <wp:effectExtent l="0" t="0" r="0" b="0"/>
                      <wp:wrapNone/>
                      <wp:docPr id="238" name="Frame2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260"/>
                      <wp:effectExtent l="0" t="0" r="0" b="0"/>
                      <wp:wrapNone/>
                      <wp:docPr id="241" name="Frame2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86410" cy="175260"/>
                      <wp:effectExtent l="0" t="0" r="0" b="0"/>
                      <wp:wrapNone/>
                      <wp:docPr id="243" name="Frame24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38785" cy="175260"/>
                      <wp:effectExtent l="0" t="0" r="0" b="0"/>
                      <wp:wrapNone/>
                      <wp:docPr id="246" name="Frame2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72110" cy="175260"/>
                      <wp:effectExtent l="0" t="0" r="0" b="0"/>
                      <wp:wrapNone/>
                      <wp:docPr id="248" name="Frame24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91135" cy="175260"/>
                      <wp:effectExtent l="0" t="0" r="0" b="0"/>
                      <wp:wrapNone/>
                      <wp:docPr id="249" name="Frame249"/>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35585" cy="175260"/>
                      <wp:effectExtent l="0" t="0" r="0" b="0"/>
                      <wp:wrapNone/>
                      <wp:docPr id="250" name="Frame25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28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9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30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Net</w:t>
            </w:r>
          </w:p>
        </w:tc>
        <w:tc>
          <w:tcPr>
            <w:tcW w:w="326" w:type="dxa"/>
            <w:tcBorders/>
            <w:vAlign w:val="center"/>
          </w:tcPr>
          <w:p>
            <w:pPr>
              <w:pStyle w:val="TableContents"/>
              <w:bidi w:val="0"/>
              <w:spacing w:before="0" w:after="0"/>
              <w:ind w:left="0" w:right="0" w:hanging="0"/>
              <w:jc w:val="center"/>
              <w:rPr/>
            </w:pPr>
            <w:r>
              <w:rPr/>
              <w:t>​</w:t>
            </w:r>
          </w:p>
        </w:tc>
        <w:tc>
          <w:tcPr>
            <w:tcW w:w="18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2022 / 2023</w:t>
            </w:r>
          </w:p>
        </w:tc>
        <w:tc>
          <w:tcPr>
            <w:tcW w:w="30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Sales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01" w:type="dxa"/>
            <w:tcBorders/>
            <w:vAlign w:val="center"/>
          </w:tcPr>
          <w:p>
            <w:pPr>
              <w:pStyle w:val="TableContents"/>
              <w:bidi w:val="0"/>
              <w:spacing w:before="0" w:after="0"/>
              <w:ind w:left="0" w:right="0" w:hanging="0"/>
              <w:jc w:val="center"/>
              <w:rPr/>
            </w:pPr>
            <w:r>
              <w:rPr/>
              <w:t> </w:t>
            </w:r>
          </w:p>
        </w:tc>
        <w:tc>
          <w:tcPr>
            <w:tcW w:w="371" w:type="dxa"/>
            <w:tcBorders/>
            <w:vAlign w:val="center"/>
          </w:tcPr>
          <w:p>
            <w:pPr>
              <w:pStyle w:val="TableContents"/>
              <w:bidi w:val="0"/>
              <w:spacing w:before="0" w:after="0"/>
              <w:ind w:left="0" w:right="0" w:hanging="0"/>
              <w:jc w:val="center"/>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Device protection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4,571</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4,695</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3,458</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Orthobiologics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10,603</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12,720</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3,477</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Net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23,346</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24,133</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(787)</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Total net sales decreased $0.8 million, or 3.3%, to $23.3 million in the six months ended June 30, 2023 compared to $24.1 million in the six months ended June 30, 2022, with such decrease primarily attributable to the viable bone matrix recall and market withdrawal in July 2023 described above. Such recall and market withdrawal, which impacted only our Orthobiologics business, necessitated the establishment of a product returns reserve and reversal of revenue totaling $3.0 million. Revenues from Device Protection and Women’s Health increased compared to the corresponding period of the prior year due to volume growth and revenues from Cardiovascular decreased slightly due to the commencement of our distribution agreement with LeMaitre Vascular which provides for sales at a transfer price versus sales prior to such agreement being made at end-user pricing.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June 19, 2023, Surgalign Holdings, Inc. (“Surgalign”) and certain of its direct and indirect subsidiaries commenced voluntary proceedings under chapter 11 of the United States Bankruptcy Code in the United States Bankruptcy Court for the Southern District of Texas. Total revenues generated by us from Surgalign during the six months ended June 30, 2023 and 2022 were $2.3 million and $2.5, respectively. Surgalign is in the process of selling its assets through the chapter 11 process. Our contract with Surgalign is not being assumed by the buyer of the relevant assets. Consequently, future revenues from our Surgalign distribution relationship are highly uncertain.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Cost of goods sold and gross margin percentage information for our products is summarized as follows:</w:t>
      </w:r>
    </w:p>
    <w:tbl>
      <w:tblPr>
        <w:tblW w:w="10205" w:type="dxa"/>
        <w:jc w:val="left"/>
        <w:tblInd w:w="0" w:type="dxa"/>
        <w:tblLayout w:type="fixed"/>
        <w:tblCellMar>
          <w:top w:w="0" w:type="dxa"/>
          <w:left w:w="0" w:type="dxa"/>
          <w:bottom w:w="0" w:type="dxa"/>
          <w:right w:w="0" w:type="dxa"/>
        </w:tblCellMar>
      </w:tblPr>
      <w:tblGrid>
        <w:gridCol w:w="3302"/>
        <w:gridCol w:w="146"/>
        <w:gridCol w:w="211"/>
        <w:gridCol w:w="676"/>
        <w:gridCol w:w="326"/>
        <w:gridCol w:w="759"/>
        <w:gridCol w:w="326"/>
        <w:gridCol w:w="211"/>
        <w:gridCol w:w="676"/>
        <w:gridCol w:w="326"/>
        <w:gridCol w:w="759"/>
        <w:gridCol w:w="326"/>
        <w:gridCol w:w="211"/>
        <w:gridCol w:w="571"/>
        <w:gridCol w:w="326"/>
        <w:gridCol w:w="558"/>
        <w:gridCol w:w="301"/>
        <w:gridCol w:w="194"/>
      </w:tblGrid>
      <w:tr>
        <w:trPr/>
        <w:tc>
          <w:tcPr>
            <w:tcW w:w="3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96770" cy="175260"/>
                      <wp:effectExtent l="0" t="0" r="0" b="0"/>
                      <wp:wrapNone/>
                      <wp:docPr id="251" name="Frame251"/>
                      <a:graphic xmlns:a="http://schemas.openxmlformats.org/drawingml/2006/main">
                        <a:graphicData uri="http://schemas.microsoft.com/office/word/2010/wordprocessingShape">
                          <wps:wsp>
                            <wps:cNvSpPr txBox="1"/>
                            <wps:spPr>
                              <a:xfrm>
                                <a:off x="0" y="0"/>
                                <a:ext cx="2096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92710" cy="175260"/>
                      <wp:effectExtent l="0" t="0" r="0" b="0"/>
                      <wp:wrapNone/>
                      <wp:docPr id="252" name="Frame25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29260" cy="175260"/>
                      <wp:effectExtent l="0" t="0" r="0" b="0"/>
                      <wp:wrapNone/>
                      <wp:docPr id="254" name="Frame2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81965" cy="175260"/>
                      <wp:effectExtent l="0" t="0" r="0" b="0"/>
                      <wp:wrapNone/>
                      <wp:docPr id="256" name="Frame256"/>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29260" cy="175260"/>
                      <wp:effectExtent l="0" t="0" r="0" b="0"/>
                      <wp:wrapNone/>
                      <wp:docPr id="259" name="Frame2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81965" cy="175260"/>
                      <wp:effectExtent l="0" t="0" r="0" b="0"/>
                      <wp:wrapNone/>
                      <wp:docPr id="261" name="Frame261"/>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62585" cy="175260"/>
                      <wp:effectExtent l="0" t="0" r="0" b="0"/>
                      <wp:wrapNone/>
                      <wp:docPr id="264" name="Frame2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54330" cy="175260"/>
                      <wp:effectExtent l="0" t="0" r="0" b="0"/>
                      <wp:wrapNone/>
                      <wp:docPr id="266" name="Frame266"/>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91135" cy="175260"/>
                      <wp:effectExtent l="0" t="0" r="0" b="0"/>
                      <wp:wrapNone/>
                      <wp:docPr id="267" name="Frame26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3190" cy="175260"/>
                      <wp:effectExtent l="0" t="0" r="0" b="0"/>
                      <wp:wrapNone/>
                      <wp:docPr id="268" name="Frame268"/>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0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4270"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58"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r>
      <w:tr>
        <w:trPr/>
        <w:tc>
          <w:tcPr>
            <w:tcW w:w="330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7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97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58" w:type="dxa"/>
            <w:tcBorders/>
            <w:vAlign w:val="center"/>
          </w:tcPr>
          <w:p>
            <w:pPr>
              <w:pStyle w:val="TableContents"/>
              <w:bidi w:val="0"/>
              <w:spacing w:before="0" w:after="1"/>
              <w:ind w:left="0" w:right="0" w:hanging="0"/>
              <w:jc w:val="center"/>
              <w:rPr/>
            </w:pPr>
            <w:r>
              <w:rPr/>
              <w:t>​</w:t>
            </w:r>
          </w:p>
        </w:tc>
        <w:tc>
          <w:tcPr>
            <w:tcW w:w="301"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r>
      <w:tr>
        <w:trPr/>
        <w:tc>
          <w:tcPr>
            <w:tcW w:w="330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166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2022 / 2023</w:t>
            </w:r>
          </w:p>
        </w:tc>
        <w:tc>
          <w:tcPr>
            <w:tcW w:w="301"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r>
      <w:tr>
        <w:trPr/>
        <w:tc>
          <w:tcPr>
            <w:tcW w:w="330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except percentages)</w:t>
            </w:r>
          </w:p>
        </w:tc>
        <w:tc>
          <w:tcPr>
            <w:tcW w:w="1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Margin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5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01" w:type="dxa"/>
            <w:tcBorders/>
            <w:vAlign w:val="center"/>
          </w:tcPr>
          <w:p>
            <w:pPr>
              <w:pStyle w:val="TableContents"/>
              <w:bidi w:val="0"/>
              <w:spacing w:before="0" w:after="1"/>
              <w:ind w:left="0" w:right="0" w:hanging="0"/>
              <w:jc w:val="left"/>
              <w:rPr/>
            </w:pPr>
            <w:r>
              <w:rPr/>
              <w:t> </w:t>
            </w:r>
          </w:p>
        </w:tc>
        <w:tc>
          <w:tcPr>
            <w:tcW w:w="194" w:type="dxa"/>
            <w:tcBorders/>
            <w:vAlign w:val="center"/>
          </w:tcPr>
          <w:p>
            <w:pPr>
              <w:pStyle w:val="TableContents"/>
              <w:bidi w:val="0"/>
              <w:spacing w:before="0" w:after="1"/>
              <w:ind w:left="0" w:right="0" w:hanging="0"/>
              <w:jc w:val="left"/>
              <w:rPr/>
            </w:pPr>
            <w:r>
              <w:rPr/>
              <w:t>​</w:t>
            </w:r>
          </w:p>
        </w:tc>
      </w:tr>
      <w:tr>
        <w:trPr/>
        <w:tc>
          <w:tcPr>
            <w:tcW w:w="3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r>
      <w:tr>
        <w:trPr/>
        <w:tc>
          <w:tcPr>
            <w:tcW w:w="3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Device protection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w:t>
            </w:r>
          </w:p>
        </w:tc>
        <w:tc>
          <w:tcPr>
            <w:tcW w:w="32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1,547</w:t>
            </w:r>
          </w:p>
        </w:tc>
        <w:tc>
          <w:tcPr>
            <w:tcW w:w="32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vAlign w:val="center"/>
          </w:tcPr>
          <w:p>
            <w:pPr>
              <w:pStyle w:val="TableContents"/>
              <w:bidi w:val="0"/>
              <w:spacing w:before="0" w:after="1"/>
              <w:ind w:left="0" w:right="0" w:hanging="0"/>
              <w:jc w:val="left"/>
              <w:rPr/>
            </w:pPr>
            <w:r>
              <w:rPr/>
              <w:t>​</w:t>
            </w:r>
          </w:p>
        </w:tc>
      </w:tr>
      <w:tr>
        <w:trPr/>
        <w:tc>
          <w:tcPr>
            <w:tcW w:w="3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Women's health</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2,736</w:t>
            </w:r>
          </w:p>
        </w:tc>
        <w:tc>
          <w:tcPr>
            <w:tcW w:w="32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w:t>
            </w:r>
          </w:p>
        </w:tc>
        <w:tc>
          <w:tcPr>
            <w:tcW w:w="32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3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Orthobiologics</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9,378</w:t>
            </w:r>
          </w:p>
        </w:tc>
        <w:tc>
          <w:tcPr>
            <w:tcW w:w="32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9,175</w:t>
            </w:r>
          </w:p>
        </w:tc>
        <w:tc>
          <w:tcPr>
            <w:tcW w:w="32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vAlign w:val="center"/>
          </w:tcPr>
          <w:p>
            <w:pPr>
              <w:pStyle w:val="TableContents"/>
              <w:bidi w:val="0"/>
              <w:spacing w:before="0" w:after="1"/>
              <w:ind w:left="0" w:right="0" w:hanging="0"/>
              <w:jc w:val="left"/>
              <w:rPr/>
            </w:pPr>
            <w:r>
              <w:rPr/>
              <w:t>​</w:t>
            </w:r>
          </w:p>
        </w:tc>
      </w:tr>
      <w:tr>
        <w:trPr/>
        <w:tc>
          <w:tcPr>
            <w:tcW w:w="3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Cardiovascular</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w:t>
            </w:r>
          </w:p>
        </w:tc>
        <w:tc>
          <w:tcPr>
            <w:tcW w:w="326" w:type="dxa"/>
            <w:tcBorders/>
            <w:shd w:fill="CCEEFF" w:val="clear"/>
            <w:vAlign w:val="center"/>
          </w:tcPr>
          <w:p>
            <w:pPr>
              <w:pStyle w:val="TableContents"/>
              <w:bidi w:val="0"/>
              <w:spacing w:before="0" w:after="1"/>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753</w:t>
            </w:r>
          </w:p>
        </w:tc>
        <w:tc>
          <w:tcPr>
            <w:tcW w:w="326" w:type="dxa"/>
            <w:tcBorders/>
            <w:shd w:fill="CCEEFF" w:val="clear"/>
            <w:vAlign w:val="center"/>
          </w:tcPr>
          <w:p>
            <w:pPr>
              <w:pStyle w:val="TableContents"/>
              <w:bidi w:val="0"/>
              <w:spacing w:before="0" w:after="1"/>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3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 excluding intangible asset amortization</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14,336</w:t>
            </w:r>
          </w:p>
        </w:tc>
        <w:tc>
          <w:tcPr>
            <w:tcW w:w="32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13,255</w:t>
            </w:r>
          </w:p>
        </w:tc>
        <w:tc>
          <w:tcPr>
            <w:tcW w:w="32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1,081</w:t>
            </w:r>
          </w:p>
        </w:tc>
        <w:tc>
          <w:tcPr>
            <w:tcW w:w="326" w:type="dxa"/>
            <w:tcBorders/>
            <w:vAlign w:val="center"/>
          </w:tcPr>
          <w:p>
            <w:pPr>
              <w:pStyle w:val="TableContents"/>
              <w:bidi w:val="0"/>
              <w:spacing w:before="0" w:after="1"/>
              <w:ind w:left="0" w:right="0" w:hanging="0"/>
              <w:jc w:val="left"/>
              <w:rPr/>
            </w:pPr>
            <w:r>
              <w:rPr/>
              <w:t>​</w:t>
            </w:r>
          </w:p>
        </w:tc>
        <w:tc>
          <w:tcPr>
            <w:tcW w:w="5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vAlign w:val="center"/>
          </w:tcPr>
          <w:p>
            <w:pPr>
              <w:pStyle w:val="TableContents"/>
              <w:bidi w:val="0"/>
              <w:spacing w:before="0" w:after="1"/>
              <w:ind w:left="0" w:right="0" w:hanging="0"/>
              <w:jc w:val="left"/>
              <w:rPr/>
            </w:pPr>
            <w:r>
              <w:rPr/>
              <w:t>​</w:t>
            </w:r>
          </w:p>
        </w:tc>
      </w:tr>
      <w:tr>
        <w:trPr/>
        <w:tc>
          <w:tcPr>
            <w:tcW w:w="3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shd w:fill="CCEEFF" w:val="clear"/>
            <w:vAlign w:val="center"/>
          </w:tcPr>
          <w:p>
            <w:pPr>
              <w:pStyle w:val="TableContents"/>
              <w:bidi w:val="0"/>
              <w:spacing w:before="0" w:after="1"/>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shd w:fill="CCEEFF" w:val="clear"/>
            <w:vAlign w:val="center"/>
          </w:tcPr>
          <w:p>
            <w:pPr>
              <w:pStyle w:val="TableContents"/>
              <w:bidi w:val="0"/>
              <w:spacing w:before="0" w:after="1"/>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94" w:type="dxa"/>
            <w:tcBorders/>
            <w:shd w:fill="CCEEFF" w:val="clear"/>
            <w:vAlign w:val="center"/>
          </w:tcPr>
          <w:p>
            <w:pPr>
              <w:pStyle w:val="TableContents"/>
              <w:bidi w:val="0"/>
              <w:spacing w:before="0" w:after="1"/>
              <w:ind w:left="0" w:right="0" w:hanging="0"/>
              <w:jc w:val="left"/>
              <w:rPr/>
            </w:pPr>
            <w:r>
              <w:rPr/>
              <w:t>​</w:t>
            </w:r>
          </w:p>
        </w:tc>
      </w:tr>
      <w:tr>
        <w:trPr/>
        <w:tc>
          <w:tcPr>
            <w:tcW w:w="33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Cost of Goods Sold</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16,035</w:t>
            </w:r>
          </w:p>
        </w:tc>
        <w:tc>
          <w:tcPr>
            <w:tcW w:w="326" w:type="dxa"/>
            <w:tcBorders/>
            <w:vAlign w:val="center"/>
          </w:tcPr>
          <w:p>
            <w:pPr>
              <w:pStyle w:val="TableContents"/>
              <w:bidi w:val="0"/>
              <w:spacing w:before="0" w:after="1"/>
              <w:ind w:left="0" w:right="0" w:hanging="0"/>
              <w:jc w:val="left"/>
              <w:rPr/>
            </w:pPr>
            <w:r>
              <w:rPr/>
              <w:t> </w:t>
            </w:r>
          </w:p>
        </w:tc>
        <w:tc>
          <w:tcPr>
            <w:tcW w:w="7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31.3</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14,954</w:t>
            </w:r>
          </w:p>
        </w:tc>
        <w:tc>
          <w:tcPr>
            <w:tcW w:w="326" w:type="dxa"/>
            <w:tcBorders/>
            <w:vAlign w:val="center"/>
          </w:tcPr>
          <w:p>
            <w:pPr>
              <w:pStyle w:val="TableContents"/>
              <w:bidi w:val="0"/>
              <w:spacing w:before="0" w:after="1"/>
              <w:ind w:left="0" w:right="0" w:hanging="0"/>
              <w:jc w:val="left"/>
              <w:rPr/>
            </w:pPr>
            <w:r>
              <w:rPr/>
              <w:t> </w:t>
            </w:r>
          </w:p>
        </w:tc>
        <w:tc>
          <w:tcPr>
            <w:tcW w:w="7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w:t>
            </w:r>
          </w:p>
        </w:tc>
        <w:tc>
          <w:tcPr>
            <w:tcW w:w="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1,081</w:t>
            </w:r>
          </w:p>
        </w:tc>
        <w:tc>
          <w:tcPr>
            <w:tcW w:w="326" w:type="dxa"/>
            <w:tcBorders/>
            <w:vAlign w:val="center"/>
          </w:tcPr>
          <w:p>
            <w:pPr>
              <w:pStyle w:val="TableContents"/>
              <w:bidi w:val="0"/>
              <w:spacing w:before="0" w:after="1"/>
              <w:ind w:left="0" w:right="0" w:hanging="0"/>
              <w:jc w:val="left"/>
              <w:rPr/>
            </w:pPr>
            <w:r>
              <w:rPr/>
              <w:t> </w:t>
            </w:r>
          </w:p>
        </w:tc>
        <w:tc>
          <w:tcPr>
            <w:tcW w:w="5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(6.7)</w:t>
            </w:r>
          </w:p>
        </w:tc>
        <w:tc>
          <w:tcPr>
            <w:tcW w:w="3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9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shd w:fill="FFFF00" w:val="clear"/>
        </w:rPr>
      </w:pPr>
      <w:r>
        <w:rPr>
          <w:shd w:fill="FFFF00" w:val="clea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Total cost of goods sold increased $1.1 million to $16.0 million in the six months ended June 30, 2023 compared to $15.0 million in the six months ended June 30, 2022. Gross margin was 31.3% in the six months ended June 30, 2023 compared to 38.0% in the six months ended June 30, 2022. Gross margin, excluding intangible asset amortization, was 38.6% in the six months ended June 30, 2023 compared to 45.1% in the six months ended June 30, 2022. The decline in gross margin was due to the gross margin impact of the viable bone matrix recall and market withdrawal in July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which, including both the revenue reversal noted above and inventory writedown described in Note 8 to the condensed consolidated financial statements, totaled $5.0 million causing a decrease in gross margin percentage of 15.4%. With respect to the individual product segments, the gross margin of Device Protection improved in the six months ended June 30, 2023 compared to the six months ended June 30, 2022 due to operational efficiencies in the current year causing lower costs to manufacture the product. The gross margin of Women’s Health declined due to non-recurring production issues and the gross margin of the Cardiovascular business declined due to the commencement of the LeMaitre Vascular distribution agreement described above.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Sales and marketing expenses decreased $1.2 million, or 12.2%, to $9.0 million in the six months ended June 30, 2023 compared to $10.2 million in the six months ended June 30, 2022. As a percentage of sales, sales and marketing expenses decreased to 38.4% in the six months ended June 30, 2023 from 42.4% in the six months ended June 30, 2022. The decrease in expense was largely attributable to the previously announced reduction in force which occurred in the first quarter of 2023 and primarily impacted certain members of sales and marketing management.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G&amp;A expenses decreased $1.0 million, or 12.0%, to $7.7 million in the six months ended June 30, 2023 compared to $8.7 million in the six months ended June 30, 2022. As a percentage of net sales, G&amp;A expenses decreased to 32.9% in the six months ended June 30, 2023 from 36.2% in the six months ended June 30, 2022. The decrease in expense was primarily due to declines in the cost of insurance and lower equity compensation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R&amp;D expenses decreased to $3.0 million in the six months ended June 30, 2023 compared to $4.9 million in the six months ended June 30, 2022. We continue to focus our R&amp;D efforts primarily on the development of our CanGaroo RM Antibacterial Envelope. Such related costs were slightly less in the first six months of 2023 versus the prior year’s comparable period due to the reduction of efforts needed and expenses incurred as the development progresses toward anticipated completion.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FiberCel Litigation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FiberCel litigation costs increased to $3.2 million in the six months ended June 30, 2023 compared to $0.4 million in the six months ended June 30, 2022. The increase in expense was primarily due to the establishment of the Contingent Liability for FiberCel litigation in the third quarter of 2022 and the continued evaluation of such liability and legal defense costs incurred as the FiberCel cases progress. FiberCel litigation costs in the six months ended June 30, 2022 were comprised only of legal fees incurred. See further discussion in Note 8 to condensed consolidated financial statements included elsewhere in this Quarterly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was approximately $3.1 million in the six months ended June 30, 2023 compared to $2.4 million in the six months ended June 30, 2022. The increase was due to the higher principal outstanding and interest rates incurred by us on our existing debt, the SWK Loan Facility, as compared to the debt outstanding in the six months ending June 30, 2022, which consisted primarily of the MidCap Loan Facility and MidCap Credit Facility. See “ - Liquidity and Capital Resources - Credit Facilities” below for a further discussion of these debt agreements and Note 6 to the condensed consolidated financial statements included elsewhere in this Quarterly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presents our gross margin, excluding intangible asset amortization, for the three and six months ended June 30, 2023 and 2022.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 In addition, other companies, including companies in our industry, may use other measures to evaluate their performance, which could reduce the usefulness of this non-GAAP financial measure as a tool for comparison.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a reconciliation of our gross margin, excluding intangible asset amortization, for the three and six months ended June 30, 2023 and 2022 to the most directly comparable GAAP financial measure, which is our GAAP gross margin (in thousands).</w:t>
      </w:r>
    </w:p>
    <w:tbl>
      <w:tblPr>
        <w:tblW w:w="9980" w:type="dxa"/>
        <w:jc w:val="left"/>
        <w:tblInd w:w="0" w:type="dxa"/>
        <w:tblLayout w:type="fixed"/>
        <w:tblCellMar>
          <w:top w:w="0" w:type="dxa"/>
          <w:left w:w="0" w:type="dxa"/>
          <w:bottom w:w="0" w:type="dxa"/>
          <w:right w:w="0" w:type="dxa"/>
        </w:tblCellMar>
      </w:tblPr>
      <w:tblGrid>
        <w:gridCol w:w="4501"/>
        <w:gridCol w:w="326"/>
        <w:gridCol w:w="211"/>
        <w:gridCol w:w="676"/>
        <w:gridCol w:w="361"/>
        <w:gridCol w:w="211"/>
        <w:gridCol w:w="676"/>
        <w:gridCol w:w="361"/>
        <w:gridCol w:w="206"/>
        <w:gridCol w:w="211"/>
        <w:gridCol w:w="676"/>
        <w:gridCol w:w="361"/>
        <w:gridCol w:w="211"/>
        <w:gridCol w:w="676"/>
        <w:gridCol w:w="316"/>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858135" cy="175260"/>
                      <wp:effectExtent l="0" t="0" r="0" b="0"/>
                      <wp:wrapNone/>
                      <wp:docPr id="269" name="Frame269"/>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9260" cy="175260"/>
                      <wp:effectExtent l="0" t="0" r="0" b="0"/>
                      <wp:wrapNone/>
                      <wp:docPr id="272" name="Frame2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9235" cy="175260"/>
                      <wp:effectExtent l="0" t="0" r="0" b="0"/>
                      <wp:wrapNone/>
                      <wp:docPr id="273" name="Frame2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29260" cy="175260"/>
                      <wp:effectExtent l="0" t="0" r="0" b="0"/>
                      <wp:wrapNone/>
                      <wp:docPr id="275" name="Frame2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29235" cy="175260"/>
                      <wp:effectExtent l="0" t="0" r="0" b="0"/>
                      <wp:wrapNone/>
                      <wp:docPr id="276" name="Frame2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0810" cy="175260"/>
                      <wp:effectExtent l="0" t="0" r="0" b="0"/>
                      <wp:wrapNone/>
                      <wp:docPr id="277" name="Frame27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429260" cy="175260"/>
                      <wp:effectExtent l="0" t="0" r="0" b="0"/>
                      <wp:wrapNone/>
                      <wp:docPr id="279" name="Frame2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29235" cy="175260"/>
                      <wp:effectExtent l="0" t="0" r="0" b="0"/>
                      <wp:wrapNone/>
                      <wp:docPr id="280" name="Frame2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429260" cy="175260"/>
                      <wp:effectExtent l="0" t="0" r="0" b="0"/>
                      <wp:wrapNone/>
                      <wp:docPr id="282" name="Frame2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0660" cy="175260"/>
                      <wp:effectExtent l="0" t="0" r="0" b="0"/>
                      <wp:wrapNone/>
                      <wp:docPr id="283" name="Frame2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1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16" w:type="dxa"/>
            <w:tcBorders/>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12,638</w:t>
            </w:r>
          </w:p>
        </w:tc>
        <w:tc>
          <w:tcPr>
            <w:tcW w:w="36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23,346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24,133</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7,740</w:t>
            </w:r>
          </w:p>
        </w:tc>
        <w:tc>
          <w:tcPr>
            <w:tcW w:w="3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16,035</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14,954</w:t>
            </w:r>
          </w:p>
        </w:tc>
        <w:tc>
          <w:tcPr>
            <w:tcW w:w="316"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4,898</w:t>
            </w:r>
          </w:p>
        </w:tc>
        <w:tc>
          <w:tcPr>
            <w:tcW w:w="36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 amortization expense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849</w:t>
            </w:r>
          </w:p>
        </w:tc>
        <w:tc>
          <w:tcPr>
            <w:tcW w:w="36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61"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w:t>
            </w:r>
          </w:p>
        </w:tc>
        <w:tc>
          <w:tcPr>
            <w:tcW w:w="316" w:type="dxa"/>
            <w:tcBorders/>
            <w:vAlign w:val="center"/>
          </w:tcPr>
          <w:p>
            <w:pPr>
              <w:pStyle w:val="TableContents"/>
              <w:bidi w:val="0"/>
              <w:spacing w:before="0" w:after="0"/>
              <w:ind w:left="0" w:right="0" w:hanging="0"/>
              <w:jc w:val="left"/>
              <w:rPr/>
            </w:pPr>
            <w:r>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excluding intangible asset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w:t>
            </w:r>
          </w:p>
        </w:tc>
        <w:tc>
          <w:tcPr>
            <w:tcW w:w="36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 excluding intangible asset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we have experienced seasonality, with lower sales in our first and second quarters and higher sales in our fourth quarter,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2023, we had cash of approximately $9.3 million. In August 2022, we refinanced our debt as described below under “— Credit Facilities.” Since inception, we have financed our operations primarily through private placements of our convertible preferred stock, amounts borrowed under our credit facilities, sales of our products and more recently, proceeds from our IPO and a private placement of our common stock. Our historical cash outflows have primarily been associated with acquisitions and integration, manufacturing and administrative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June 30, 2023, our accumulated deficit was $156.6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order to mitigate the current and potential future liquidity issues caused by the matters noted above, we may seek to raise capital through the issuance of common stock, restructure our Revenue Interest Obligation, or pursue asset sale or licensing transactions.  However, such transactions may not be successful and we may not be able to raise additional equity, refinance our debt instruments, or sell assets on acceptable terms, or at all. As such, based on our current operating plans, we believe there is uncertainty as to whether our future cash flows along with our existing cash, availability under the SWK Loan Facility (described below under “—Credit Facilities”),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for the Six Months Ended June 30, 2023 and 2022</w:t>
      </w:r>
    </w:p>
    <w:tbl>
      <w:tblPr>
        <w:tblW w:w="4628" w:type="dxa"/>
        <w:jc w:val="left"/>
        <w:tblInd w:w="0" w:type="dxa"/>
        <w:tblLayout w:type="fixed"/>
        <w:tblCellMar>
          <w:top w:w="0" w:type="dxa"/>
          <w:left w:w="0" w:type="dxa"/>
          <w:bottom w:w="0" w:type="dxa"/>
          <w:right w:w="0" w:type="dxa"/>
        </w:tblCellMar>
      </w:tblPr>
      <w:tblGrid>
        <w:gridCol w:w="1816"/>
        <w:gridCol w:w="326"/>
        <w:gridCol w:w="211"/>
        <w:gridCol w:w="691"/>
        <w:gridCol w:w="326"/>
        <w:gridCol w:w="211"/>
        <w:gridCol w:w="796"/>
        <w:gridCol w:w="251"/>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153160" cy="175260"/>
                      <wp:effectExtent l="0" t="0" r="0" b="0"/>
                      <wp:wrapNone/>
                      <wp:docPr id="284" name="Frame284"/>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38785" cy="175260"/>
                      <wp:effectExtent l="0" t="0" r="0" b="0"/>
                      <wp:wrapNone/>
                      <wp:docPr id="287" name="Frame2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05460" cy="175260"/>
                      <wp:effectExtent l="0" t="0" r="0" b="0"/>
                      <wp:wrapNone/>
                      <wp:docPr id="290" name="Frame2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9385" cy="175260"/>
                      <wp:effectExtent l="0" t="0" r="0" b="0"/>
                      <wp:wrapNone/>
                      <wp:docPr id="291" name="Frame29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251"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51" w:type="dxa"/>
            <w:tcBorders/>
            <w:vAlign w:val="center"/>
          </w:tcPr>
          <w:p>
            <w:pPr>
              <w:pStyle w:val="TableContents"/>
              <w:bidi w:val="0"/>
              <w:spacing w:before="0" w:after="0"/>
              <w:ind w:left="0" w:right="0" w:hanging="0"/>
              <w:jc w:val="center"/>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51" w:type="dxa"/>
            <w:tcBorders/>
            <w:vAlign w:val="center"/>
          </w:tcPr>
          <w:p>
            <w:pPr>
              <w:pStyle w:val="TableContents"/>
              <w:bidi w:val="0"/>
              <w:spacing w:before="0" w:after="0"/>
              <w:ind w:left="0" w:right="0" w:hanging="0"/>
              <w:jc w:val="center"/>
              <w:rPr/>
            </w:pPr>
            <w:r>
              <w:rPr/>
              <w:t>  </w:t>
            </w:r>
          </w:p>
        </w:tc>
      </w:tr>
      <w:tr>
        <w:trPr/>
        <w:tc>
          <w:tcPr>
            <w:tcW w:w="462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8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251" w:type="dxa"/>
            <w:tcBorders/>
            <w:vAlign w:val="center"/>
          </w:tcPr>
          <w:p>
            <w:pPr>
              <w:pStyle w:val="TableContents"/>
              <w:bidi w:val="0"/>
              <w:spacing w:before="0" w:after="0"/>
              <w:ind w:left="0" w:right="0" w:hanging="0"/>
              <w:jc w:val="center"/>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251" w:type="dxa"/>
            <w:tcBorders/>
            <w:shd w:fill="CCEEFF" w:val="clear"/>
            <w:vAlign w:val="center"/>
          </w:tcPr>
          <w:p>
            <w:pPr>
              <w:pStyle w:val="TableContents"/>
              <w:bidi w:val="0"/>
              <w:spacing w:before="0" w:after="0"/>
              <w:ind w:left="0" w:right="0" w:hanging="0"/>
              <w:jc w:val="left"/>
              <w:rPr/>
            </w:pPr>
            <w:r>
              <w:rPr/>
              <w:t> </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(10,674)</w:t>
            </w:r>
          </w:p>
        </w:tc>
        <w:tc>
          <w:tcPr>
            <w:tcW w:w="251"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251" w:type="dxa"/>
            <w:tcBorders/>
            <w:shd w:fill="CCEEFF" w:val="clear"/>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w:t>
            </w:r>
          </w:p>
        </w:tc>
        <w:tc>
          <w:tcPr>
            <w:tcW w:w="251" w:type="dxa"/>
            <w:tcBorders/>
            <w:vAlign w:val="center"/>
          </w:tcPr>
          <w:p>
            <w:pPr>
              <w:pStyle w:val="TableContents"/>
              <w:bidi w:val="0"/>
              <w:spacing w:before="0" w:after="0"/>
              <w:ind w:left="0" w:right="0" w:hanging="0"/>
              <w:jc w:val="left"/>
              <w:rPr/>
            </w:pPr>
            <w:r>
              <w:rPr/>
              <w:t>​</w:t>
            </w:r>
          </w:p>
        </w:tc>
      </w:tr>
      <w:tr>
        <w:trPr/>
        <w:tc>
          <w:tcPr>
            <w:tcW w:w="18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decrease in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(13,917)</w:t>
            </w:r>
          </w:p>
        </w:tc>
        <w:tc>
          <w:tcPr>
            <w:tcW w:w="25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Used in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for the six months ended June 30, 2023 was $7.6 million compared to $10.7 million for the six months ended June 30, 2022. The year-over-year decrease was primarily due to a higher net loss (after adjustment for non-cash charges and gains) as well as the timing of certain annual insurance prepayments and reduction to receivables offset by inventory builds.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Used in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for the six months ended June 30, 2023 and 2022 was $0.3 million. In both periods, the use of cash related to the purchase of property and equipment, the majority of which were used in the production activities of our Richmond, California facility.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Cash Used in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for the six months ended June 30, 2023 was $0.1 million compared to net cash used in financing activities of $3.0 million for the six months ended June 30, 2022. The year-over-year net decrease was caused primarily by payments made in the 2022 period related to our Revenue Interest Obligation with no such payments having been made in the 2023 period due to ongoing restructuring discussions with Ligand (as defined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Facilities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w:t>
      </w:r>
      <w:r>
        <w:rPr>
          <w:rFonts w:ascii="Times New Roman;Times;serif" w:hAnsi="Times New Roman;Times;serif"/>
          <w:sz w:val="20"/>
          <w:shd w:fill="FFFFFF" w:val="clear"/>
        </w:rPr>
        <w:t xml:space="preserve">n August 10, 2022 (the “Closing Date”), we entered into a senior secured term loan facility with SWK Funding LLC (“SWK”), as agent, and other lenders party thereto (as amended and modified subsequent to the Closing Date, the “SWK Loan Facility”) for an aggregate principal amount of $25 million. An initial draw of $21 million drawn was made on the Closing Date with the additional $4 million drawn on December 14, 2022 upon satisfaction of the amended terms enabling such receipt. The SWK Loan Facility also allows for the establishment of a separate, new asset-based revolving loan facility of up to $8 million, which had not been entered into to date. In connection with the August 2022 debt refinancing, we used $16 million of the proceeds of the SWK Loan Facility to pay all outstanding obligations on the formerly outstanding MidCap Loan Facility and MidCap Credit Facility. Such payment included (i) $12.8 million to repay all outstanding principal and accrued interest on the MidCap Loan Facility, (ii) $1.7 million to pay the prepayment and exit fees on the MidCap Loan Facility and (iii) $1.5 million to repay the outstanding balance, accrued interest and exit fees on the MidCap Credit Facility. </w:t>
      </w:r>
      <w:r>
        <w:rPr>
          <w:rFonts w:ascii="Times New Roman;Times;serif" w:hAnsi="Times New Roman;Times;serif"/>
          <w:sz w:val="20"/>
        </w:rPr>
        <w:t>As of June 30, 2023, we had $24.9 million of indebtedness outstanding under our SWK Loan Facility, with such balance being net of $0.9 million of unamortized discount and deferred financing costs, but increased by capitalized PIK Interest (as defined below) of $0.9 million since November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All of the SWK Loan Facility borrowings take the form of Secured Overnight Financing Rate (“SOFR”) loans and will bear interest at a rate per annum equal to the sum of an applicable margin of (i) 7.75% and the “Term SOFR Rate” (based upon an interest period of 3 months), or (ii) if we have elected the PIK Interest option (as defined below), 3.75% and the “Term SOFR Rate.” We may elect a portion of the interest due, to be paid in-kind at a rate per annum of 4.5% (“PIK Interest”), and such election may be made (x) until November 15, 2024 if certain profitability and regulatory conditions (“Extension Conditions”) have not been met, or until November 17, 2025 if such conditions have been satisfied. The “Term SOFR Rate” is subject to a floor of 2.75%.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Mandatory Prepayments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SWK Loan Facility Agreement requires certain mandatory prepayments, subject to certain exceptions, with: (1) 100% of any net casualty proceeds in excess of $250,000 and (2) for non-ordinary course asset sales, an amount equal to the difference between (x) the proportion of divested gross profit (as defined in the SWK Loan Facility Agreement) to the Company’s total gross profit (as defined in the SWK Loan Facility Agreement) multiplied by the outstanding loans under the SWK Loan Facility, and (y) the difference between $1,000,000 and the aggregate sale proceeds of any assets previously sold during the fiscal year. No such mandatory prepayments were required during the three months ended June 30,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Optional Prepayment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SWK Loan Facility Agreement also includes an exit fee equal to 6.5% of the aggregate principal amount funded prior to termination, and prepayment penalties that are equal to: (i) 2% of the aggregate principal amount funded prior to the termination plus remaining unpaid interest payments scheduled to be paid during the first year of the loan if such prepayment occurs prior to the first anniversary of the Closing Date, or (ii) 2% of the aggregate principal amount funded prior to termination if such prepayment occurs after the first anniversary of the Closing Date but prior to the second anniversary of the Closing Date.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Amortization and Final Maturity</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SWK Loan Facility matures on August 10, 2027 and accrues interest, payable quarterly in arrears. </w:t>
      </w:r>
      <w:r>
        <w:rPr>
          <w:rFonts w:ascii="Times New Roman;Times;serif" w:hAnsi="Times New Roman;Times;serif"/>
          <w:sz w:val="20"/>
        </w:rPr>
        <w:t xml:space="preserve">Principal amortization of the SWK Loan Facility starts on November 15, 2024, which amortization may be extended to November 17, 2025 if the Extension Conditions (as defined in the SWK Loan Facility Agreement) have been satisfied. Principal payments during the amortization period will be limited based on revenue-based caps. As of June 30, 2023, quarterly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principal payments are scheduled to begin on November 15, 2024, in an amount equal to 5% of the outstanding principal on such principal payment commencement date with the balance paid at maturity.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Security</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obligations under the SWK Loan Facility are, and any future guarantees of those obligations will be, secured by, among other things, and in each case subject to certain exceptions, a first priority lien on and security interest in, upon, and to all of our assets, whether now owned or hereafter acquired, wherever located.</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Covenants and Other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SWK Loan Facility Agreement that governs the SWK Loan Facility contains a number of covenants that, among other things and subject to certain exceptions, restrict our ability to:</w:t>
      </w:r>
    </w:p>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indebtedness;</w:t>
            </w:r>
          </w:p>
        </w:tc>
      </w:tr>
    </w:tbl>
    <w:tbl>
      <w:tblPr>
        <w:tblW w:w="2046" w:type="dxa"/>
        <w:jc w:val="left"/>
        <w:tblInd w:w="0" w:type="dxa"/>
        <w:tblLayout w:type="fixed"/>
        <w:tblCellMar>
          <w:top w:w="28" w:type="dxa"/>
          <w:left w:w="28" w:type="dxa"/>
          <w:bottom w:w="28" w:type="dxa"/>
          <w:right w:w="28" w:type="dxa"/>
        </w:tblCellMar>
      </w:tblPr>
      <w:tblGrid>
        <w:gridCol w:w="124"/>
        <w:gridCol w:w="256"/>
        <w:gridCol w:w="1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certain liens;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dividends or make other distributions on equity interests;</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 repurchase or refinance subordinated indebtedness;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merge or sell or otherwise dispose of their assets;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investments, loans, advances, guarantees and acquisitions;</w:t>
            </w:r>
          </w:p>
        </w:tc>
      </w:tr>
    </w:tbl>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transactions with affiliates;</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or modify their governing documents;</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or modify certain material agreements; and</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 the business conducted by them and their subsidiaries.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the SWK Loan Facility Agreement contains two financial covenants. The first covenant, which is measured quarterly, requires us to achieve a specified Minimum Aggregate Revenue (as defined in the SWK Loan Facility Agreement) for the preceding 12-month period. The second covenant requires us to maintain a minimum liquidity (as defined in the SWK Loan Facility Agreement) of $5.0 million until December 16, 2022 and thereafter, the greater of (a) $5.0 million and (b) the sum of the operating cash burn (as defined in the SWK Loan Facility Agreement) for the two prior consecutive fiscal quarters then ended (the “Liquidity Covenant”). </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SWK Loan Facility Agreement contains events of default, including, most significantly, a failure to timely pay interest or principal, insolvency, or an action by the FDA or such other material adverse event impacting the operations of Aziyo. As of June 30, 2023, we were in compliance with the financial covenant and all other covenants.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May 12, 2023, we entered into a first amendment to the SWK Loan Facility Agreement </w:t>
      </w:r>
      <w:r>
        <w:rPr>
          <w:rFonts w:ascii="Times New Roman;Times;serif" w:hAnsi="Times New Roman;Times;serif"/>
          <w:sz w:val="20"/>
          <w:shd w:fill="FFFFFF" w:val="clear"/>
        </w:rPr>
        <w:t>with SWK and the other lenders party thereto</w:t>
      </w:r>
      <w:r>
        <w:rPr>
          <w:rFonts w:ascii="Times New Roman;Times;serif" w:hAnsi="Times New Roman;Times;serif"/>
          <w:sz w:val="20"/>
        </w:rPr>
        <w:t>. The amendment is described in further detail in Note 6 to the condensed consolidated financial statements included elsewhere in this Quarterly Report.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Supplier Promissory Note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During 2017, we restructured certain of our liabilities with a tissue supplier and entered into an unsecured promissory note bearing interest at 5%. As of June 30, 2022, the balance of this promissory note totaled $1.4 million plus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interest. In connection with the August 2022 debt refinancing, we</w:t>
      </w:r>
      <w:r>
        <w:rPr>
          <w:rFonts w:ascii="Times New Roman;Times;serif" w:hAnsi="Times New Roman;Times;serif"/>
          <w:sz w:val="20"/>
          <w:shd w:fill="FFFFFF" w:val="clear"/>
        </w:rPr>
        <w:t xml:space="preserve"> used $1.4 million of the proceeds from the SWK Loan Facility to repay the remaining balance on the promissory note, and as of June 30, 2023, we had no balance remaining on the promissory note.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continue to incur significant expenses and operating losses for the foreseeable future as we expand our product development and clinical and research activities. In addition, we expect to continue to incur significant costs and expenses associated with operating as a public company.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2023, we had $24.9 million of indebtedness outstanding, consisting of $25.8 million outstanding under our SWK Loan Facility (net of $0.9 million of unamortized discount and deferred financing costs). In addition, as further described in Note 7 to these condensed consolidated financial statements included elsewhere in this Quarterly Report,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Furthermore, a $5.0 million payment will be due to Ligand if cumulative sales of these products exceed $100 million and a second $5.0 million will be due if cumulative sales exceed $300 million during the ten-year term of the agreement which expires on May 31, 2027. The initial $5.0 million milestone payment became due in the second quarter of 2023.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our available cash balances and cash flow from operations are insufficient to satisfy our liquidity requirements, we may seek to raise additional capital through equity offerings, debt financings, or asset sale or other transactions. However, such transactions may not be successful and we may not be able to raise additional equity or debt, or sell or license assets on acceptable terms, or at all. We may also consider raising additional capital in the future to expand our business, pursue strategic investments or take advantage of financing opportunities. Our present and future funding requirements will depend on many factors, including, among other things:</w:t>
      </w:r>
    </w:p>
    <w:p>
      <w:pPr>
        <w:pStyle w:val="TextBody"/>
        <w:bidi w:val="0"/>
        <w:spacing w:before="0" w:after="240"/>
        <w:ind w:left="0" w:right="0" w:firstLine="720"/>
        <w:jc w:val="both"/>
        <w:rPr/>
      </w:pPr>
      <w:r>
        <w:rPr/>
        <w:t>​</w:t>
      </w:r>
    </w:p>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patient, physician and market acceptance of our products;</w:t>
            </w:r>
          </w:p>
        </w:tc>
      </w:tr>
    </w:tbl>
    <w:tbl>
      <w:tblPr>
        <w:tblW w:w="8001" w:type="dxa"/>
        <w:jc w:val="left"/>
        <w:tblInd w:w="0" w:type="dxa"/>
        <w:tblLayout w:type="fixed"/>
        <w:tblCellMar>
          <w:top w:w="28" w:type="dxa"/>
          <w:left w:w="28" w:type="dxa"/>
          <w:bottom w:w="28" w:type="dxa"/>
          <w:right w:w="28" w:type="dxa"/>
        </w:tblCellMar>
      </w:tblPr>
      <w:tblGrid>
        <w:gridCol w:w="124"/>
        <w:gridCol w:w="256"/>
        <w:gridCol w:w="7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cost of our current and future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research and development activities and the cost and timing of commercializing new products or technologies;</w:t>
            </w:r>
          </w:p>
        </w:tc>
      </w:tr>
    </w:tbl>
    <w:tbl>
      <w:tblPr>
        <w:tblW w:w="6231" w:type="dxa"/>
        <w:jc w:val="left"/>
        <w:tblInd w:w="0" w:type="dxa"/>
        <w:tblLayout w:type="fixed"/>
        <w:tblCellMar>
          <w:top w:w="28" w:type="dxa"/>
          <w:left w:w="28" w:type="dxa"/>
          <w:bottom w:w="28" w:type="dxa"/>
          <w:right w:w="28" w:type="dxa"/>
        </w:tblCellMar>
      </w:tblPr>
      <w:tblGrid>
        <w:gridCol w:w="124"/>
        <w:gridCol w:w="25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expanding our sales and marketing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filing and prosecuting patent applications and maintaining, defending and enforcing our patent or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defending, in litigation or otherwise, any claims that we infringe, misappropriate or otherwise violate third-party patents or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defending against or the damages payable in connection with the FiberCel Litigation and any future litigation that we may be subject to (to the extent above the applicable insurance coverage);</w:t>
            </w:r>
          </w:p>
        </w:tc>
      </w:tr>
    </w:tbl>
    <w:tbl>
      <w:tblPr>
        <w:tblW w:w="4971" w:type="dxa"/>
        <w:jc w:val="left"/>
        <w:tblInd w:w="0" w:type="dxa"/>
        <w:tblLayout w:type="fixed"/>
        <w:tblCellMar>
          <w:top w:w="28" w:type="dxa"/>
          <w:left w:w="28" w:type="dxa"/>
          <w:bottom w:w="28" w:type="dxa"/>
          <w:right w:w="28" w:type="dxa"/>
        </w:tblCellMar>
      </w:tblPr>
      <w:tblGrid>
        <w:gridCol w:w="124"/>
        <w:gridCol w:w="256"/>
        <w:gridCol w:w="4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additional regulatory approvals;</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product recall that may occur;</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we incur in manufacturing and selling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products, technologies and businesses in the future, although we may currently have no commitments or agreements relating to any of these types of transactions;</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tbl>
      <w:tblPr>
        <w:tblW w:w="5541" w:type="dxa"/>
        <w:jc w:val="left"/>
        <w:tblInd w:w="0" w:type="dxa"/>
        <w:tblLayout w:type="fixed"/>
        <w:tblCellMar>
          <w:top w:w="28" w:type="dxa"/>
          <w:left w:w="28" w:type="dxa"/>
          <w:bottom w:w="28" w:type="dxa"/>
          <w:right w:w="28" w:type="dxa"/>
        </w:tblCellMar>
      </w:tblPr>
      <w:tblGrid>
        <w:gridCol w:w="124"/>
        <w:gridCol w:w="256"/>
        <w:gridCol w:w="5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unanticipated general, legal and administrative expenses;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on any of the above of the current COVID-19 pandemic or any other pandemic, epidemic or outbreak of infectious disease.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our Annual Report, Part I, Item 1A. “Risk Factors — Risks Related to Our Business — </w:t>
      </w:r>
      <w:r>
        <w:rPr>
          <w:rFonts w:ascii="Times New Roman;Times;serif" w:hAnsi="Times New Roman;Times;serif"/>
          <w:i/>
          <w:sz w:val="20"/>
        </w:rPr>
        <w:t>Our future capital needs are uncertain and we may need to raise funds in the future, and such funds may not be available on acceptable terms or at all</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Based on our current operating plans, we believe there is uncertainty as to whether our future cash flows along with our existing cash, issuances of additional equity and cash generated from expected future sales will be sufficient to meet our anticipated operating needs through twelve months from the financial statement issuance date. Due to these factors, there is substantial doubt about our ability to continue as going concern within one year after the issuance of the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preparation of our unaudited condensed consolidated financial statements in accordance with GAAP requires us to make estimates and assumptions that affect reported amounts and related disclosures. We have discussed the policies and estimates that we believe are critical and require the use of complex judgment in their application in our Annual Report, and, during the three and six months ended June 30, 2023, there were no material changes to those previously disclosed. Refer to Note 2, “Summary of Significant Accounting Policies,” to our condensed consolidated financial statements included elsewhere in this Quarterly Report for information regarding our critical accounting estimates and policies.</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Refer to Note 3, “Recently Issued Accounting Standards,” to our condensed consolidated financial statements included elsewhere in this Quarterly Report for information regarding recently issued accounting pronouncements.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dates for new or revised accounting standards that are applicable to public companies. Section 107 of the JOBS Act provides that we can elect to opt out of the extended transition period at any time, which election is irrevocable.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will remain an emerging growth company until the earliest of: (i) the last day of the first fiscal year in which our annual gross revenues are $1.235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95" w:name="Item3QuantitativeandQualitativeDisclosur"/>
      <w:bookmarkStart w:id="896" w:name="_ae55626f_f65f_4c06_9da7_5550d34a4b67"/>
      <w:bookmarkEnd w:id="895"/>
      <w:bookmarkEnd w:id="896"/>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market risks in the ordinary course of our business, including risks relating to changes in interest rates, foreign currency and inflation. The following discussion provides additional information regarding these risks.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Interest Rate Risk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primary exposure to market risk relates to changes in interest rates. Borrowings under our SWK Loan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June 30, 2023 would not have had a material effect on our financial statements. We do not currently engage in hedging transactions to manage our exposure to interest rate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2023, our cash was maintained with three financial institutions in the United States. While our deposit accounts are insured up to the legal limit, the balances we maintain may, at times, exceed this insured limit. We believe these financial institutions have sufficient assets and liquidity to conduct their operations in the ordinary course of business with little or no credit risk to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97" w:name="Item4ControlsandProcedures_472757"/>
      <w:bookmarkStart w:id="898" w:name="_57c6c6c7_b1a7_4bad_a678_cd489280f052"/>
      <w:bookmarkEnd w:id="897"/>
      <w:bookmarkEnd w:id="898"/>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our Chief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Officer and Chief Financial Officer concluded that the Company’s disclosure controls and procedures were effective as of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899" w:name="PARTIIOTHERINFORMATION_343778"/>
      <w:bookmarkStart w:id="900" w:name="_bacc3f23_a128_4fcd_acef_420cd83a64ad"/>
      <w:bookmarkEnd w:id="899"/>
      <w:bookmarkEnd w:id="90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901" w:name="Item1LegalProceedings_778412"/>
      <w:bookmarkEnd w:id="901"/>
      <w:r>
        <w:rPr>
          <w:rFonts w:ascii="Times New Roman;Times;serif" w:hAnsi="Times New Roman;Times;serif"/>
          <w:b/>
          <w:sz w:val="20"/>
        </w:rPr>
        <w:t>Item 1.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claims and proceedings arising in the course of our business. The outcome of any such claims or proceedings, regardless of the merits, is inherently uncertain. For information about legal proceedings in which we are involved, see Note 8 to the condensed consolidated financial statements included elsewhere in this Quarterly Report.</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02" w:name="Item1ARiskFactors_985070"/>
      <w:bookmarkStart w:id="903" w:name="_f68fc457_ad2e_492a_867b_ffaa850c3134"/>
      <w:bookmarkEnd w:id="902"/>
      <w:bookmarkEnd w:id="903"/>
      <w:r>
        <w:rPr>
          <w:rFonts w:ascii="Times New Roman;Times;serif" w:hAnsi="Times New Roman;Times;serif"/>
          <w:b/>
          <w:sz w:val="20"/>
        </w:rPr>
        <w:t>Item 1A.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financial condition and operating results can be affected by a number of factors, whether currently known or unknown, including but not limited to those described as risk factors, any one or more of which could, directly or indirectly, cause our actual operating results and financial condition to vary materially from past, or anticipated future, operating results and financial condition. For a discussion of these potential risks and uncertainties, see Part I, Item 1A. “Risk Factors” of our Annual Report. Any of these factors, in whole or in part, could materially and adversely affect our business, financial condition, operating results and the price of our common stock. Except as set forth below, there have been no material changes in our risk factors to those included in our Annual Report.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 substantial portion of our net sales is generated through our commercial partners and independent sales agents, which subjects us to various risks.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currently rely on the efforts of our commercial partners and independent sales agents to generate a substantial portion of our net sales, and we expect to continue to rely on these third parties to generate a substantial portion of our net sales in the future while we work to grow our direct sales force. For example, we have commercial agreements with major medical device companies, including Boston Scientific, Biotronik, Sientra and LeMaitre Vascular. As a result, the impairment or termination of these relationships for any reason, or the failure of these parties to diligently sell our products and comply with applicable laws and regulations, has and could in the future materially and adversely affect our ability to generate revenue and profits.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One such partner, Surgalign Holdings, Inc. (“Surgalign”) and certain of its direct and indirect subsidiaries commenced voluntary proceedings under chapter 11 of the United States Bankruptcy Code in the United States Bankruptcy Court for the Southern District of Texas on June 19, 2023. Total revenues generated by us from Surgalign during the six months ended June 30, 2023 and 2022 were $2.3 million and $2.5 million, respectively. Surgalign is in the process of selling its assets through the chapter 11 process, but our contract with Surgalign is not being assumed by the buyer of the relevant assets. Consequently, future revenues from our Surgalign relationship are highly uncertain.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 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adversely impact sales in that territory or result in harm to the reputation of the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believe is underperforming.</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order to increase our sales,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which, in turn, could materially and adversely affect our business, financial condition and results of operations.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loss of one or more significant commercial partners, a material reduction in their purchases of our products, such as what we may experience with Surgalign, or their inability to perform their contractual obligations, including, for example, committed purchase requirements, has affected and could continue to adversely affect our business, financial condition and results of operations. We are also subject to the risk that any such commercial partner will experience financial difficulties that prevent them from making payments to us on a timely basis or at all.</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processing of human and porcine tissue for our products is technically complex, requiring high levels of quality control and precision, which subjects us to increased production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For example, our bone allograft products, such as ViBone and OsteGro V, must be shipped and maintained within a specified temperature range. If environmental conditions deviate from that range, our products’ remaining shelf-lives could be impaired or their safety and efficacy could be adversely affected, making them unsuitable for use. The occurrence of this or any other actual or suspected production or distribution problem can lead to lost inventory, customer returns and, in some cases, recalls, with consequential damage to our reputation and customer relationships and the risk of product liability.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example, in July 2023, we announced a voluntary recall of a single lot of a certain viable bone matrix product and the market withdrawal of all of our viable bone matrix (“VBM”) products produced after a specified date (“VBM Matter”). Notice of the voluntary recall was issued to centers after the Company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Furthermore, in June 2021, we issued a voluntary recall pertaining to a single donor lot of our FiberCel Fiber Viable Bone Matrix, a bone repair product made from human tissue that is used in various orthopedic and spinal procedures. Notice of the voluntary recall was issued to hospitals that received product from this specific lot following our learning of post-surgical infections in patients treated with FiberCel, including some patients that tested positive for tuberculosis. The lot consisted of 154 units of FiberCel, all derived from a single donor, that were shipped to facilities in 20 states. We have investigated the source of the infections in coordination with our distributor, the FDA and the 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Centers for Disease Control and Prevention (“CDC”).  The FDA inspected our Richmond, California production facility, and this inspection did not result in any Form-483 observations. Additionally, multiple product liability lawsuits have been filed against us in connection with FiberCel. See “</w:t>
      </w:r>
      <w:r>
        <w:rPr>
          <w:rFonts w:ascii="Times New Roman;Times;serif" w:hAnsi="Times New Roman;Times;serif"/>
          <w:i/>
          <w:sz w:val="20"/>
        </w:rPr>
        <w:t>We face the risk of product liability claims and may not be able to obtain or maintain adequate product liability insurance”</w:t>
      </w:r>
      <w:r>
        <w:rPr>
          <w:rFonts w:ascii="Times New Roman;Times;serif" w:hAnsi="Times New Roman;Times;serif"/>
          <w:sz w:val="20"/>
        </w:rPr>
        <w:t xml:space="preserve"> for additional information about these product liability lawsuits.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product recalls and investigations, as well as others that may occur in the future, and the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the risk of product liability claims and may not be able to obtain or maintain adequate product liability 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exposes us to the risk of product liability claims that are inherent in the manufacturing, processing, investigating and marketing of medical devices and human and animal tissue products. For example, since the voluntary recall pertaining to a single donor lot of our FiberCel Fiber Viable Bone Matrix was issued, and since September 2021, we have received notice of 109 separate lawsuits or claims alleging that the plaintiffs contracted tuberculosis and/or suffered substantial symptoms and complications following the implantation of FiberCel during spinal fusion operations.  We have settled 27 of these lawsuits for a total of approximately $7.5 million as of June 30, 2023.  Of these settled matters, 26 cases were both settled and paid as of June 30, 2023 for a total cash outlay of $7.3 million. For the remaining 82 cases for which settlements have not been reached, we estimated a probable loss related to each case and have recorded a liability at an estimated amount of $14.3 million for a total estimated liability at June 30, 2023 of $14.5 million, which is recorded as Contingent Liability for FiberCel Litigation in the accompanying condensed consolidated balance sheets included in this Quarterly Report. See Part II, Item 1, “Legal Proceedings” and Note 8 to the condensed consolidated financial statements included elsewhere in this Quarterly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and may in the future be, subject to product liability claims and lawsuits, including claims that may result from the VBM Matter noted above, and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Additionally, we may be subject to product liability claims, proceedings and lawsuits,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the risk factor entitled “</w:t>
      </w:r>
      <w:r>
        <w:rPr>
          <w:rFonts w:ascii="Times New Roman;Times;serif" w:hAnsi="Times New Roman;Times;serif"/>
          <w:i/>
          <w:sz w:val="20"/>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Times;serif" w:hAnsi="Times New Roman;Times;serif"/>
          <w:sz w:val="20"/>
        </w:rPr>
        <w:t>” included in the Annual Report.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Defending any current or future claims, proceedings or lawsuits,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business reputation;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investigations by regulators;</w:t>
            </w:r>
          </w:p>
        </w:tc>
      </w:tr>
    </w:tbl>
    <w:tbl>
      <w:tblPr>
        <w:tblW w:w="2361" w:type="dxa"/>
        <w:jc w:val="left"/>
        <w:tblInd w:w="0" w:type="dxa"/>
        <w:tblLayout w:type="fixed"/>
        <w:tblCellMar>
          <w:top w:w="28" w:type="dxa"/>
          <w:left w:w="28" w:type="dxa"/>
          <w:bottom w:w="28" w:type="dxa"/>
          <w:right w:w="28" w:type="dxa"/>
        </w:tblCellMar>
      </w:tblPr>
      <w:tblGrid>
        <w:gridCol w:w="124"/>
        <w:gridCol w:w="256"/>
        <w:gridCol w:w="1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legal costs;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management’s attention from our primary business;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6066" w:type="dxa"/>
        <w:jc w:val="left"/>
        <w:tblInd w:w="0" w:type="dxa"/>
        <w:tblLayout w:type="fixed"/>
        <w:tblCellMar>
          <w:top w:w="28" w:type="dxa"/>
          <w:left w:w="28" w:type="dxa"/>
          <w:bottom w:w="28" w:type="dxa"/>
          <w:right w:w="28" w:type="dxa"/>
        </w:tblCellMar>
      </w:tblPr>
      <w:tblGrid>
        <w:gridCol w:w="124"/>
        <w:gridCol w:w="256"/>
        <w:gridCol w:w="5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exhaustion of any available insurance and our capital resources; and</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w:t>
            </w:r>
          </w:p>
        </w:tc>
      </w:tr>
    </w:tbl>
    <w:p>
      <w:pPr>
        <w:pStyle w:val="TextBody"/>
        <w:bidi w:val="0"/>
        <w:spacing w:before="0" w:after="0"/>
        <w:ind w:left="108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product liability insurance is subject to deductibles and coverage limitations, and we may not be able to maintain this insurance.  As of June 30, 2023, we have recorded insurance receivables of $8.9 million on our balance sheet in respect of our insurance coverage for the FiberCel Litigation product liability losses.  However, it is possible that future claims related to the FiberCel Litigation or other product liability claims could exceed the limits of, or be excluded from, coverage under our policies, and claims against us could also increase the cost of maintaining our coverage.  If these or other claims are excluded from our coverages, or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 member states and similar foreign agencies. Compliance with these regulatory requirements, including but not limited to the FDA’s Quality System Regulation (“QSR”), current Good Manufacturing Practices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 member states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FDA and foreign regulatory authorities may also require post-market testing and surveillance to monitor the performance of approved or certified products. Our facilities and those of our suppliers, commercial partners and independent sales agents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regulatory action, depending on its magnitude, may restrict us from effectively manufacturing, marketing and selling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our products do not function as designed, or are designed improperly, we or the third-party manufacturer of such products may withdraw such products from the market, whether by choice or as a result of regulatory requirements. In June 2021, we issued a voluntary recall pertaining to a single donor lot of our FiberCel Fiber Viable Bone Matrix, a bone repair product made from human tissue that is used in various orthopedic and spinal procedures, following our learning of post-surgical infections in patients treated with FiberCel, including some patients that tested positive for tuberculosis. This recall had a negative effect on our business, financial condition and results of operations and resulted in a number of lawsuits filed against us as discussed under the risk factor “ </w:t>
      </w:r>
      <w:r>
        <w:rPr>
          <w:rFonts w:ascii="Times New Roman;Times;serif" w:hAnsi="Times New Roman;Times;serif"/>
          <w:i/>
          <w:sz w:val="20"/>
        </w:rPr>
        <w:t>We face significant litigation related to FiberCel</w:t>
      </w:r>
      <w:r>
        <w:rPr>
          <w:rFonts w:ascii="Times New Roman;Times;serif" w:hAnsi="Times New Roman;Times;serif"/>
          <w:sz w:val="20"/>
        </w:rPr>
        <w:t>” included in our Annual Report. Furthermore, in July 2023, we announced a voluntary recall of a single lot of a certain viable bone matrix product and the market withdrawal of all of our viable bone matrix (“VBM”) products produced after a specified date (“VBM Matter”). Notice of the voluntary recall was issued to centers after we learned of post-surgical Mycobacterium tuberculosis (MTB) infections in two patients treated with a VBM product from a single donor lot. Prior to release, samples from this specific lot had tested negative for MTB by an independent laboratory using a nucleic acid test that is designed to specifically detect the MTB organism. The VBM Matter product recall has had and may continue to have, and any product recall we or a third-party manufacturer may conduct in the future, whether voluntary or required, could also have, a negative impact on our business, financial condition and results of operations, and this effect may be material.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recently received a Nasdaq notice for failing to comply with listing requirements and there is no assurance we will regain compliance or maintain our Nasdaq listing.</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May 4, 2023, we received a letter from the Listing Qualifications Department of the Nasdaq Stock Market (“Nasdaq”) informing us that, due to our Market Value of Listed Securities (“MVLS”) having been below the minimum of $35 million for 30 consecutive business days, we are not in compliance with the MVLS required for continued listing on the Nasdaq Capital Market set forth in Nasdaq Listing Rule 5550(b)(2) (the “Market Value Standard”).  In accordance with Nasdaq Listing Rule 5810(c)(3)(C), we have a period of 180 calendar days from May 4, 2023, or until October 31, 2023, to regain compliance with the Market Value Standard. If we do not regain compliance within the allotted compliance period, including any extensions that may be granted by Nasdaq, Nasdaq will provide notice that our common stock will be subject to delisting.</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intend to monitor our MVLS during the allotted compliance period, and may, if appropriate, evaluate available options to regain compliance by resolving the deficiency under the Market Value Standard, or under Nasdaq’s alternative continued listing requirements. However, there can be no assurance that we will regain compliance with the Market Value Standard during the 180 day compliance period, secure an extension to the 180 calendar day period to regain compliance, or gain or maintain compliance under or with Nasdaq’s other applicable listing requirements.</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we cannot regain compliance with the Market Value Standard or under Nasdaq’s alternative continued listing requirements, and 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might deter certain institutions and persons from investing in our securities at all. Delisting could also cause a loss of confidence of our collaborators, vendors, suppliers and employees, which could harm our business and future prospects.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04" w:name="Item2UnregisteredSalesofEquitySecurities"/>
      <w:bookmarkStart w:id="905" w:name="_b961e81b_6ebe_4687_acad_2810969996a7"/>
      <w:bookmarkEnd w:id="904"/>
      <w:bookmarkEnd w:id="905"/>
      <w:r>
        <w:rPr>
          <w:rFonts w:ascii="Times New Roman;Times;serif" w:hAnsi="Times New Roman;Times;serif"/>
          <w:b/>
          <w:sz w:val="20"/>
        </w:rPr>
        <w:t>Item 2.             Unregistered Sales of Equity Securities and Use of Proceeds.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06" w:name="Item3DefaultsUponSeniorSecurities_323509"/>
      <w:bookmarkStart w:id="907" w:name="_1dc20386_0c40_49be_a0d1_140aee553317"/>
      <w:bookmarkEnd w:id="906"/>
      <w:bookmarkEnd w:id="907"/>
      <w:r>
        <w:rPr>
          <w:rFonts w:ascii="Times New Roman;Times;serif" w:hAnsi="Times New Roman;Times;serif"/>
          <w:b/>
          <w:sz w:val="20"/>
        </w:rPr>
        <w:t>Item 3.             Defaults Upon Senior Securities.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08" w:name="Item4MineSafetyDisclosures_851610"/>
      <w:bookmarkStart w:id="909" w:name="_79e9045d_e9ce_4b52_9991_c4304788968b"/>
      <w:bookmarkEnd w:id="908"/>
      <w:bookmarkEnd w:id="909"/>
      <w:r>
        <w:rPr>
          <w:rFonts w:ascii="Times New Roman;Times;serif" w:hAnsi="Times New Roman;Times;serif"/>
          <w:b/>
          <w:sz w:val="20"/>
        </w:rPr>
        <w:t>Item 4.             Mine Safety Disclosures.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10" w:name="Item5OtherInformation_139851"/>
      <w:bookmarkStart w:id="911" w:name="_679a607d_f978_41c7_b060_7f4fb358b957"/>
      <w:bookmarkEnd w:id="910"/>
      <w:bookmarkEnd w:id="911"/>
      <w:r>
        <w:rPr>
          <w:rFonts w:ascii="Times New Roman;Times;serif" w:hAnsi="Times New Roman;Times;serif"/>
          <w:b/>
          <w:sz w:val="20"/>
        </w:rPr>
        <w:t>Item 5.             Other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2023, none of our directors or officers (as defined in Rule 16a-1 under the Exchange Act) adopted or terminated any contract, instruction, or written plan for the purchase or sale of our securities that was intended to satisfy the affirmative defense conditions of Rule 10b5-1(c) or any "non-Rule 10b5-1 trading arrangement" (as defined in Item 408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12" w:name="Item6Exhibits_211620"/>
      <w:bookmarkStart w:id="913" w:name="_54f1c7c9_9b77_4d5e_9f67_59867ee12aeb"/>
      <w:bookmarkEnd w:id="912"/>
      <w:bookmarkEnd w:id="913"/>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20"/>
        <w:gridCol w:w="326"/>
        <w:gridCol w:w="4523"/>
        <w:gridCol w:w="1025"/>
        <w:gridCol w:w="814"/>
        <w:gridCol w:w="754"/>
        <w:gridCol w:w="709"/>
        <w:gridCol w:w="1234"/>
      </w:tblGrid>
      <w:tr>
        <w:trPr/>
        <w:tc>
          <w:tcPr>
            <w:tcW w:w="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vAlign w:val="center"/>
          </w:tcPr>
          <w:p>
            <w:pPr>
              <w:pStyle w:val="TableContents"/>
              <w:bidi w:val="0"/>
              <w:spacing w:before="0" w:after="0"/>
              <w:ind w:left="0" w:right="0" w:hanging="0"/>
              <w:jc w:val="left"/>
              <w:rPr/>
            </w:pPr>
            <w:r>
              <w:rPr/>
              <w:t>    </w:t>
            </w:r>
          </w:p>
        </w:tc>
        <w:tc>
          <w:tcPr>
            <w:tcW w:w="45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102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w:t>
            </w:r>
          </w:p>
        </w:tc>
        <w:tc>
          <w:tcPr>
            <w:tcW w:w="81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 No.</w:t>
            </w:r>
          </w:p>
        </w:tc>
        <w:tc>
          <w:tcPr>
            <w:tcW w:w="75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70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Filing Date</w:t>
            </w:r>
          </w:p>
        </w:tc>
        <w:tc>
          <w:tcPr>
            <w:tcW w:w="123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Filed/ Furnished Herewith</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Certificate of Incorporation of Aziyo Biologics, Inc.</w:t>
              </w:r>
            </w:hyperlink>
          </w:p>
        </w:tc>
        <w:tc>
          <w:tcPr>
            <w:tcW w:w="10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001-39577</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10/13/2020</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Aziyo Biologics, Inc.</w:t>
              </w:r>
            </w:hyperlink>
          </w:p>
        </w:tc>
        <w:tc>
          <w:tcPr>
            <w:tcW w:w="10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001-39577</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10/13/2020</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Amended and Restated Investor Rights Agreement, dated as of March 14, 2020, among the Registrant and the investors named therein</w:t>
              </w:r>
            </w:hyperlink>
          </w:p>
        </w:tc>
        <w:tc>
          <w:tcPr>
            <w:tcW w:w="10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333-248788</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09/14/2020</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Specimen stock certificate evidencing the shares of Class A common stock</w:t>
              </w:r>
            </w:hyperlink>
          </w:p>
        </w:tc>
        <w:tc>
          <w:tcPr>
            <w:tcW w:w="10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333-248788</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09/14/2020</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Specimen stock certificate evidencing the shares of Class B common stock</w:t>
              </w:r>
            </w:hyperlink>
          </w:p>
        </w:tc>
        <w:tc>
          <w:tcPr>
            <w:tcW w:w="10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333-248788</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09/30/2020</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1234" w:type="dxa"/>
            <w:tcBorders/>
            <w:vAlign w:val="center"/>
          </w:tcPr>
          <w:p>
            <w:pPr>
              <w:pStyle w:val="TableContents"/>
              <w:bidi w:val="0"/>
              <w:spacing w:before="0" w:after="0"/>
              <w:ind w:left="0" w:right="0" w:hanging="0"/>
              <w:jc w:val="center"/>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Warrant to Purchase Stock, issued on August 10, 2022, by Aziyo Biologics, Inc.to SWK Funding LLC.</w:t>
              </w:r>
            </w:hyperlink>
          </w:p>
        </w:tc>
        <w:tc>
          <w:tcPr>
            <w:tcW w:w="10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001-39577</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08/15/2022</w:t>
            </w:r>
          </w:p>
        </w:tc>
        <w:tc>
          <w:tcPr>
            <w:tcW w:w="1234" w:type="dxa"/>
            <w:tcBorders/>
            <w:vAlign w:val="center"/>
          </w:tcPr>
          <w:p>
            <w:pPr>
              <w:pStyle w:val="TableContents"/>
              <w:bidi w:val="0"/>
              <w:spacing w:before="0" w:after="0"/>
              <w:ind w:left="0" w:right="0" w:hanging="0"/>
              <w:jc w:val="center"/>
              <w:rPr/>
            </w:pPr>
            <w:r>
              <w:rPr/>
              <w:t>​</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"https://www.sec.gov/Archives/edgar/data/1708527/000110465923051446/tm231999-1_def14a.htm" \l "tANA"</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Aziyo Biologics, Inc. Amended and Restated 2020 Incentive Award Plan</w:t>
            </w:r>
            <w:r>
              <w:rPr>
                <w:rStyle w:val="InternetLink"/>
                <w:smallCaps w:val="false"/>
                <w:caps w:val="false"/>
                <w:sz w:val="20"/>
                <w:i w:val="false"/>
                <w:b w:val="false"/>
                <w:rFonts w:ascii="Times New Roman;Times;serif" w:hAnsi="Times New Roman;Times;serif"/>
              </w:rPr>
              <w:fldChar w:fldCharType="end"/>
            </w:r>
          </w:p>
        </w:tc>
        <w:tc>
          <w:tcPr>
            <w:tcW w:w="10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w:t>
            </w:r>
          </w:p>
        </w:tc>
        <w:tc>
          <w:tcPr>
            <w:tcW w:w="81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001-39577</w:t>
            </w:r>
          </w:p>
        </w:tc>
        <w:tc>
          <w:tcPr>
            <w:tcW w:w="7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Annex A</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04/27/2023</w:t>
            </w:r>
          </w:p>
        </w:tc>
        <w:tc>
          <w:tcPr>
            <w:tcW w:w="1234" w:type="dxa"/>
            <w:tcBorders/>
            <w:vAlign w:val="center"/>
          </w:tcPr>
          <w:p>
            <w:pPr>
              <w:pStyle w:val="TableContents"/>
              <w:bidi w:val="0"/>
              <w:spacing w:before="0" w:after="0"/>
              <w:ind w:left="0" w:right="0" w:hanging="0"/>
              <w:jc w:val="center"/>
              <w:rPr/>
            </w:pPr>
            <w:r>
              <w:rPr/>
              <w:t>​</w:t>
            </w:r>
          </w:p>
        </w:tc>
      </w:tr>
      <w:tr>
        <w:trPr/>
        <w:tc>
          <w:tcPr>
            <w:tcW w:w="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1234" w:type="dxa"/>
            <w:tcBorders/>
            <w:vAlign w:val="center"/>
          </w:tcPr>
          <w:p>
            <w:pPr>
              <w:pStyle w:val="TableContents"/>
              <w:bidi w:val="0"/>
              <w:spacing w:before="0" w:after="0"/>
              <w:ind w:left="0" w:right="0" w:hanging="0"/>
              <w:jc w:val="center"/>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w:anchor="azyo-20230630xex10d2.htm">
              <w:r>
                <w:rPr>
                  <w:rStyle w:val="InternetLink"/>
                  <w:rFonts w:ascii="Times New Roman;Times;serif" w:hAnsi="Times New Roman;Times;serif"/>
                  <w:b w:val="false"/>
                  <w:i w:val="false"/>
                  <w:caps w:val="false"/>
                  <w:smallCaps w:val="false"/>
                  <w:sz w:val="20"/>
                </w:rPr>
                <w:t>Distribution Agreement by and between Aziyo Biologics, Inc. and LeMaitre Vascular, Inc.</w:t>
              </w:r>
            </w:hyperlink>
            <w:r>
              <w:rPr>
                <w:rFonts w:ascii="Times New Roman;Times;serif" w:hAnsi="Times New Roman;Times;serif"/>
                <w:sz w:val="20"/>
              </w:rPr>
              <w:t xml:space="preserve"> </w:t>
            </w:r>
          </w:p>
        </w:tc>
        <w:tc>
          <w:tcPr>
            <w:tcW w:w="1025"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12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w:t>
            </w:r>
          </w:p>
        </w:tc>
        <w:tc>
          <w:tcPr>
            <w:tcW w:w="1025" w:type="dxa"/>
            <w:tcBorders/>
            <w:vAlign w:val="center"/>
          </w:tcPr>
          <w:p>
            <w:pPr>
              <w:pStyle w:val="TableContents"/>
              <w:bidi w:val="0"/>
              <w:spacing w:before="0" w:after="0"/>
              <w:ind w:left="0" w:right="0" w:hanging="0"/>
              <w:jc w:val="center"/>
              <w:rPr/>
            </w:pPr>
            <w:r>
              <w:rPr/>
              <w:t>​</w:t>
            </w:r>
          </w:p>
        </w:tc>
        <w:tc>
          <w:tcPr>
            <w:tcW w:w="814" w:type="dxa"/>
            <w:tcBorders/>
            <w:vAlign w:val="center"/>
          </w:tcPr>
          <w:p>
            <w:pPr>
              <w:pStyle w:val="TableContents"/>
              <w:bidi w:val="0"/>
              <w:spacing w:before="0" w:after="0"/>
              <w:ind w:left="0" w:right="0" w:hanging="0"/>
              <w:jc w:val="center"/>
              <w:rPr/>
            </w:pPr>
            <w:r>
              <w:rPr/>
              <w:t>​</w:t>
            </w:r>
          </w:p>
        </w:tc>
        <w:tc>
          <w:tcPr>
            <w:tcW w:w="754"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1234" w:type="dxa"/>
            <w:tcBorders/>
            <w:vAlign w:val="center"/>
          </w:tcPr>
          <w:p>
            <w:pPr>
              <w:pStyle w:val="TableContents"/>
              <w:bidi w:val="0"/>
              <w:spacing w:before="0" w:after="0"/>
              <w:ind w:left="0" w:right="0" w:hanging="0"/>
              <w:jc w:val="center"/>
              <w:rPr/>
            </w:pPr>
            <w:r>
              <w:rPr/>
              <w:t>​</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w:anchor="azyo-2023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w:anchor="azyo-2023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w:anchor="azyo-2023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hyperlink w:anchor="azyo-2023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r>
        <w:trPr/>
        <w:tc>
          <w:tcPr>
            <w:tcW w:w="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2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4523"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center"/>
              <w:rPr/>
            </w:pPr>
            <w:r>
              <w:rPr/>
              <w:t> </w:t>
            </w:r>
          </w:p>
        </w:tc>
        <w:tc>
          <w:tcPr>
            <w:tcW w:w="814" w:type="dxa"/>
            <w:tcBorders/>
            <w:vAlign w:val="center"/>
          </w:tcPr>
          <w:p>
            <w:pPr>
              <w:pStyle w:val="TableContents"/>
              <w:bidi w:val="0"/>
              <w:spacing w:before="0" w:after="0"/>
              <w:ind w:left="0" w:right="0" w:hanging="0"/>
              <w:jc w:val="center"/>
              <w:rPr/>
            </w:pPr>
            <w:r>
              <w:rPr/>
              <w:t> </w:t>
            </w:r>
          </w:p>
        </w:tc>
        <w:tc>
          <w:tcPr>
            <w:tcW w:w="754" w:type="dxa"/>
            <w:tcBorders/>
            <w:vAlign w:val="center"/>
          </w:tcPr>
          <w:p>
            <w:pPr>
              <w:pStyle w:val="TableContents"/>
              <w:bidi w:val="0"/>
              <w:spacing w:before="0" w:after="0"/>
              <w:ind w:left="0" w:right="0" w:hanging="0"/>
              <w:jc w:val="center"/>
              <w:rPr/>
            </w:pPr>
            <w:r>
              <w:rPr/>
              <w:t> </w:t>
            </w:r>
          </w:p>
        </w:tc>
        <w:tc>
          <w:tcPr>
            <w:tcW w:w="709" w:type="dxa"/>
            <w:tcBorders/>
            <w:vAlign w:val="center"/>
          </w:tcPr>
          <w:p>
            <w:pPr>
              <w:pStyle w:val="TableContents"/>
              <w:bidi w:val="0"/>
              <w:spacing w:before="0" w:after="0"/>
              <w:ind w:left="0" w:right="0" w:hanging="0"/>
              <w:jc w:val="center"/>
              <w:rPr/>
            </w:pPr>
            <w:r>
              <w:rPr/>
              <w:t> </w:t>
            </w:r>
          </w:p>
        </w:tc>
        <w:tc>
          <w:tcPr>
            <w:tcW w:w="1234" w:type="dxa"/>
            <w:tcBorders/>
            <w:vAlign w:val="center"/>
          </w:tcPr>
          <w:p>
            <w:pPr>
              <w:pStyle w:val="TableContents"/>
              <w:bidi w:val="0"/>
              <w:spacing w:before="0" w:after="0"/>
              <w:ind w:left="0" w:right="0" w:hanging="0"/>
              <w:jc w:val="center"/>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31" w:type="dxa"/>
        <w:jc w:val="left"/>
        <w:tblInd w:w="0" w:type="dxa"/>
        <w:tblLayout w:type="fixed"/>
        <w:tblCellMar>
          <w:top w:w="0" w:type="dxa"/>
          <w:left w:w="0" w:type="dxa"/>
          <w:bottom w:w="0" w:type="dxa"/>
          <w:right w:w="0" w:type="dxa"/>
        </w:tblCellMar>
      </w:tblPr>
      <w:tblGrid>
        <w:gridCol w:w="871"/>
        <w:gridCol w:w="109"/>
        <w:gridCol w:w="7411"/>
        <w:gridCol w:w="146"/>
        <w:gridCol w:w="146"/>
        <w:gridCol w:w="146"/>
        <w:gridCol w:w="146"/>
        <w:gridCol w:w="256"/>
      </w:tblGrid>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7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7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7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8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240"/>
        <w:ind w:left="0" w:right="0" w:firstLine="720"/>
        <w:jc w:val="both"/>
        <w:rPr/>
      </w:pPr>
      <w:r>
        <w:rPr/>
        <w:t>​</w:t>
      </w:r>
    </w:p>
    <w:p>
      <w:pPr>
        <w:pStyle w:val="TextBody"/>
        <w:pBdr/>
        <w:bidi w:val="0"/>
        <w:spacing w:before="0" w:after="0"/>
        <w:ind w:left="720" w:right="0" w:hanging="180"/>
        <w:jc w:val="both"/>
        <w:rPr>
          <w:rFonts w:ascii="Times New Roman;Times;serif" w:hAnsi="Times New Roman;Times;serif"/>
          <w:sz w:val="20"/>
        </w:rPr>
      </w:pPr>
      <w:r>
        <w:rPr>
          <w:rFonts w:ascii="Times New Roman;Times;serif" w:hAnsi="Times New Roman;Times;serif"/>
          <w:sz w:val="20"/>
        </w:rPr>
        <w:t># Annexes, schedules and exhibits have been omitted pursuant to Item 601(a)(5)(b)(2) of Regulation S-K. The Registrant hereby agrees to furnish supplementally a copy of any omitted annex, schedule or exhibit to the SEC upon request.</w:t>
      </w:r>
    </w:p>
    <w:p>
      <w:pPr>
        <w:pStyle w:val="TextBody"/>
        <w:pBdr/>
        <w:bidi w:val="0"/>
        <w:spacing w:before="0" w:after="240"/>
        <w:ind w:left="720" w:right="0" w:hanging="180"/>
        <w:jc w:val="both"/>
        <w:rPr/>
      </w:pPr>
      <w:r>
        <w:rPr/>
        <w:t>​</w:t>
      </w:r>
    </w:p>
    <w:p>
      <w:pPr>
        <w:pStyle w:val="TextBody"/>
        <w:pBdr/>
        <w:bidi w:val="0"/>
        <w:spacing w:before="0" w:after="0"/>
        <w:ind w:left="720" w:right="0" w:hanging="180"/>
        <w:jc w:val="both"/>
        <w:rPr/>
      </w:pPr>
      <w:r>
        <w:rPr/>
        <w:t xml:space="preserve">† </w:t>
      </w:r>
      <w:r>
        <w:rPr>
          <w:rFonts w:ascii="Times New Roman;Times;serif" w:hAnsi="Times New Roman;Times;serif"/>
          <w:sz w:val="20"/>
        </w:rPr>
        <w:t>Denotes a management contract or compensation plan or arrangement.</w:t>
      </w:r>
    </w:p>
    <w:p>
      <w:pPr>
        <w:pStyle w:val="TextBody"/>
        <w:pBdr/>
        <w:bidi w:val="0"/>
        <w:spacing w:before="0" w:after="240"/>
        <w:ind w:left="720" w:right="0" w:hanging="180"/>
        <w:jc w:val="both"/>
        <w:rPr/>
      </w:pPr>
      <w:r>
        <w:rPr/>
        <w:t>​</w:t>
      </w:r>
    </w:p>
    <w:p>
      <w:pPr>
        <w:pStyle w:val="TextBody"/>
        <w:pBdr/>
        <w:bidi w:val="0"/>
        <w:spacing w:before="0" w:after="240"/>
        <w:ind w:left="720" w:right="0" w:hanging="180"/>
        <w:jc w:val="both"/>
        <w:rPr/>
      </w:pPr>
      <w:r>
        <w:rPr/>
        <w:t>​</w:t>
      </w:r>
    </w:p>
    <w:p>
      <w:pPr>
        <w:pStyle w:val="TextBody"/>
        <w:pBdr/>
        <w:bidi w:val="0"/>
        <w:spacing w:before="0" w:after="240"/>
        <w:ind w:left="720" w:right="0" w:hanging="18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14" w:name="SIGNATURES_900854"/>
      <w:bookmarkStart w:id="915" w:name="_05008b6e_e0a7_4e80_a0fd_d2cf4a963037"/>
      <w:bookmarkEnd w:id="914"/>
      <w:bookmarkEnd w:id="915"/>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548" w:type="dxa"/>
        <w:jc w:val="left"/>
        <w:tblInd w:w="0" w:type="dxa"/>
        <w:tblLayout w:type="fixed"/>
        <w:tblCellMar>
          <w:top w:w="0" w:type="dxa"/>
          <w:left w:w="0" w:type="dxa"/>
          <w:bottom w:w="0" w:type="dxa"/>
          <w:right w:w="0" w:type="dxa"/>
        </w:tblCellMar>
      </w:tblPr>
      <w:tblGrid>
        <w:gridCol w:w="1951"/>
        <w:gridCol w:w="451"/>
        <w:gridCol w:w="514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514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center"/>
              <w:rPr/>
            </w:pPr>
            <w:r>
              <w:rPr/>
              <w:t>​</w:t>
            </w:r>
          </w:p>
        </w:tc>
        <w:tc>
          <w:tcPr>
            <w:tcW w:w="559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AZIYO BIOLOGICS, INC.</w:t>
            </w:r>
          </w:p>
        </w:tc>
      </w:tr>
      <w:tr>
        <w:trPr/>
        <w:tc>
          <w:tcPr>
            <w:tcW w:w="1951" w:type="dxa"/>
            <w:tcBorders/>
            <w:vAlign w:val="center"/>
          </w:tcPr>
          <w:p>
            <w:pPr>
              <w:pStyle w:val="TableContents"/>
              <w:bidi w:val="0"/>
              <w:spacing w:before="0" w:after="0"/>
              <w:ind w:left="0" w:right="0" w:hanging="0"/>
              <w:jc w:val="center"/>
              <w:rPr/>
            </w:pPr>
            <w:r>
              <w:rPr/>
              <w:t>​</w:t>
            </w:r>
          </w:p>
        </w:tc>
        <w:tc>
          <w:tcPr>
            <w:tcW w:w="559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2023</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 Randal Mills</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Randal Mills</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559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2023</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14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51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0"/>
        <w:ind w:left="0" w:right="0" w:hanging="0"/>
        <w:jc w:val="both"/>
        <w:rPr>
          <w:rFonts w:ascii="Calibri;Helvetica;sans-serif" w:hAnsi="Calibri;Helvetica;sans-serif"/>
          <w:sz w:val="20"/>
        </w:rPr>
      </w:pPr>
      <w:bookmarkStart w:id="916" w:name="azyo-20230630xex10d2.htm"/>
      <w:bookmarkStart w:id="917" w:name="ksazyo20230630xex10d2"/>
      <w:bookmarkEnd w:id="916"/>
      <w:bookmarkEnd w:id="917"/>
      <w:r>
        <w:rPr>
          <w:rFonts w:ascii="Times New Roman;Times;serif" w:hAnsi="Times New Roman;Times;serif"/>
          <w:b/>
          <w:sz w:val="20"/>
        </w:rPr>
        <w:t>CERTAIN CONFIDENTIAL PORTIONS OF THIS EXHIBIT HAVE BEEN OMITTED AND REPLACED WITH “[***]”. SUCH IDENTIFIED INFORMATION HAS BEEN EXCLUDED FROM THIS EXHIBIT BECAUSE IT IS (i) NOT MATERIAL AND (ii) </w:t>
      </w:r>
      <w:r>
        <w:rPr>
          <w:rFonts w:ascii="Times New Roman;Times;serif" w:hAnsi="Times New Roman;Times;serif"/>
          <w:b/>
          <w:caps/>
          <w:sz w:val="20"/>
        </w:rPr>
        <w:t>THE REGISTRANT CUSTOMARILY AND ACTUALLY TREATS THAT INFORMATION AS PRIVATE OR CONFIDENTIAL.</w:t>
      </w:r>
      <w:r>
        <w:br w:type="page"/>
      </w:r>
    </w:p>
    <w:p>
      <w:pPr>
        <w:pStyle w:val="TextBody"/>
        <w:bidi w:val="0"/>
        <w:spacing w:lineRule="auto" w:line="285" w:before="0" w:after="0"/>
        <w:ind w:left="0" w:right="0" w:hanging="0"/>
        <w:jc w:val="center"/>
        <w:rPr>
          <w:spacing w:val="5"/>
        </w:rPr>
      </w:pPr>
      <w:r>
        <w:rPr>
          <w:spacing w:val="5"/>
        </w:rPr>
        <w:t>​</w:t>
      </w:r>
    </w:p>
    <w:p>
      <w:pPr>
        <w:pStyle w:val="TextBody"/>
        <w:bidi w:val="0"/>
        <w:spacing w:lineRule="auto" w:line="285" w:before="0" w:after="0"/>
        <w:ind w:left="0" w:right="0" w:hanging="0"/>
        <w:jc w:val="center"/>
        <w:rPr>
          <w:spacing w:val="5"/>
        </w:rPr>
      </w:pPr>
      <w:r>
        <w:rPr>
          <w:spacing w:val="5"/>
        </w:rPr>
        <w:t>​</w:t>
      </w:r>
    </w:p>
    <w:p>
      <w:pPr>
        <w:pStyle w:val="TextBody"/>
        <w:bidi w:val="0"/>
        <w:spacing w:lineRule="auto" w:line="285" w:before="0" w:after="0"/>
        <w:ind w:left="0" w:right="0" w:hanging="0"/>
        <w:jc w:val="center"/>
        <w:rPr>
          <w:spacing w:val="5"/>
        </w:rPr>
      </w:pPr>
      <w:r>
        <w:rPr>
          <w:spacing w:val="5"/>
        </w:rPr>
        <w:t>​</w:t>
      </w:r>
    </w:p>
    <w:p>
      <w:pPr>
        <w:pStyle w:val="TextBody"/>
        <w:bidi w:val="0"/>
        <w:spacing w:before="0" w:after="0"/>
        <w:ind w:left="0" w:right="0" w:hanging="0"/>
        <w:jc w:val="center"/>
        <w:rPr>
          <w:rFonts w:ascii="Times New Roman;Times;serif" w:hAnsi="Times New Roman;Times;serif"/>
          <w:b/>
          <w:spacing w:val="5"/>
          <w:sz w:val="24"/>
        </w:rPr>
      </w:pPr>
      <w:r>
        <w:rPr>
          <w:rFonts w:ascii="Times New Roman;Times;serif" w:hAnsi="Times New Roman;Times;serif"/>
          <w:b/>
          <w:spacing w:val="5"/>
          <w:sz w:val="24"/>
        </w:rPr>
        <w:t>DISTRIBUTION AGREEMENT</w:t>
      </w:r>
    </w:p>
    <w:p>
      <w:pPr>
        <w:pStyle w:val="TextBody"/>
        <w:bidi w:val="0"/>
        <w:spacing w:lineRule="auto" w:line="285"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pacing w:val="5"/>
          <w:sz w:val="22"/>
        </w:rPr>
      </w:pPr>
      <w:r>
        <w:rPr>
          <w:rFonts w:ascii="Times New Roman;Times;serif" w:hAnsi="Times New Roman;Times;serif"/>
          <w:spacing w:val="0"/>
          <w:sz w:val="24"/>
        </w:rPr>
        <w:t>This DISTRIBUTION AGREEMENT is entered into as of April 20, 2023 (the "</w:t>
      </w:r>
      <w:r>
        <w:rPr>
          <w:rFonts w:ascii="Times New Roman;Times;serif" w:hAnsi="Times New Roman;Times;serif"/>
          <w:spacing w:val="0"/>
          <w:sz w:val="24"/>
          <w:u w:val="single"/>
        </w:rPr>
        <w:t>Effective Date</w:t>
      </w:r>
      <w:r>
        <w:rPr>
          <w:rFonts w:ascii="Times New Roman;Times;serif" w:hAnsi="Times New Roman;Times;serif"/>
          <w:spacing w:val="0"/>
          <w:sz w:val="24"/>
        </w:rPr>
        <w:t>") by and between Aziyo Biologics, Inc., a Delaware corporation having a principal place of business at 12510 Prosperity Drive, Suite 370, Silver Spring, Maryland 20904 (“</w:t>
      </w:r>
      <w:r>
        <w:rPr>
          <w:rFonts w:ascii="Times New Roman;Times;serif" w:hAnsi="Times New Roman;Times;serif"/>
          <w:spacing w:val="0"/>
          <w:sz w:val="24"/>
          <w:u w:val="single"/>
        </w:rPr>
        <w:t>Supplier</w:t>
      </w:r>
      <w:r>
        <w:rPr>
          <w:rFonts w:ascii="Times New Roman;Times;serif" w:hAnsi="Times New Roman;Times;serif"/>
          <w:spacing w:val="0"/>
          <w:sz w:val="22"/>
        </w:rPr>
        <w:t>”</w:t>
      </w:r>
      <w:r>
        <w:rPr>
          <w:rFonts w:ascii="Times New Roman;Times;serif" w:hAnsi="Times New Roman;Times;serif"/>
          <w:spacing w:val="0"/>
          <w:sz w:val="24"/>
        </w:rPr>
        <w:t>), and LeMaitre Vascular, Inc., a Delaware corporation having a principal place of business at 63 Second Avenue, Burlington, Massachusetts 01803 (“</w:t>
      </w:r>
      <w:r>
        <w:rPr>
          <w:rFonts w:ascii="Times New Roman;Times;serif" w:hAnsi="Times New Roman;Times;serif"/>
          <w:spacing w:val="0"/>
          <w:sz w:val="24"/>
          <w:u w:val="single"/>
        </w:rPr>
        <w:t>Distributor</w:t>
      </w:r>
      <w:r>
        <w:rPr>
          <w:rFonts w:ascii="Times New Roman;Times;serif" w:hAnsi="Times New Roman;Times;serif"/>
          <w:spacing w:val="0"/>
          <w:sz w:val="22"/>
        </w:rPr>
        <w:t>”</w:t>
      </w:r>
      <w:r>
        <w:rPr>
          <w:rFonts w:ascii="Times New Roman;Times;serif" w:hAnsi="Times New Roman;Times;serif"/>
          <w:spacing w:val="0"/>
          <w:sz w:val="24"/>
        </w:rPr>
        <w:t xml:space="preserve">). </w:t>
      </w:r>
    </w:p>
    <w:p>
      <w:pPr>
        <w:pStyle w:val="TextBody"/>
        <w:bidi w:val="0"/>
        <w:spacing w:lineRule="auto" w:line="285" w:before="240" w:after="283"/>
        <w:ind w:left="0" w:right="0" w:firstLine="720"/>
        <w:jc w:val="both"/>
        <w:rPr>
          <w:spacing w:val="5"/>
        </w:rPr>
      </w:pPr>
      <w:r>
        <w:rPr>
          <w:spacing w:val="5"/>
        </w:rPr>
        <w:t>​</w:t>
      </w:r>
    </w:p>
    <w:p>
      <w:pPr>
        <w:pStyle w:val="TextBody"/>
        <w:bidi w:val="0"/>
        <w:spacing w:before="0" w:after="0"/>
        <w:ind w:left="0" w:right="0" w:hanging="0"/>
        <w:jc w:val="both"/>
        <w:rPr>
          <w:rFonts w:ascii="Times New Roman;Times;serif" w:hAnsi="Times New Roman;Times;serif"/>
          <w:spacing w:val="5"/>
          <w:sz w:val="24"/>
          <w:u w:val="single"/>
        </w:rPr>
      </w:pPr>
      <w:r>
        <w:rPr>
          <w:rFonts w:ascii="Times New Roman;Times;serif" w:hAnsi="Times New Roman;Times;serif"/>
          <w:spacing w:val="5"/>
          <w:sz w:val="24"/>
          <w:u w:val="single"/>
        </w:rPr>
        <w:t>Background</w:t>
      </w:r>
    </w:p>
    <w:p>
      <w:pPr>
        <w:pStyle w:val="TextBody"/>
        <w:bidi w:val="0"/>
        <w:spacing w:lineRule="auto" w:line="285" w:before="240" w:after="283"/>
        <w:ind w:left="0" w:right="0" w:firstLine="720"/>
        <w:jc w:val="both"/>
        <w:rPr>
          <w:spacing w:val="5"/>
        </w:rPr>
      </w:pPr>
      <w:r>
        <w:rPr>
          <w:spacing w:val="5"/>
        </w:rPr>
        <w:t>​</w:t>
      </w:r>
    </w:p>
    <w:p>
      <w:pPr>
        <w:pStyle w:val="TextBody"/>
        <w:bidi w:val="0"/>
        <w:spacing w:lineRule="auto" w:line="285" w:before="0" w:after="0"/>
        <w:ind w:left="0" w:right="0" w:hanging="0"/>
        <w:jc w:val="both"/>
        <w:rPr>
          <w:rFonts w:ascii="Times" w:hAnsi="Times"/>
          <w:sz w:val="24"/>
        </w:rPr>
      </w:pPr>
      <w:r>
        <w:rPr>
          <w:rFonts w:ascii="Times" w:hAnsi="Times"/>
          <w:sz w:val="24"/>
        </w:rPr>
        <w:t xml:space="preserve">WHEREAS, Supplier has developed and manufactures certain Products (as defined herein); and </w:t>
      </w:r>
    </w:p>
    <w:p>
      <w:pPr>
        <w:pStyle w:val="TextBody"/>
        <w:bidi w:val="0"/>
        <w:spacing w:lineRule="auto" w:line="285" w:before="0" w:after="0"/>
        <w:ind w:left="0" w:right="0" w:hanging="0"/>
        <w:jc w:val="both"/>
        <w:rPr>
          <w:spacing w:val="5"/>
        </w:rPr>
      </w:pPr>
      <w:r>
        <w:rPr>
          <w:spacing w:val="5"/>
        </w:rPr>
        <w:t>​</w:t>
      </w:r>
    </w:p>
    <w:p>
      <w:pPr>
        <w:pStyle w:val="TextBody"/>
        <w:bidi w:val="0"/>
        <w:spacing w:lineRule="auto" w:line="285" w:before="0" w:after="0"/>
        <w:ind w:left="0" w:right="0" w:hanging="0"/>
        <w:jc w:val="both"/>
        <w:rPr>
          <w:rFonts w:ascii="Times" w:hAnsi="Times"/>
          <w:sz w:val="24"/>
        </w:rPr>
      </w:pPr>
      <w:r>
        <w:rPr>
          <w:rFonts w:ascii="Times" w:hAnsi="Times"/>
          <w:sz w:val="24"/>
        </w:rPr>
        <w:t xml:space="preserve">WHEREAS, Distributor desires to market, sell, and distribute the Products in the Territory (as defined herein) as an exclusive distributor for a period of time with an option to acquire Supplier’s worldwide business of such Products; </w:t>
      </w:r>
    </w:p>
    <w:p>
      <w:pPr>
        <w:pStyle w:val="TextBody"/>
        <w:bidi w:val="0"/>
        <w:spacing w:lineRule="auto" w:line="285" w:before="0" w:after="0"/>
        <w:ind w:left="0" w:right="0" w:hanging="0"/>
        <w:jc w:val="both"/>
        <w:rPr>
          <w:spacing w:val="5"/>
        </w:rPr>
      </w:pPr>
      <w:r>
        <w:rPr>
          <w:spacing w:val="5"/>
        </w:rPr>
        <w:t>​</w:t>
      </w:r>
    </w:p>
    <w:p>
      <w:pPr>
        <w:pStyle w:val="TextBody"/>
        <w:bidi w:val="0"/>
        <w:spacing w:before="0" w:after="0"/>
        <w:ind w:left="0" w:right="0" w:hanging="0"/>
        <w:jc w:val="both"/>
        <w:rPr>
          <w:rFonts w:ascii="Times New Roman;Times;serif" w:hAnsi="Times New Roman;Times;serif"/>
          <w:spacing w:val="5"/>
          <w:sz w:val="22"/>
        </w:rPr>
      </w:pPr>
      <w:r>
        <w:rPr>
          <w:rFonts w:ascii="Times New Roman;Times;serif" w:hAnsi="Times New Roman;Times;serif"/>
          <w:spacing w:val="5"/>
          <w:sz w:val="24"/>
        </w:rPr>
        <w:t>NOW, THEREFORE, in consideration of the premises and the mutual covenants contained herein, and for other good and valuable consideration, the receipt and sufficiency of which are hereby acknowledged by each of the parties hereto, Supplier and Distributor agree as follows:</w:t>
      </w:r>
      <w:r>
        <w:rPr>
          <w:rFonts w:ascii="Times New Roman;Times;serif" w:hAnsi="Times New Roman;Times;serif"/>
          <w:spacing w:val="5"/>
          <w:sz w:val="22"/>
        </w:rPr>
        <w:br/>
        <w:t>​</w:t>
      </w:r>
    </w:p>
    <w:p>
      <w:pPr>
        <w:pStyle w:val="TextBody"/>
        <w:bidi w:val="0"/>
        <w:spacing w:lineRule="auto" w:line="285" w:before="0" w:after="0"/>
        <w:ind w:left="0" w:right="0" w:hanging="720"/>
        <w:jc w:val="both"/>
        <w:rPr>
          <w:rFonts w:ascii="Times" w:hAnsi="Times"/>
          <w:sz w:val="24"/>
        </w:rPr>
      </w:pPr>
      <w:r>
        <w:rPr>
          <w:rFonts w:ascii="Times New Roman;Times;serif" w:hAnsi="Times New Roman;Times;serif"/>
          <w:b/>
          <w:sz w:val="24"/>
        </w:rPr>
        <w:t>1.TERM &amp; OPTION</w:t>
        <w:br/>
      </w:r>
      <w:r>
        <w:rPr>
          <w:rFonts w:ascii="Times" w:hAnsi="Times"/>
          <w:sz w:val="24"/>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1.1</w:t>
            </w:r>
          </w:p>
        </w:tc>
        <w:tc>
          <w:tcPr>
            <w:tcW w:w="9885" w:type="dxa"/>
            <w:tcBorders/>
            <w:vAlign w:val="center"/>
          </w:tcPr>
          <w:p>
            <w:pPr>
              <w:pStyle w:val="TableContents"/>
              <w:bidi w:val="0"/>
              <w:spacing w:lineRule="auto" w:line="285" w:before="0" w:after="0"/>
              <w:jc w:val="both"/>
              <w:rPr>
                <w:rFonts w:ascii="Times" w:hAnsi="Times"/>
                <w:sz w:val="24"/>
              </w:rPr>
            </w:pPr>
            <w:r>
              <w:rPr>
                <w:rFonts w:ascii="Times New Roman;Times;serif" w:hAnsi="Times New Roman;Times;serif"/>
                <w:sz w:val="24"/>
                <w:u w:val="single"/>
              </w:rPr>
              <w:t>Term</w:t>
            </w:r>
            <w:r>
              <w:rPr>
                <w:rFonts w:ascii="Times New Roman;Times;serif" w:hAnsi="Times New Roman;Times;serif"/>
                <w:sz w:val="24"/>
              </w:rPr>
              <w:t>.  This Agreement shall commence on the Effective Date and expire three (3) years thereafter (the “</w:t>
            </w:r>
            <w:r>
              <w:rPr>
                <w:rFonts w:ascii="Times New Roman;Times;serif" w:hAnsi="Times New Roman;Times;serif"/>
                <w:sz w:val="24"/>
                <w:u w:val="single"/>
              </w:rPr>
              <w:t>Term</w:t>
            </w:r>
            <w:r>
              <w:rPr>
                <w:rFonts w:ascii="Times" w:hAnsi="Times"/>
                <w:sz w:val="24"/>
              </w:rPr>
              <w:t>”</w:t>
            </w:r>
            <w:r>
              <w:rPr>
                <w:rFonts w:ascii="Times New Roman;Times;serif" w:hAnsi="Times New Roman;Times;serif"/>
                <w:sz w:val="24"/>
              </w:rPr>
              <w:t xml:space="preserve">), unless (i) terminated earlier as set forth in Section 7, or (ii) extended by Supplier and Distributer by written agreement. </w:t>
            </w:r>
          </w:p>
        </w:tc>
      </w:tr>
    </w:tbl>
    <w:p>
      <w:pPr>
        <w:pStyle w:val="TextBody"/>
        <w:pBdr/>
        <w:bidi w:val="0"/>
        <w:spacing w:lineRule="auto" w:line="285"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1.2</w:t>
            </w:r>
          </w:p>
        </w:tc>
        <w:tc>
          <w:tcPr>
            <w:tcW w:w="9885" w:type="dxa"/>
            <w:tcBorders/>
            <w:vAlign w:val="center"/>
          </w:tcPr>
          <w:p>
            <w:pPr>
              <w:pStyle w:val="TableContents"/>
              <w:bidi w:val="0"/>
              <w:spacing w:lineRule="auto" w:line="285" w:before="0" w:after="0"/>
              <w:jc w:val="both"/>
              <w:rPr>
                <w:rFonts w:ascii="Times" w:hAnsi="Times"/>
                <w:sz w:val="24"/>
              </w:rPr>
            </w:pPr>
            <w:r>
              <w:rPr>
                <w:rFonts w:ascii="Times New Roman;Times;serif" w:hAnsi="Times New Roman;Times;serif"/>
                <w:sz w:val="24"/>
                <w:u w:val="single"/>
              </w:rPr>
              <w:t>Option</w:t>
            </w:r>
            <w:r>
              <w:rPr>
                <w:rFonts w:ascii="Times New Roman;Times;serif" w:hAnsi="Times New Roman;Times;serif"/>
                <w:sz w:val="24"/>
              </w:rPr>
              <w:t>. Supplier hereby grants to Distributor the exclusive option (the “</w:t>
            </w:r>
            <w:r>
              <w:rPr>
                <w:rFonts w:ascii="Times New Roman;Times;serif" w:hAnsi="Times New Roman;Times;serif"/>
                <w:sz w:val="24"/>
                <w:u w:val="single"/>
              </w:rPr>
              <w:t>Option</w:t>
            </w:r>
            <w:r>
              <w:rPr>
                <w:rFonts w:ascii="Times" w:hAnsi="Times"/>
                <w:sz w:val="24"/>
              </w:rPr>
              <w:t>”</w:t>
            </w:r>
            <w:r>
              <w:rPr>
                <w:rFonts w:ascii="Times New Roman;Times;serif" w:hAnsi="Times New Roman;Times;serif"/>
                <w:sz w:val="24"/>
              </w:rPr>
              <w:t xml:space="preserve">) to acquire the assets of the worldwide business of the Products, on the terms set forth on </w:t>
            </w:r>
            <w:r>
              <w:rPr>
                <w:rFonts w:ascii="Times New Roman;Times;serif" w:hAnsi="Times New Roman;Times;serif"/>
                <w:b/>
                <w:sz w:val="24"/>
              </w:rPr>
              <w:t>Exhibit A</w:t>
            </w:r>
            <w:r>
              <w:rPr>
                <w:rFonts w:ascii="Times" w:hAnsi="Times"/>
                <w:sz w:val="24"/>
              </w:rPr>
              <w:t xml:space="preserve"> </w:t>
            </w:r>
            <w:r>
              <w:rPr>
                <w:rFonts w:ascii="Times New Roman;Times;serif" w:hAnsi="Times New Roman;Times;serif"/>
                <w:sz w:val="24"/>
              </w:rPr>
              <w:t>hereto, during the following time periods:  (a) the period of time commencing on the first anniversary of the Effective Date and ending on the third anniversary of the Effective Date; and (b) upon and subsequent to Supplier or any successor entity of Suppler (i) failing to maintain the listing of its shares of capital stock on the Nasdaq Capital Market, (ii) being acquired, whether by an acquisition of the assets or a majority of the shares of Supplier by a Nasdaq-, NYSE or other publicly-listed or private entity or (iii) being in material breach of this Agreement, which breach, to the extent curable, is not cured by Supplier within five (5) business days following the date of notice by Distributor of such breach (the “</w:t>
            </w:r>
            <w:r>
              <w:rPr>
                <w:rFonts w:ascii="Times New Roman;Times;serif" w:hAnsi="Times New Roman;Times;serif"/>
                <w:sz w:val="24"/>
                <w:u w:val="single"/>
              </w:rPr>
              <w:t>Option Period</w:t>
            </w:r>
            <w:r>
              <w:rPr>
                <w:rFonts w:ascii="Times" w:hAnsi="Times"/>
                <w:sz w:val="24"/>
              </w:rPr>
              <w:t>”</w:t>
            </w:r>
            <w:r>
              <w:rPr>
                <w:rFonts w:ascii="Times New Roman;Times;serif" w:hAnsi="Times New Roman;Times;serif"/>
                <w:sz w:val="24"/>
              </w:rPr>
              <w:t xml:space="preserve">).  If Distributor elects to exercise the Option, Distributor shall provide to Supplier written notice of Distributor’s exercise of the Option during the Option Period and intent </w:t>
            </w:r>
          </w:p>
        </w:tc>
      </w:tr>
    </w:tbl>
    <w:p>
      <w:pPr>
        <w:pStyle w:val="HorizontalLine"/>
        <w:pBdr>
          <w:bottom w:val="double" w:sz="2" w:space="0" w:color="808080"/>
        </w:pBdr>
        <w:bidi w:val="0"/>
        <w:spacing w:before="0" w:after="283"/>
        <w:jc w:val="left"/>
        <w:rPr/>
      </w:pPr>
      <w:r>
        <w:rPr/>
      </w:r>
    </w:p>
    <w:p>
      <w:pPr>
        <w:pStyle w:val="TextBody"/>
        <w:bidi w:val="0"/>
        <w:spacing w:lineRule="auto" w:line="285" w:before="0" w:after="0"/>
        <w:ind w:left="720" w:right="0" w:hanging="0"/>
        <w:jc w:val="both"/>
        <w:rPr>
          <w:rFonts w:ascii="Times" w:hAnsi="Times"/>
          <w:sz w:val="24"/>
        </w:rPr>
      </w:pPr>
      <w:r>
        <w:rPr>
          <w:rFonts w:ascii="Times New Roman;Times;serif" w:hAnsi="Times New Roman;Times;serif"/>
          <w:sz w:val="24"/>
        </w:rPr>
        <w:t>to begin negotiations for entering into a binding acquisition agreement (“</w:t>
      </w:r>
      <w:r>
        <w:rPr>
          <w:rFonts w:ascii="Times New Roman;Times;serif" w:hAnsi="Times New Roman;Times;serif"/>
          <w:sz w:val="24"/>
          <w:u w:val="single"/>
        </w:rPr>
        <w:t>Acquisition Agreement</w:t>
      </w:r>
      <w:r>
        <w:rPr>
          <w:rFonts w:ascii="Times" w:hAnsi="Times"/>
          <w:sz w:val="24"/>
        </w:rPr>
        <w:t>”</w:t>
      </w:r>
      <w:r>
        <w:rPr>
          <w:rFonts w:ascii="Times New Roman;Times;serif" w:hAnsi="Times New Roman;Times;serif"/>
          <w:sz w:val="24"/>
        </w:rPr>
        <w:t xml:space="preserve">), to be negotiated by the parties in good faith.  If Distributor does not exercise the Option during the Option Period, this Agreement and the Option shall expire at the end of the Term.  Prior to expiration of the Option Period, Supplier: (i) shall not sell, convey, transfer or assign to any Person other than Distributor or its assignee any of the Purchased Assets as defined in </w:t>
      </w:r>
      <w:r>
        <w:rPr>
          <w:rFonts w:ascii="Times New Roman;Times;serif" w:hAnsi="Times New Roman;Times;serif"/>
          <w:b/>
          <w:sz w:val="24"/>
        </w:rPr>
        <w:t>Exhibit A</w:t>
      </w:r>
      <w:r>
        <w:rPr>
          <w:rFonts w:ascii="Times" w:hAnsi="Times"/>
          <w:sz w:val="24"/>
        </w:rPr>
        <w:t xml:space="preserve"> </w:t>
      </w:r>
      <w:r>
        <w:rPr>
          <w:rFonts w:ascii="Times New Roman;Times;serif" w:hAnsi="Times New Roman;Times;serif"/>
          <w:sz w:val="24"/>
        </w:rPr>
        <w:t>or otherwise impair the ability of Distributor to exercise the Option and consummate the Acquisition Agreement and the transaction contemplated thereby, and (ii) shall provide full and prompt response to Distributor’s diligence inquiries and requests and otherwise fully cooperate with Distributor in its diligence process.</w:t>
      </w:r>
    </w:p>
    <w:p>
      <w:pPr>
        <w:pStyle w:val="TextBody"/>
        <w:pBdr/>
        <w:bidi w:val="0"/>
        <w:spacing w:lineRule="auto" w:line="285" w:before="0" w:after="0"/>
        <w:ind w:left="0" w:right="0" w:hanging="720"/>
        <w:jc w:val="both"/>
        <w:rPr/>
      </w:pPr>
      <w:r>
        <w:rPr/>
        <w:t>​</w:t>
      </w:r>
    </w:p>
    <w:tbl>
      <w:tblPr>
        <w:tblW w:w="6265" w:type="dxa"/>
        <w:jc w:val="left"/>
        <w:tblInd w:w="0" w:type="dxa"/>
        <w:tblLayout w:type="fixed"/>
        <w:tblCellMar>
          <w:top w:w="0" w:type="dxa"/>
          <w:left w:w="0" w:type="dxa"/>
          <w:bottom w:w="0" w:type="dxa"/>
          <w:right w:w="0" w:type="dxa"/>
        </w:tblCellMar>
      </w:tblPr>
      <w:tblGrid>
        <w:gridCol w:w="200"/>
        <w:gridCol w:w="606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w:t>
            </w:r>
          </w:p>
        </w:tc>
        <w:tc>
          <w:tcPr>
            <w:tcW w:w="6065" w:type="dxa"/>
            <w:tcBorders/>
            <w:vAlign w:val="center"/>
          </w:tcPr>
          <w:p>
            <w:pPr>
              <w:pStyle w:val="TableContents"/>
              <w:bidi w:val="0"/>
              <w:spacing w:before="0" w:after="283"/>
              <w:ind w:left="0" w:right="0" w:hanging="0"/>
              <w:jc w:val="left"/>
              <w:rPr/>
            </w:pPr>
            <w:r>
              <w:rPr>
                <w:rFonts w:ascii="Times New Roman;Times;serif" w:hAnsi="Times New Roman;Times;serif"/>
                <w:b/>
                <w:i w:val="false"/>
                <w:caps w:val="false"/>
                <w:smallCaps w:val="false"/>
                <w:sz w:val="24"/>
              </w:rPr>
              <w:t>APPOINTMENT OF EXCLUSIVE DISTRIBUTORSHIP</w:t>
              <w:br/>
            </w:r>
            <w:r>
              <w:rPr/>
              <w:t>​</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w:t>
            </w:r>
          </w:p>
        </w:tc>
        <w:tc>
          <w:tcPr>
            <w:tcW w:w="98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Exclusive Distributorship</w:t>
            </w:r>
            <w:r>
              <w:rPr>
                <w:rFonts w:ascii="Times New Roman;Times;serif" w:hAnsi="Times New Roman;Times;serif"/>
                <w:b w:val="false"/>
                <w:i w:val="false"/>
                <w:caps w:val="false"/>
                <w:smallCaps w:val="false"/>
                <w:sz w:val="24"/>
              </w:rPr>
              <w:t xml:space="preserve">. Subject to the provisions of this Agreement, Supplier hereby appoints Distributor as the exclusive distributor to promote, market and sell the Products (set forth on </w:t>
            </w:r>
            <w:r>
              <w:rPr>
                <w:rFonts w:ascii="Times New Roman;Times;serif" w:hAnsi="Times New Roman;Times;serif"/>
                <w:b/>
                <w:i w:val="false"/>
                <w:caps w:val="false"/>
                <w:smallCaps w:val="false"/>
                <w:sz w:val="24"/>
              </w:rPr>
              <w:t>Exhibit B</w:t>
            </w:r>
            <w:r>
              <w:rPr>
                <w:rFonts w:ascii="Times New Roman;Times;serif" w:hAnsi="Times New Roman;Times;serif"/>
                <w:b w:val="false"/>
                <w:i w:val="false"/>
                <w:caps w:val="false"/>
                <w:smallCaps w:val="false"/>
                <w:sz w:val="24"/>
              </w:rPr>
              <w:t>) within the United States (the “</w:t>
            </w:r>
            <w:r>
              <w:rPr>
                <w:rFonts w:ascii="Times New Roman;Times;serif" w:hAnsi="Times New Roman;Times;serif"/>
                <w:b w:val="false"/>
                <w:i w:val="false"/>
                <w:caps w:val="false"/>
                <w:smallCaps w:val="false"/>
                <w:sz w:val="24"/>
                <w:u w:val="single"/>
              </w:rPr>
              <w:t>Territory</w:t>
            </w:r>
            <w:r>
              <w:rPr>
                <w:caps w:val="false"/>
                <w:smallCaps w:val="false"/>
              </w:rPr>
              <w:t>”</w:t>
            </w:r>
            <w:r>
              <w:rPr>
                <w:rFonts w:ascii="Times New Roman;Times;serif" w:hAnsi="Times New Roman;Times;serif"/>
                <w:b w:val="false"/>
                <w:i w:val="false"/>
                <w:caps w:val="false"/>
                <w:smallCaps w:val="false"/>
                <w:sz w:val="24"/>
              </w:rPr>
              <w:t>).  Distributor hereby accepts such appointment.  </w:t>
            </w:r>
          </w:p>
        </w:tc>
      </w:tr>
    </w:tbl>
    <w:tbl>
      <w:tblPr>
        <w:tblW w:w="10205" w:type="dxa"/>
        <w:jc w:val="left"/>
        <w:tblInd w:w="0" w:type="dxa"/>
        <w:tblLayout w:type="fixed"/>
        <w:tblCellMar>
          <w:top w:w="0" w:type="dxa"/>
          <w:left w:w="0" w:type="dxa"/>
          <w:bottom w:w="0" w:type="dxa"/>
          <w:right w:w="0" w:type="dxa"/>
        </w:tblCellMar>
      </w:tblPr>
      <w:tblGrid>
        <w:gridCol w:w="23"/>
        <w:gridCol w:w="508"/>
        <w:gridCol w:w="9674"/>
      </w:tblGrid>
      <w:tr>
        <w:trPr/>
        <w:tc>
          <w:tcPr>
            <w:tcW w:w="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2.1.1.</w:t>
            </w:r>
          </w:p>
        </w:tc>
        <w:tc>
          <w:tcPr>
            <w:tcW w:w="96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Distributor shall not (i) distribute Products outside of the Territory, (ii) solicit sales of Products outside of the Territory, or (iii) distribute any Products to any Person that it knows, has reason to know, or reasonably should know will resell, distribute or consume the Products outside of the Territory.  All outstanding trunk stock of Products in the possession or control of Supplier’s internal sales representatives or Supplier’s </w:t>
            </w:r>
            <w:r>
              <w:rPr>
                <w:rFonts w:ascii="Times" w:hAnsi="Times"/>
                <w:b w:val="false"/>
                <w:i w:val="false"/>
                <w:caps w:val="false"/>
                <w:smallCaps w:val="false"/>
                <w:sz w:val="24"/>
              </w:rPr>
              <w:t>independent sales agents shall be returned to Supplier by no later than May 15, 2023, and Supplier shall use commercially reasonable efforts to cause all other outstanding trunk stock of Products in the Territory to be returned to Supplier.  </w:t>
            </w:r>
          </w:p>
        </w:tc>
      </w:tr>
    </w:tbl>
    <w:tbl>
      <w:tblPr>
        <w:tblW w:w="10205" w:type="dxa"/>
        <w:jc w:val="left"/>
        <w:tblInd w:w="0" w:type="dxa"/>
        <w:tblLayout w:type="fixed"/>
        <w:tblCellMar>
          <w:top w:w="0" w:type="dxa"/>
          <w:left w:w="0" w:type="dxa"/>
          <w:bottom w:w="0" w:type="dxa"/>
          <w:right w:w="0" w:type="dxa"/>
        </w:tblCellMar>
      </w:tblPr>
      <w:tblGrid>
        <w:gridCol w:w="23"/>
        <w:gridCol w:w="502"/>
        <w:gridCol w:w="9680"/>
      </w:tblGrid>
      <w:tr>
        <w:trPr/>
        <w:tc>
          <w:tcPr>
            <w:tcW w:w="2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2.1.2.</w:t>
            </w:r>
          </w:p>
        </w:tc>
        <w:tc>
          <w:tcPr>
            <w:tcW w:w="9680" w:type="dxa"/>
            <w:tcBorders/>
            <w:vAlign w:val="center"/>
          </w:tcPr>
          <w:p>
            <w:pPr>
              <w:pStyle w:val="TableContents"/>
              <w:bidi w:val="0"/>
              <w:spacing w:before="0" w:after="283"/>
              <w:jc w:val="left"/>
              <w:rPr/>
            </w:pPr>
            <w:r>
              <w:rPr>
                <w:rFonts w:ascii="Times" w:hAnsi="Times"/>
                <w:b w:val="false"/>
                <w:i w:val="false"/>
                <w:caps w:val="false"/>
                <w:smallCaps w:val="false"/>
                <w:sz w:val="24"/>
              </w:rPr>
              <w:t xml:space="preserve">Supplier shall not (i) enter into agreements to distribute Products in the Territory, (ii) solicit sales of Products in the Territory, or (iii) enter into any agreements to distribute any Products to any Person that it knows, has reason to know, or reasonably should know will resell, distribute or consume the Products in the Territory.  Commencing upon execution of this Agreement, Supplier shall (a) in accordance with the terms of the applicable agreement or authorization, terminate any agreement (or portion thereof) or authorization of its employees, distributors, sales representatives and authorized sales agents with respect to sales of Products in the Territory or where Supplier knows, or has reason to know, or reasonably should know that Products sold by such Person will be resold, distributed of consumed in the Territory, (b) cease to accept orders (other than by Distributor) with respect to sales of Products in the Territory or where Supplier knows, or has reason to know, or reasonably should know that Products sold by such Person will be resold, distributed of consumed in the Territory, (c) refer to Distributor any request for orders with respect to sales of Products in the Territory or where Supplier knows, or has reason to know, or reasonably should know that Products sold by such Person will be resold, distributed of consumed in the Territory, (d) as applicable, either </w:t>
            </w:r>
            <w:r>
              <w:rPr>
                <w:rFonts w:ascii="Times New Roman;Times;serif" w:hAnsi="Times New Roman;Times;serif"/>
                <w:b w:val="false"/>
                <w:i w:val="false"/>
                <w:caps w:val="false"/>
                <w:smallCaps w:val="false"/>
                <w:sz w:val="24"/>
              </w:rPr>
              <w:t>cause Distributor to be admitted as a distributor pursuant to Supplier’s existing hospital, group purchasing organization (GPO) agreements (the “</w:t>
            </w:r>
            <w:r>
              <w:rPr>
                <w:rFonts w:ascii="Times New Roman;Times;serif" w:hAnsi="Times New Roman;Times;serif"/>
                <w:b w:val="false"/>
                <w:i w:val="false"/>
                <w:caps w:val="false"/>
                <w:smallCaps w:val="false"/>
                <w:sz w:val="24"/>
                <w:u w:val="single"/>
              </w:rPr>
              <w:t>GPO Agreements</w:t>
            </w:r>
            <w:r>
              <w:rPr>
                <w:caps w:val="false"/>
                <w:smallCaps w:val="false"/>
              </w:rPr>
              <w:t>”</w:t>
            </w:r>
            <w:r>
              <w:rPr>
                <w:rFonts w:ascii="Times New Roman;Times;serif" w:hAnsi="Times New Roman;Times;serif"/>
                <w:b w:val="false"/>
                <w:i w:val="false"/>
                <w:caps w:val="false"/>
                <w:smallCaps w:val="false"/>
                <w:sz w:val="24"/>
              </w:rPr>
              <w:t xml:space="preserve">), government and other customer agreements or transition Supplier’s existing agreements with respect to sales of Products to Distributor and not adversely amend or terminate any such agreement to which Distributor is admitted without the prior written consent of Distributor, not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to be unreasonably withheld, conditioned or delayed</w:t>
            </w:r>
            <w:r>
              <w:rPr>
                <w:rFonts w:ascii="Times" w:hAnsi="Times"/>
                <w:b w:val="false"/>
                <w:i w:val="false"/>
                <w:caps w:val="false"/>
                <w:smallCaps w:val="false"/>
                <w:sz w:val="24"/>
              </w:rPr>
              <w:t>.  Prior to the termination of any such agreement or authorization, Supplier shall take all reasonable measures to ensure that neither it, nor any of its employees, distributors, sales representatives or independent sales agents engage in any practice in the Territory with the intent of increasing the levels of inventory of the Products in the distributor or sales channels outside of the ordinary course of business or in anticipation of entering into this Agreement with respect to the Products.</w:t>
            </w:r>
            <w:r>
              <w:rPr>
                <w:caps w:val="false"/>
                <w:smallCaps w:val="false"/>
              </w:rPr>
              <w:t xml:space="preserve">  </w:t>
            </w:r>
            <w:r>
              <w:rPr>
                <w:rFonts w:ascii="Times New Roman;Times;serif" w:hAnsi="Times New Roman;Times;serif"/>
                <w:b w:val="false"/>
                <w:i w:val="false"/>
                <w:caps w:val="false"/>
                <w:smallCaps w:val="false"/>
                <w:sz w:val="24"/>
              </w:rPr>
              <w:t>Supplier shall remit to Distributor the gross profit realized by Supplier in accordance with U.S. generally accepted accounting practices consistently applied by Supplier with respect to any income recognized by Supplier subsequent to the date hereof with respect to Products sold or distributed in the Territory, other than to Distributor.</w:t>
            </w:r>
          </w:p>
        </w:tc>
      </w:tr>
    </w:tbl>
    <w:tbl>
      <w:tblPr>
        <w:tblW w:w="10205" w:type="dxa"/>
        <w:jc w:val="left"/>
        <w:tblInd w:w="0" w:type="dxa"/>
        <w:tblLayout w:type="fixed"/>
        <w:tblCellMar>
          <w:top w:w="0" w:type="dxa"/>
          <w:left w:w="0" w:type="dxa"/>
          <w:bottom w:w="0" w:type="dxa"/>
          <w:right w:w="0" w:type="dxa"/>
        </w:tblCellMar>
      </w:tblPr>
      <w:tblGrid>
        <w:gridCol w:w="23"/>
        <w:gridCol w:w="506"/>
        <w:gridCol w:w="9676"/>
      </w:tblGrid>
      <w:tr>
        <w:trPr/>
        <w:tc>
          <w:tcPr>
            <w:tcW w:w="2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2.1.3.</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Notwithstanding anything to the contrary, Distributor acknowledges that the appointment granted hereunder does not impose any liability on Supplier if there are any currently ongoing active or passive sales, or marketing activities, relating to Products in the Territory by unauthorized third parties; provided, however, that such third parties are not acting on behalf of Supplier or otherwise authorized (expressly or impliedly) by Supplier, and Supplier has taken reasonable measures to terminate such sales and marketing activities; provided, further, that Supplier deliver a complete and accurate list of all such third parties of which it is aware as of the Effective Date and promptly notify Distributor of any such third parties of which Supplier it becomes aware during the Term of this Agreement.  </w:t>
            </w:r>
          </w:p>
        </w:tc>
      </w:tr>
    </w:tbl>
    <w:tbl>
      <w:tblPr>
        <w:tblW w:w="10205" w:type="dxa"/>
        <w:jc w:val="left"/>
        <w:tblInd w:w="0" w:type="dxa"/>
        <w:tblLayout w:type="fixed"/>
        <w:tblCellMar>
          <w:top w:w="0" w:type="dxa"/>
          <w:left w:w="0" w:type="dxa"/>
          <w:bottom w:w="0" w:type="dxa"/>
          <w:right w:w="0" w:type="dxa"/>
        </w:tblCellMar>
      </w:tblPr>
      <w:tblGrid>
        <w:gridCol w:w="23"/>
        <w:gridCol w:w="506"/>
        <w:gridCol w:w="9676"/>
      </w:tblGrid>
      <w:tr>
        <w:trPr/>
        <w:tc>
          <w:tcPr>
            <w:tcW w:w="2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2.1.4.</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Supplier reserves all rights not expressly granted herein.  Supplier reserves the right to sell Products itself or through agents, distributors or other representatives to any parties for distribution and sale outside of the Territory; provided, however, Supplier shall not, directly or indirectly, (i) appoint as its distributor any Person to, nor shall itself, sell, distribute, market, promote or advertise Products in the Territory, (ii) solicit sales of Products in the Territory, (iii) distribute any Products to any Person that it knows, has reason to know, or reasonably should know will resell, distribute or consume the Products in the Territory, or (iv) authorize or license the use of any Supplier Intellectual Property Rights to a Person to manufacture, sell, distribute or market products that compete with the Products in the Territory.</w:t>
            </w:r>
          </w:p>
        </w:tc>
      </w:tr>
    </w:tbl>
    <w:p>
      <w:pPr>
        <w:pStyle w:val="TextBody"/>
        <w:bidi w:val="0"/>
        <w:spacing w:lineRule="auto" w:line="285" w:before="0" w:after="0"/>
        <w:ind w:left="720" w:right="0" w:hanging="0"/>
        <w:jc w:val="both"/>
        <w:rPr/>
      </w:pPr>
      <w:r>
        <w:rPr/>
        <w:t>​</w:t>
      </w:r>
    </w:p>
    <w:tbl>
      <w:tblPr>
        <w:tblW w:w="4675" w:type="dxa"/>
        <w:jc w:val="left"/>
        <w:tblInd w:w="0" w:type="dxa"/>
        <w:tblLayout w:type="fixed"/>
        <w:tblCellMar>
          <w:top w:w="0" w:type="dxa"/>
          <w:left w:w="0" w:type="dxa"/>
          <w:bottom w:w="0" w:type="dxa"/>
          <w:right w:w="0" w:type="dxa"/>
        </w:tblCellMar>
      </w:tblPr>
      <w:tblGrid>
        <w:gridCol w:w="200"/>
        <w:gridCol w:w="447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w:t>
            </w:r>
          </w:p>
        </w:tc>
        <w:tc>
          <w:tcPr>
            <w:tcW w:w="447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PURCHASE AND SALE OF PRODUCTS</w:t>
            </w:r>
          </w:p>
        </w:tc>
      </w:tr>
    </w:tbl>
    <w:p>
      <w:pPr>
        <w:pStyle w:val="TextBody"/>
        <w:bidi w:val="0"/>
        <w:spacing w:lineRule="auto" w:line="285"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3.1.</w:t>
            </w:r>
          </w:p>
        </w:tc>
        <w:tc>
          <w:tcPr>
            <w:tcW w:w="98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Purchase of Products</w:t>
            </w:r>
            <w:r>
              <w:rPr>
                <w:rFonts w:ascii="Times New Roman;Times;serif" w:hAnsi="Times New Roman;Times;serif"/>
                <w:b w:val="false"/>
                <w:i w:val="false"/>
                <w:caps w:val="false"/>
                <w:smallCaps w:val="false"/>
                <w:sz w:val="24"/>
              </w:rPr>
              <w:t>. Subject to the terms and conditions set forth herein, Supplier agrees to sell and Distributor agrees to purchase Products in accordance with this Agreement.  The purchase price for the Products (the “</w:t>
            </w:r>
            <w:r>
              <w:rPr>
                <w:rFonts w:ascii="Times New Roman;Times;serif" w:hAnsi="Times New Roman;Times;serif"/>
                <w:b w:val="false"/>
                <w:i w:val="false"/>
                <w:caps w:val="false"/>
                <w:smallCaps w:val="false"/>
                <w:sz w:val="24"/>
                <w:u w:val="single"/>
              </w:rPr>
              <w:t>Product Price</w:t>
            </w:r>
            <w:r>
              <w:rPr>
                <w:caps w:val="false"/>
                <w:smallCaps w:val="false"/>
              </w:rPr>
              <w:t>”</w:t>
            </w:r>
            <w:r>
              <w:rPr>
                <w:rFonts w:ascii="Times New Roman;Times;serif" w:hAnsi="Times New Roman;Times;serif"/>
                <w:b w:val="false"/>
                <w:i w:val="false"/>
                <w:caps w:val="false"/>
                <w:smallCaps w:val="false"/>
                <w:sz w:val="24"/>
              </w:rPr>
              <w:t xml:space="preserve">) shall be set forth on </w:t>
            </w:r>
            <w:r>
              <w:rPr>
                <w:rFonts w:ascii="Times New Roman;Times;serif" w:hAnsi="Times New Roman;Times;serif"/>
                <w:b/>
                <w:i w:val="false"/>
                <w:caps w:val="false"/>
                <w:smallCaps w:val="false"/>
                <w:sz w:val="24"/>
              </w:rPr>
              <w:t>Exhibit C</w:t>
            </w:r>
            <w:r>
              <w:rPr>
                <w:rFonts w:ascii="Times New Roman;Times;serif" w:hAnsi="Times New Roman;Times;serif"/>
                <w:b w:val="false"/>
                <w:i w:val="false"/>
                <w:caps w:val="false"/>
                <w:smallCaps w:val="false"/>
                <w:sz w:val="24"/>
              </w:rPr>
              <w:t>. [***] Supplier shall give Distributor at least ninety (90) days prior written notice of any change in the Product Price.</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3.2.</w:t>
            </w:r>
          </w:p>
        </w:tc>
        <w:tc>
          <w:tcPr>
            <w:tcW w:w="987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Ligand Royalties</w:t>
            </w:r>
            <w:r>
              <w:rPr>
                <w:rFonts w:ascii="Times New Roman;Times;serif" w:hAnsi="Times New Roman;Times;serif"/>
                <w:b w:val="false"/>
                <w:i w:val="false"/>
                <w:caps w:val="false"/>
                <w:smallCaps w:val="false"/>
                <w:sz w:val="24"/>
              </w:rPr>
              <w:t>.  Supplier is responsible, and shall remain responsible regardless of whether Distributor chooses to exercise the Option, for all royalty payments due pursuant to the Royalty Agreement dated as of May 31, 2017, by and between Aziyo Med, LLC and Ligand Pharmaceuticals Incorporated (the “</w:t>
            </w:r>
            <w:r>
              <w:rPr>
                <w:rFonts w:ascii="Times New Roman;Times;serif" w:hAnsi="Times New Roman;Times;serif"/>
                <w:b w:val="false"/>
                <w:i w:val="false"/>
                <w:caps w:val="false"/>
                <w:smallCaps w:val="false"/>
                <w:sz w:val="24"/>
                <w:u w:val="single"/>
              </w:rPr>
              <w:t>Ligand Royalty Agreement</w:t>
            </w:r>
            <w:r>
              <w:rPr>
                <w:caps w:val="false"/>
                <w:smallCaps w:val="false"/>
              </w:rPr>
              <w:t>”</w:t>
            </w:r>
            <w:r>
              <w:rPr>
                <w:rFonts w:ascii="Times New Roman;Times;serif" w:hAnsi="Times New Roman;Times;serif"/>
                <w:b w:val="false"/>
                <w:i w:val="false"/>
                <w:caps w:val="false"/>
                <w:smallCaps w:val="false"/>
                <w:sz w:val="24"/>
              </w:rPr>
              <w:t xml:space="preserve">).  Supplier represents, warrants, and covenants that  there are no, and will not be other royalty or other </w:t>
            </w:r>
          </w:p>
        </w:tc>
      </w:tr>
    </w:tbl>
    <w:p>
      <w:pPr>
        <w:pStyle w:val="HorizontalLine"/>
        <w:pBdr>
          <w:bottom w:val="double" w:sz="2" w:space="0" w:color="808080"/>
        </w:pBdr>
        <w:bidi w:val="0"/>
        <w:spacing w:before="0" w:after="283"/>
        <w:jc w:val="left"/>
        <w:rPr/>
      </w:pPr>
      <w:r>
        <w:rPr/>
      </w:r>
    </w:p>
    <w:tbl>
      <w:tblPr>
        <w:tblW w:w="9943" w:type="dxa"/>
        <w:jc w:val="left"/>
        <w:tblInd w:w="0" w:type="dxa"/>
        <w:tblLayout w:type="fixed"/>
        <w:tblCellMar>
          <w:top w:w="0" w:type="dxa"/>
          <w:left w:w="0" w:type="dxa"/>
          <w:bottom w:w="0" w:type="dxa"/>
          <w:right w:w="0" w:type="dxa"/>
        </w:tblCellMar>
      </w:tblPr>
      <w:tblGrid>
        <w:gridCol w:w="23"/>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9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payments due to any Person associated with the sale or use of Products or Distributor’s rights hereunder.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3.3.</w:t>
            </w:r>
          </w:p>
        </w:tc>
        <w:tc>
          <w:tcPr>
            <w:tcW w:w="98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Initial Purchase</w:t>
            </w:r>
            <w:r>
              <w:rPr>
                <w:rFonts w:ascii="Times New Roman;Times;serif" w:hAnsi="Times New Roman;Times;serif"/>
                <w:b w:val="false"/>
                <w:i w:val="false"/>
                <w:caps w:val="false"/>
                <w:smallCaps w:val="false"/>
                <w:sz w:val="24"/>
              </w:rPr>
              <w:t xml:space="preserve">. Distributor shall make an initial purchase of the Products at the volumes and prices set forth on </w:t>
            </w:r>
            <w:r>
              <w:rPr>
                <w:rFonts w:ascii="Times New Roman;Times;serif" w:hAnsi="Times New Roman;Times;serif"/>
                <w:b/>
                <w:i w:val="false"/>
                <w:caps w:val="false"/>
                <w:smallCaps w:val="false"/>
                <w:sz w:val="24"/>
              </w:rPr>
              <w:t>Exhibit C</w:t>
            </w:r>
            <w:r>
              <w:rPr>
                <w:caps w:val="false"/>
                <w:smallCaps w:val="false"/>
              </w:rPr>
              <w:t xml:space="preserve"> </w:t>
            </w:r>
            <w:r>
              <w:rPr>
                <w:rFonts w:ascii="Times New Roman;Times;serif" w:hAnsi="Times New Roman;Times;serif"/>
                <w:b w:val="false"/>
                <w:i w:val="false"/>
                <w:caps w:val="false"/>
                <w:smallCaps w:val="false"/>
                <w:sz w:val="24"/>
              </w:rPr>
              <w:t>(the “</w:t>
            </w:r>
            <w:r>
              <w:rPr>
                <w:rFonts w:ascii="Times New Roman;Times;serif" w:hAnsi="Times New Roman;Times;serif"/>
                <w:b w:val="false"/>
                <w:i w:val="false"/>
                <w:caps w:val="false"/>
                <w:smallCaps w:val="false"/>
                <w:sz w:val="24"/>
                <w:u w:val="single"/>
              </w:rPr>
              <w:t>Initial Purchase</w:t>
            </w:r>
            <w:r>
              <w:rPr>
                <w:caps w:val="false"/>
                <w:smallCaps w:val="false"/>
              </w:rPr>
              <w:t>”</w:t>
            </w:r>
            <w:r>
              <w:rPr>
                <w:rFonts w:ascii="Times New Roman;Times;serif" w:hAnsi="Times New Roman;Times;serif"/>
                <w:b w:val="false"/>
                <w:i w:val="false"/>
                <w:caps w:val="false"/>
                <w:smallCaps w:val="false"/>
                <w:sz w:val="24"/>
              </w:rPr>
              <w:t>). The Supplier warrants that the ProxiCor Products and VasCure for Vascular Repair Products provided under the Initial Purchase will, unless otherwise noted by Supplier in the Purchase Order, have a Shelf Life of at least [***] and the Tyke Products will have a Shelf Life of at least [***] from the date each such Product is shipped to the Distributor, and that no Products delivered to Distributor under this Agreement shall be recycled, refurbished or otherwise not original manufactured Products.  To the extent the ProxiCor Products and VasCure for Vascular Repair Products provided under the Initial Purchase have a Shelf Life of less than [***] and the Tyke Products have a Shelf Life of less than [***] from the date each such Product is shipped to the Distributor, Distributor shall have the right to cause Supplier to repurchase such Products from Supplier, at the same price paid by Distributor to Supplier for such Products, to the extent Distributor has not sold the Products.</w:t>
            </w:r>
          </w:p>
        </w:tc>
      </w:tr>
    </w:tbl>
    <w:p>
      <w:pPr>
        <w:pStyle w:val="TextBody"/>
        <w:bidi w:val="0"/>
        <w:spacing w:lineRule="auto" w:line="285" w:before="0" w:after="0"/>
        <w:ind w:left="720" w:right="0" w:hanging="0"/>
        <w:jc w:val="both"/>
        <w:rPr/>
      </w:pPr>
      <w:r>
        <w:rPr/>
        <w:t>​</w:t>
      </w:r>
    </w:p>
    <w:tbl>
      <w:tblPr>
        <w:tblW w:w="3415" w:type="dxa"/>
        <w:jc w:val="left"/>
        <w:tblInd w:w="0" w:type="dxa"/>
        <w:tblLayout w:type="fixed"/>
        <w:tblCellMar>
          <w:top w:w="0" w:type="dxa"/>
          <w:left w:w="0" w:type="dxa"/>
          <w:bottom w:w="0" w:type="dxa"/>
          <w:right w:w="0" w:type="dxa"/>
        </w:tblCellMar>
      </w:tblPr>
      <w:tblGrid>
        <w:gridCol w:w="380"/>
        <w:gridCol w:w="3035"/>
      </w:tblGrid>
      <w:tr>
        <w:trPr/>
        <w:tc>
          <w:tcPr>
            <w:tcW w:w="3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3.4.</w:t>
            </w:r>
          </w:p>
        </w:tc>
        <w:tc>
          <w:tcPr>
            <w:tcW w:w="30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Orders and Order Acceptance</w:t>
            </w:r>
            <w:r>
              <w:rPr>
                <w:rFonts w:ascii="Times New Roman;Times;serif" w:hAnsi="Times New Roman;Times;serif"/>
                <w:b w:val="false"/>
                <w:i w:val="false"/>
                <w:caps w:val="false"/>
                <w:smallCaps w:val="false"/>
                <w:sz w:val="24"/>
              </w:rPr>
              <w:t>.  </w:t>
            </w:r>
          </w:p>
        </w:tc>
      </w:tr>
    </w:tbl>
    <w:tbl>
      <w:tblPr>
        <w:tblW w:w="10205" w:type="dxa"/>
        <w:jc w:val="left"/>
        <w:tblInd w:w="0" w:type="dxa"/>
        <w:tblLayout w:type="fixed"/>
        <w:tblCellMar>
          <w:top w:w="0" w:type="dxa"/>
          <w:left w:w="0" w:type="dxa"/>
          <w:bottom w:w="0" w:type="dxa"/>
          <w:right w:w="0" w:type="dxa"/>
        </w:tblCellMar>
      </w:tblPr>
      <w:tblGrid>
        <w:gridCol w:w="23"/>
        <w:gridCol w:w="504"/>
        <w:gridCol w:w="9678"/>
      </w:tblGrid>
      <w:tr>
        <w:trPr/>
        <w:tc>
          <w:tcPr>
            <w:tcW w:w="2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3.4.1.</w:t>
            </w:r>
          </w:p>
        </w:tc>
        <w:tc>
          <w:tcPr>
            <w:tcW w:w="967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All Distributor orders for Products must be made pursuant to the terms and conditions of a signed written purchase order in the form attached hereto as </w:t>
            </w:r>
            <w:r>
              <w:rPr>
                <w:rFonts w:ascii="Times New Roman;Times;serif" w:hAnsi="Times New Roman;Times;serif"/>
                <w:b/>
                <w:i w:val="false"/>
                <w:caps w:val="false"/>
                <w:smallCaps w:val="false"/>
                <w:sz w:val="24"/>
              </w:rPr>
              <w:t>Exhibit D</w:t>
            </w:r>
            <w:r>
              <w:rPr>
                <w:caps w:val="false"/>
                <w:smallCaps w:val="false"/>
              </w:rPr>
              <w:t xml:space="preserve"> </w:t>
            </w:r>
            <w:r>
              <w:rPr>
                <w:rFonts w:ascii="Times New Roman;Times;serif" w:hAnsi="Times New Roman;Times;serif"/>
                <w:b w:val="false"/>
                <w:i w:val="false"/>
                <w:caps w:val="false"/>
                <w:smallCaps w:val="false"/>
                <w:sz w:val="24"/>
              </w:rPr>
              <w:t>(a “</w:t>
            </w:r>
            <w:r>
              <w:rPr>
                <w:rFonts w:ascii="Times New Roman;Times;serif" w:hAnsi="Times New Roman;Times;serif"/>
                <w:b w:val="false"/>
                <w:i w:val="false"/>
                <w:caps w:val="false"/>
                <w:smallCaps w:val="false"/>
                <w:sz w:val="24"/>
                <w:u w:val="single"/>
              </w:rPr>
              <w:t>Purchase Order</w:t>
            </w:r>
            <w:r>
              <w:rPr>
                <w:caps w:val="false"/>
                <w:smallCaps w:val="false"/>
              </w:rPr>
              <w:t>”</w:t>
            </w:r>
            <w:r>
              <w:rPr>
                <w:rFonts w:ascii="Times New Roman;Times;serif" w:hAnsi="Times New Roman;Times;serif"/>
                <w:b w:val="false"/>
                <w:i w:val="false"/>
                <w:caps w:val="false"/>
                <w:smallCaps w:val="false"/>
                <w:sz w:val="24"/>
              </w:rPr>
              <w:t>) and Supplier shall make each shipment of Product in the quantity and on the shipment date specified for it on the Purchase Order; provided, however, that the quantity of Products on such Purchase Order is within the volume of the rolling Supply Forecast provided in Section 3.7.  Supplier will use commercially reasonable efforts to supply Products on a Purchase Order in excess of one hundred fifty percent (150%) of the applicable Supply Forecast.  Distributor shall ensure that all ProxiCor Products and VasCure for Vascular Repair Products provided to Distributor subsequent to the Initial Purchase will have a Shelf Life of at least [***] and the Tyke Products will have a Shelf Life of at least [***] from the date each such Product is shipped to the Distributor, and that no Products delivered to Distributor under this Agreement shall be recycled, refurbished or otherwise not original manufactured Products.  </w:t>
            </w:r>
          </w:p>
        </w:tc>
      </w:tr>
    </w:tbl>
    <w:tbl>
      <w:tblPr>
        <w:tblW w:w="10205" w:type="dxa"/>
        <w:jc w:val="left"/>
        <w:tblInd w:w="0" w:type="dxa"/>
        <w:tblLayout w:type="fixed"/>
        <w:tblCellMar>
          <w:top w:w="0" w:type="dxa"/>
          <w:left w:w="0" w:type="dxa"/>
          <w:bottom w:w="0" w:type="dxa"/>
          <w:right w:w="0" w:type="dxa"/>
        </w:tblCellMar>
      </w:tblPr>
      <w:tblGrid>
        <w:gridCol w:w="23"/>
        <w:gridCol w:w="505"/>
        <w:gridCol w:w="9677"/>
      </w:tblGrid>
      <w:tr>
        <w:trPr/>
        <w:tc>
          <w:tcPr>
            <w:tcW w:w="2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3.4.2.</w:t>
            </w:r>
          </w:p>
        </w:tc>
        <w:tc>
          <w:tcPr>
            <w:tcW w:w="9677" w:type="dxa"/>
            <w:tcBorders/>
            <w:vAlign w:val="center"/>
          </w:tcPr>
          <w:p>
            <w:pPr>
              <w:pStyle w:val="TableContents"/>
              <w:bidi w:val="0"/>
              <w:spacing w:before="0" w:after="283"/>
              <w:jc w:val="left"/>
              <w:rPr/>
            </w:pPr>
            <w:r>
              <w:rPr>
                <w:rFonts w:ascii="Times" w:hAnsi="Times"/>
                <w:b w:val="false"/>
                <w:i w:val="false"/>
                <w:caps w:val="false"/>
                <w:smallCaps w:val="false"/>
                <w:sz w:val="24"/>
              </w:rPr>
              <w:t xml:space="preserve">Upon receipt of a shipment of Products from Supplier, Distributor will inspect such shipment to determine conformity with the </w:t>
            </w:r>
            <w:r>
              <w:rPr>
                <w:caps w:val="false"/>
                <w:smallCaps w:val="false"/>
              </w:rPr>
              <w:t>“</w:t>
            </w:r>
            <w:r>
              <w:rPr>
                <w:rFonts w:ascii="Times New Roman;Times;serif" w:hAnsi="Times New Roman;Times;serif"/>
                <w:b w:val="false"/>
                <w:i w:val="false"/>
                <w:caps w:val="false"/>
                <w:smallCaps w:val="false"/>
                <w:sz w:val="24"/>
              </w:rPr>
              <w:t xml:space="preserve">Supplier Quality Agreement”, attached hereto as </w:t>
            </w:r>
            <w:r>
              <w:rPr>
                <w:rFonts w:ascii="Times New Roman;Times;serif" w:hAnsi="Times New Roman;Times;serif"/>
                <w:b/>
                <w:i w:val="false"/>
                <w:caps w:val="false"/>
                <w:smallCaps w:val="false"/>
                <w:sz w:val="24"/>
              </w:rPr>
              <w:t>Exhibit E</w:t>
            </w:r>
            <w:r>
              <w:rPr>
                <w:caps w:val="false"/>
                <w:smallCaps w:val="false"/>
              </w:rPr>
              <w:t xml:space="preserve"> </w:t>
            </w:r>
            <w:r>
              <w:rPr>
                <w:rFonts w:ascii="Times" w:hAnsi="Times"/>
                <w:b w:val="false"/>
                <w:i w:val="false"/>
                <w:caps w:val="false"/>
                <w:smallCaps w:val="false"/>
                <w:sz w:val="24"/>
              </w:rPr>
              <w:t>(“</w:t>
            </w:r>
            <w:r>
              <w:rPr>
                <w:rFonts w:ascii="Times" w:hAnsi="Times"/>
                <w:b w:val="false"/>
                <w:i w:val="false"/>
                <w:caps w:val="false"/>
                <w:smallCaps w:val="false"/>
                <w:sz w:val="24"/>
                <w:u w:val="single"/>
              </w:rPr>
              <w:t>Initial Inspection</w:t>
            </w:r>
            <w:r>
              <w:rPr>
                <w:caps w:val="false"/>
                <w:smallCaps w:val="false"/>
              </w:rPr>
              <w:t>”</w:t>
            </w:r>
            <w:r>
              <w:rPr>
                <w:rFonts w:ascii="Times" w:hAnsi="Times"/>
                <w:b w:val="false"/>
                <w:i w:val="false"/>
                <w:caps w:val="false"/>
                <w:smallCaps w:val="false"/>
                <w:sz w:val="24"/>
              </w:rPr>
              <w:t xml:space="preserve">).  The parties agree that such Initial Inspection cannot fully determine the functionality of the Products, the Products’ conformance to specifications, or the presence or absence of any defects in material or workmanship.  Distributor may reject any Products that do not satisfy the Initial Inspection; provided, however, that if Distributor does not notify Supplier in writing within [***] business days after receipt of a shipment of a problem with the shipment, such shipment will be deemed to conform with the Purchase Order solely as to type and quantity of Products.   </w:t>
            </w:r>
            <w:r>
              <w:rPr>
                <w:rFonts w:ascii="Times New Roman;Times;serif" w:hAnsi="Times New Roman;Times;serif"/>
                <w:b w:val="false"/>
                <w:i w:val="false"/>
                <w:caps w:val="false"/>
                <w:smallCaps w:val="false"/>
                <w:sz w:val="24"/>
              </w:rPr>
              <w:t>In the event of a conflict between the terms of this Agreement and any Purchase Order, the terms and conditions of this Agreement shall govern.  </w:t>
            </w:r>
          </w:p>
        </w:tc>
      </w:tr>
    </w:tbl>
    <w:p>
      <w:pPr>
        <w:pStyle w:val="TextBody"/>
        <w:bidi w:val="0"/>
        <w:spacing w:lineRule="auto" w:line="285" w:before="0" w:after="0"/>
        <w:ind w:left="720" w:right="0" w:hanging="0"/>
        <w:jc w:val="both"/>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3.5.</w:t>
            </w:r>
          </w:p>
        </w:tc>
        <w:tc>
          <w:tcPr>
            <w:tcW w:w="986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Invoicing</w:t>
            </w:r>
            <w:r>
              <w:rPr>
                <w:rFonts w:ascii="Times New Roman;Times;serif" w:hAnsi="Times New Roman;Times;serif"/>
                <w:b w:val="false"/>
                <w:i w:val="false"/>
                <w:caps w:val="false"/>
                <w:smallCaps w:val="false"/>
                <w:sz w:val="24"/>
              </w:rPr>
              <w:t>. Supplier shall invoice Distributor for Products as of the date shipped by Supplier.  Each invoice shall be payable by Distributor net [***] days from the date of receipt by Distributor of the invoice.  Supplier may charge interest of [***] from the date of receipt by Distributor of such invoice.</w:t>
            </w:r>
          </w:p>
        </w:tc>
      </w:tr>
    </w:tbl>
    <w:p>
      <w:pPr>
        <w:pStyle w:val="TextBody"/>
        <w:bidi w:val="0"/>
        <w:spacing w:lineRule="auto" w:line="285" w:before="0" w:after="0"/>
        <w:ind w:left="720" w:right="0" w:hanging="0"/>
        <w:jc w:val="both"/>
        <w:rPr/>
      </w:pPr>
      <w:r>
        <w:rPr/>
        <w:t>​</w:t>
      </w:r>
    </w:p>
    <w:tbl>
      <w:tblPr>
        <w:tblW w:w="9325" w:type="dxa"/>
        <w:jc w:val="left"/>
        <w:tblInd w:w="0" w:type="dxa"/>
        <w:tblLayout w:type="fixed"/>
        <w:tblCellMar>
          <w:top w:w="0" w:type="dxa"/>
          <w:left w:w="0" w:type="dxa"/>
          <w:bottom w:w="0" w:type="dxa"/>
          <w:right w:w="0" w:type="dxa"/>
        </w:tblCellMar>
      </w:tblPr>
      <w:tblGrid>
        <w:gridCol w:w="380"/>
        <w:gridCol w:w="8945"/>
      </w:tblGrid>
      <w:tr>
        <w:trPr/>
        <w:tc>
          <w:tcPr>
            <w:tcW w:w="3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3.6.</w:t>
            </w:r>
          </w:p>
        </w:tc>
        <w:tc>
          <w:tcPr>
            <w:tcW w:w="89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Title and Risk of Loss</w:t>
            </w:r>
            <w:r>
              <w:rPr>
                <w:rFonts w:ascii="Times New Roman;Times;serif" w:hAnsi="Times New Roman;Times;serif"/>
                <w:b w:val="false"/>
                <w:i w:val="false"/>
                <w:caps w:val="false"/>
                <w:smallCaps w:val="false"/>
                <w:sz w:val="24"/>
              </w:rPr>
              <w:t>.  All Products shall be shipped FOB Burlington, Massachusetts, U.S.A.</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3.7.</w:t>
            </w:r>
          </w:p>
        </w:tc>
        <w:tc>
          <w:tcPr>
            <w:tcW w:w="9880" w:type="dxa"/>
            <w:tcBorders/>
            <w:vAlign w:val="center"/>
          </w:tcPr>
          <w:p>
            <w:pPr>
              <w:pStyle w:val="TableContents"/>
              <w:bidi w:val="0"/>
              <w:spacing w:before="0" w:after="283"/>
              <w:jc w:val="left"/>
              <w:rPr/>
            </w:pPr>
            <w:r>
              <w:rPr>
                <w:rFonts w:ascii="Times" w:hAnsi="Times"/>
                <w:b w:val="false"/>
                <w:i w:val="false"/>
                <w:caps w:val="false"/>
                <w:smallCaps w:val="false"/>
                <w:sz w:val="24"/>
                <w:u w:val="single"/>
              </w:rPr>
              <w:t>Supply Forecasts</w:t>
            </w:r>
            <w:r>
              <w:rPr>
                <w:rFonts w:ascii="Times" w:hAnsi="Times"/>
                <w:b w:val="false"/>
                <w:i w:val="false"/>
                <w:caps w:val="false"/>
                <w:smallCaps w:val="false"/>
                <w:sz w:val="24"/>
              </w:rPr>
              <w:t>.</w:t>
            </w:r>
            <w:r>
              <w:rPr>
                <w:caps w:val="false"/>
                <w:smallCaps w:val="false"/>
              </w:rPr>
              <w:t xml:space="preserve"> </w:t>
            </w:r>
            <w:r>
              <w:rPr>
                <w:rFonts w:ascii="Times" w:hAnsi="Times"/>
                <w:b w:val="false"/>
                <w:i w:val="false"/>
                <w:caps w:val="false"/>
                <w:smallCaps w:val="false"/>
                <w:sz w:val="24"/>
              </w:rPr>
              <w:t>During the Term, Distributor shall provide to Supplier, on a calendar quarterly basis, within two (2) weeks after the first day of the current calendar quarter, a twelve-month rolling forecast of expected orders of Products beginning with the month following the month in which the forecast is delivered (the “</w:t>
            </w:r>
            <w:r>
              <w:rPr>
                <w:rFonts w:ascii="Times" w:hAnsi="Times"/>
                <w:b w:val="false"/>
                <w:i w:val="false"/>
                <w:caps w:val="false"/>
                <w:smallCaps w:val="false"/>
                <w:sz w:val="24"/>
                <w:u w:val="single"/>
              </w:rPr>
              <w:t>Supply Forecast</w:t>
            </w:r>
            <w:r>
              <w:rPr>
                <w:caps w:val="false"/>
                <w:smallCaps w:val="false"/>
              </w:rPr>
              <w:t>”</w:t>
            </w:r>
            <w:r>
              <w:rPr>
                <w:rFonts w:ascii="Times" w:hAnsi="Times"/>
                <w:b w:val="false"/>
                <w:i w:val="false"/>
                <w:caps w:val="false"/>
                <w:smallCaps w:val="false"/>
                <w:sz w:val="24"/>
              </w:rPr>
              <w:t>), with the first Supply Forecast to be delivered to Supplier on or before thirty (30) days following the Effective Date.  The forecast for the first two (2) months in each Supply Forecast shall be binding on both parties with respect to the Products described therein for such months, and the remainder of the Supply Forecast shall be non-binding on both parties.  In the event that the Supply Forecast involves an increase of more than one and one-half (1.5) times  the Supply Forecast of the previous calendar quarter, it shall be subject to acceptance by Supplier, which acceptance shall not be unreasonably delayed or withheld.</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3.8.</w:t>
            </w:r>
          </w:p>
        </w:tc>
        <w:tc>
          <w:tcPr>
            <w:tcW w:w="9874" w:type="dxa"/>
            <w:tcBorders/>
            <w:vAlign w:val="center"/>
          </w:tcPr>
          <w:p>
            <w:pPr>
              <w:pStyle w:val="TableContents"/>
              <w:bidi w:val="0"/>
              <w:spacing w:before="0" w:after="283"/>
              <w:jc w:val="left"/>
              <w:rPr/>
            </w:pPr>
            <w:r>
              <w:rPr>
                <w:rFonts w:ascii="Times" w:hAnsi="Times"/>
                <w:b w:val="false"/>
                <w:i w:val="false"/>
                <w:caps w:val="false"/>
                <w:smallCaps w:val="false"/>
                <w:sz w:val="24"/>
                <w:u w:val="single"/>
              </w:rPr>
              <w:t>Samples</w:t>
            </w:r>
            <w:r>
              <w:rPr>
                <w:rFonts w:ascii="Times" w:hAnsi="Times"/>
                <w:b w:val="false"/>
                <w:i w:val="false"/>
                <w:caps w:val="false"/>
                <w:smallCaps w:val="false"/>
                <w:sz w:val="24"/>
              </w:rPr>
              <w:t xml:space="preserve">.  Within thirty (30) days of the Effective Date, Supplier will provide Distributor 84 ProxiCor Product samples and 84 VasCure for Vascular Repair Product samples, free of charge, for use solely in sales demonstrations, internal training and trade shows.  Distributor may purchase additional samples of each of the Products at fifty percent (50%) of the prices specified in </w:t>
            </w:r>
            <w:r>
              <w:rPr>
                <w:rFonts w:ascii="Times" w:hAnsi="Times"/>
                <w:b/>
                <w:i w:val="false"/>
                <w:caps w:val="false"/>
                <w:smallCaps w:val="false"/>
                <w:sz w:val="24"/>
              </w:rPr>
              <w:t>Exhibit C</w:t>
            </w:r>
            <w:r>
              <w:rPr>
                <w:rFonts w:ascii="Times" w:hAnsi="Times"/>
                <w:b w:val="false"/>
                <w:i w:val="false"/>
                <w:caps w:val="false"/>
                <w:smallCaps w:val="false"/>
                <w:sz w:val="24"/>
              </w:rPr>
              <w:t>.  Samples provided under this Section 3.8 may include trunk stock, expired, or nearly-expired Products.</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3.9.</w:t>
            </w:r>
          </w:p>
        </w:tc>
        <w:tc>
          <w:tcPr>
            <w:tcW w:w="98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Product Changes and Maintaining Value</w:t>
            </w:r>
            <w:r>
              <w:rPr>
                <w:rFonts w:ascii="Times New Roman;Times;serif" w:hAnsi="Times New Roman;Times;serif"/>
                <w:b w:val="false"/>
                <w:i w:val="false"/>
                <w:caps w:val="false"/>
                <w:smallCaps w:val="false"/>
                <w:sz w:val="24"/>
              </w:rPr>
              <w:t>.  Supplier shall continue to manufacture, have manufactured, and sell to Distributor pursuant to this Agreement any and all Products and Supplier shall not be entitled to change or discontinue the sale to Distributor pursuant to this Agreement, other than as provided herein, or the manufacture of any and all of Products without prior notice and written approval of Distributor. However, if Supplier’s manufacturer experiences an event that would excuse performance under Section 14.12 (Force Majeure) of this Agreement ("</w:t>
            </w:r>
            <w:r>
              <w:rPr>
                <w:rFonts w:ascii="Times New Roman;Times;serif" w:hAnsi="Times New Roman;Times;serif"/>
                <w:b w:val="false"/>
                <w:i w:val="false"/>
                <w:caps w:val="false"/>
                <w:smallCaps w:val="false"/>
                <w:sz w:val="24"/>
                <w:u w:val="single"/>
              </w:rPr>
              <w:t>Excusable Delay</w:t>
            </w:r>
            <w:r>
              <w:rPr>
                <w:caps w:val="false"/>
                <w:smallCaps w:val="false"/>
              </w:rPr>
              <w:t>”</w:t>
            </w:r>
            <w:r>
              <w:rPr>
                <w:rFonts w:ascii="Times New Roman;Times;serif" w:hAnsi="Times New Roman;Times;serif"/>
                <w:b w:val="false"/>
                <w:i w:val="false"/>
                <w:caps w:val="false"/>
                <w:smallCaps w:val="false"/>
                <w:sz w:val="24"/>
              </w:rPr>
              <w:t xml:space="preserve">), Supplier shall (i) promptly notify Distributor of an Excusable Delay upon its knowledge, and (ii) be treated as if Supplier itself experienced the Excusable Delay, and any delay in delivery of the Products shall be excused under Section 14.12.   Supplier shall maintain the value of the Products and shall not create any lien, security interest or other adverse interest in or to the Products or that may diminish the value of any Product.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3.10.</w:t>
            </w:r>
          </w:p>
        </w:tc>
        <w:tc>
          <w:tcPr>
            <w:tcW w:w="975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Training, Advice and Assistance</w:t>
            </w:r>
            <w:r>
              <w:rPr>
                <w:rFonts w:ascii="Times New Roman;Times;serif" w:hAnsi="Times New Roman;Times;serif"/>
                <w:b w:val="false"/>
                <w:i w:val="false"/>
                <w:caps w:val="false"/>
                <w:smallCaps w:val="false"/>
                <w:sz w:val="24"/>
              </w:rPr>
              <w:t>.  Within ten (10) days of the Effective Date and, if needed, periodically upon mutual agreement of the parties, Supplier will, at no cost to Distributor unless otherwise agreed by Supplier and Distributor, provide reasonable technical assistance and training regarding the Products for Distributor’s representatives and will introduce Distributor’s representatives to key customers.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3.11.</w:t>
            </w:r>
          </w:p>
        </w:tc>
        <w:tc>
          <w:tcPr>
            <w:tcW w:w="97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Marketing</w:t>
            </w:r>
            <w:r>
              <w:rPr>
                <w:rFonts w:ascii="Times New Roman;Times;serif" w:hAnsi="Times New Roman;Times;serif"/>
                <w:b w:val="false"/>
                <w:i w:val="false"/>
                <w:caps w:val="false"/>
                <w:smallCaps w:val="false"/>
                <w:sz w:val="24"/>
              </w:rPr>
              <w:t>.  </w:t>
            </w:r>
            <w:r>
              <w:rPr>
                <w:rFonts w:ascii="Times" w:hAnsi="Times"/>
                <w:b w:val="false"/>
                <w:i w:val="false"/>
                <w:caps w:val="false"/>
                <w:smallCaps w:val="false"/>
                <w:sz w:val="24"/>
              </w:rPr>
              <w:t>All business decisions concerning the marketing in the Territory of the Products, including the price, other sale terms, and promotion thereof, will be within the discretion of Distributor, provided, that from time to time, upon Supplier’s reasonable request, Distributor shall consult with Supplier on material marketing decisions regarding the Products</w:t>
            </w:r>
            <w:r>
              <w:rPr>
                <w:rFonts w:ascii="Times New Roman;Times;serif" w:hAnsi="Times New Roman;Times;serif"/>
                <w:b w:val="false"/>
                <w:i w:val="false"/>
                <w:caps w:val="false"/>
                <w:smallCaps w:val="false"/>
                <w:sz w:val="24"/>
              </w:rPr>
              <w:t xml:space="preserve">.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6"/>
        <w:gridCol w:w="9759"/>
      </w:tblGrid>
      <w:tr>
        <w:trPr/>
        <w:tc>
          <w:tcPr>
            <w:tcW w:w="44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3.12.</w:t>
            </w:r>
          </w:p>
        </w:tc>
        <w:tc>
          <w:tcPr>
            <w:tcW w:w="97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Deliverables</w:t>
            </w:r>
            <w:r>
              <w:rPr>
                <w:rFonts w:ascii="Times New Roman;Times;serif" w:hAnsi="Times New Roman;Times;serif"/>
                <w:b w:val="false"/>
                <w:i w:val="false"/>
                <w:caps w:val="false"/>
                <w:smallCaps w:val="false"/>
                <w:sz w:val="24"/>
              </w:rPr>
              <w:t xml:space="preserve">. Upon the Effective Date, </w:t>
            </w:r>
            <w:r>
              <w:rPr>
                <w:rFonts w:ascii="Times" w:hAnsi="Times"/>
                <w:b w:val="false"/>
                <w:i w:val="false"/>
                <w:caps w:val="false"/>
                <w:smallCaps w:val="false"/>
                <w:sz w:val="24"/>
              </w:rPr>
              <w:t>Supplier shall provide to Distributor (i) a complete customer list with contact information, sales history by date, SKU, units, and price by customer for sales of Products made since January 1, 2018 (preferably in an Excel format or other format to be mutually agreed); (ii) the current price list of Products; (iii) copies of all agreements with current customers in the Territory, including pricing agreements, and summaries of oral agreements, if any; (iv) a mutually agreed letter to customers in the Territory, signed by Supplier; (v) marketing materials in existence as of the Effective Date related to the Products to support Distributor’s marketing activities; and (vi) the executed notice to send on the Effective Date to all of Supplier’s current independent sales agents who are authorized to sell any Products in the Territory.  </w:t>
            </w:r>
          </w:p>
        </w:tc>
      </w:tr>
    </w:tbl>
    <w:p>
      <w:pPr>
        <w:pStyle w:val="TextBody"/>
        <w:bidi w:val="0"/>
        <w:spacing w:lineRule="auto" w:line="285" w:before="0" w:after="0"/>
        <w:ind w:left="720" w:right="0" w:hanging="0"/>
        <w:jc w:val="both"/>
        <w:rPr/>
      </w:pPr>
      <w:r>
        <w:rPr/>
        <w:t>​</w:t>
      </w:r>
    </w:p>
    <w:tbl>
      <w:tblPr>
        <w:tblW w:w="1150" w:type="dxa"/>
        <w:jc w:val="left"/>
        <w:tblInd w:w="0" w:type="dxa"/>
        <w:tblLayout w:type="fixed"/>
        <w:tblCellMar>
          <w:top w:w="0" w:type="dxa"/>
          <w:left w:w="0" w:type="dxa"/>
          <w:bottom w:w="0" w:type="dxa"/>
          <w:right w:w="0" w:type="dxa"/>
        </w:tblCellMar>
      </w:tblPr>
      <w:tblGrid>
        <w:gridCol w:w="500"/>
        <w:gridCol w:w="650"/>
      </w:tblGrid>
      <w:tr>
        <w:trPr/>
        <w:tc>
          <w:tcPr>
            <w:tcW w:w="500" w:type="dxa"/>
            <w:tcBorders/>
            <w:vAlign w:val="center"/>
          </w:tcPr>
          <w:p>
            <w:pPr>
              <w:pStyle w:val="TableContents"/>
              <w:bidi w:val="0"/>
              <w:spacing w:before="0" w:after="283"/>
              <w:jc w:val="left"/>
              <w:rPr>
                <w:rFonts w:ascii="Times" w:hAnsi="Times"/>
                <w:sz w:val="24"/>
              </w:rPr>
            </w:pPr>
            <w:r>
              <w:rPr>
                <w:rFonts w:ascii="Times" w:hAnsi="Times"/>
                <w:sz w:val="24"/>
              </w:rPr>
              <w:t>3.13.</w:t>
            </w:r>
          </w:p>
        </w:tc>
        <w:tc>
          <w:tcPr>
            <w:tcW w:w="6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w:t>
            </w:r>
            <w:r>
              <w:rPr>
                <w:caps w:val="false"/>
                <w:smallCaps w:val="false"/>
              </w:rPr>
              <w:t xml:space="preserve">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50"/>
        <w:gridCol w:w="9755"/>
      </w:tblGrid>
      <w:tr>
        <w:trPr/>
        <w:tc>
          <w:tcPr>
            <w:tcW w:w="450" w:type="dxa"/>
            <w:tcBorders/>
            <w:vAlign w:val="center"/>
          </w:tcPr>
          <w:p>
            <w:pPr>
              <w:pStyle w:val="TableContents"/>
              <w:bidi w:val="0"/>
              <w:spacing w:before="0" w:after="283"/>
              <w:jc w:val="left"/>
              <w:rPr>
                <w:rFonts w:ascii="Times" w:hAnsi="Times"/>
                <w:sz w:val="24"/>
              </w:rPr>
            </w:pPr>
            <w:r>
              <w:rPr>
                <w:rFonts w:ascii="Times" w:hAnsi="Times"/>
                <w:sz w:val="24"/>
              </w:rPr>
              <w:t>3.14.</w:t>
            </w:r>
          </w:p>
        </w:tc>
        <w:tc>
          <w:tcPr>
            <w:tcW w:w="975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Product Support and Complaints</w:t>
            </w:r>
            <w:r>
              <w:rPr>
                <w:rFonts w:ascii="Times New Roman;Times;serif" w:hAnsi="Times New Roman;Times;serif"/>
                <w:b w:val="false"/>
                <w:i w:val="false"/>
                <w:caps w:val="false"/>
                <w:smallCaps w:val="false"/>
                <w:sz w:val="24"/>
              </w:rPr>
              <w:t xml:space="preserve">.  Supplier shall execute the Distributor’s “Supplier Quality Agreement”, attached hereto as </w:t>
            </w:r>
            <w:r>
              <w:rPr>
                <w:rFonts w:ascii="Times New Roman;Times;serif" w:hAnsi="Times New Roman;Times;serif"/>
                <w:b/>
                <w:i w:val="false"/>
                <w:caps w:val="false"/>
                <w:smallCaps w:val="false"/>
                <w:sz w:val="24"/>
              </w:rPr>
              <w:t>Exhibit E</w:t>
            </w:r>
            <w:r>
              <w:rPr>
                <w:rFonts w:ascii="Times New Roman;Times;serif" w:hAnsi="Times New Roman;Times;serif"/>
                <w:b w:val="false"/>
                <w:i w:val="false"/>
                <w:caps w:val="false"/>
                <w:smallCaps w:val="false"/>
                <w:sz w:val="24"/>
              </w:rPr>
              <w:t xml:space="preserve">.  Distributor will forward all complaints regarding Products to Supplier, and Supplier shall be solely responsible for handling all such Product complaints and all associated reporting obligations to any regulatory authority and agency, including but not limited to the FDA, as required by applicable law. Supplier will provide a full report of all Product complaints to Distributor upon Distributor’s request. </w:t>
            </w:r>
          </w:p>
        </w:tc>
      </w:tr>
    </w:tbl>
    <w:p>
      <w:pPr>
        <w:pStyle w:val="TextBody"/>
        <w:bidi w:val="0"/>
        <w:spacing w:lineRule="auto" w:line="285" w:before="0" w:after="0"/>
        <w:ind w:left="0" w:right="0" w:hanging="0"/>
        <w:jc w:val="both"/>
        <w:rPr/>
      </w:pPr>
      <w:r>
        <w:rPr/>
        <w:t>​</w:t>
      </w:r>
    </w:p>
    <w:tbl>
      <w:tblPr>
        <w:tblW w:w="7885" w:type="dxa"/>
        <w:jc w:val="left"/>
        <w:tblInd w:w="0" w:type="dxa"/>
        <w:tblLayout w:type="fixed"/>
        <w:tblCellMar>
          <w:top w:w="0" w:type="dxa"/>
          <w:left w:w="0" w:type="dxa"/>
          <w:bottom w:w="0" w:type="dxa"/>
          <w:right w:w="0" w:type="dxa"/>
        </w:tblCellMar>
      </w:tblPr>
      <w:tblGrid>
        <w:gridCol w:w="200"/>
        <w:gridCol w:w="768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w:t>
            </w:r>
          </w:p>
        </w:tc>
        <w:tc>
          <w:tcPr>
            <w:tcW w:w="768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USE OF TRADEMARKS AND OTHER INTELLECTUAL PROPERTY</w:t>
            </w:r>
          </w:p>
        </w:tc>
      </w:tr>
    </w:tbl>
    <w:p>
      <w:pPr>
        <w:pStyle w:val="TextBody"/>
        <w:bidi w:val="0"/>
        <w:spacing w:lineRule="auto" w:line="285"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26"/>
        <w:gridCol w:w="9856"/>
      </w:tblGrid>
      <w:tr>
        <w:trPr/>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4.1.</w:t>
            </w:r>
          </w:p>
        </w:tc>
        <w:tc>
          <w:tcPr>
            <w:tcW w:w="98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Trademark License</w:t>
            </w:r>
            <w:r>
              <w:rPr>
                <w:rFonts w:ascii="Times New Roman;Times;serif" w:hAnsi="Times New Roman;Times;serif"/>
                <w:b w:val="false"/>
                <w:i w:val="false"/>
                <w:caps w:val="false"/>
                <w:smallCaps w:val="false"/>
                <w:sz w:val="24"/>
              </w:rPr>
              <w:t>.  Supplier hereby grants to Distributor a fully paid up, royalty-free, non-transferable, non-sublicensable, non-exclusive,</w:t>
            </w:r>
            <w:r>
              <w:rPr>
                <w:caps w:val="false"/>
                <w:smallCaps w:val="false"/>
              </w:rPr>
              <w:t xml:space="preserve"> </w:t>
            </w:r>
            <w:r>
              <w:rPr>
                <w:rFonts w:ascii="Times New Roman;Times;serif" w:hAnsi="Times New Roman;Times;serif"/>
                <w:b w:val="false"/>
                <w:i w:val="false"/>
                <w:caps w:val="false"/>
                <w:smallCaps w:val="false"/>
                <w:sz w:val="24"/>
              </w:rPr>
              <w:t xml:space="preserve">right and license to use the trademarks described on </w:t>
            </w:r>
            <w:r>
              <w:rPr>
                <w:rFonts w:ascii="Times New Roman;Times;serif" w:hAnsi="Times New Roman;Times;serif"/>
                <w:b/>
                <w:i w:val="false"/>
                <w:caps w:val="false"/>
                <w:smallCaps w:val="false"/>
                <w:sz w:val="24"/>
              </w:rPr>
              <w:t>Exhibit F</w:t>
            </w:r>
            <w:r>
              <w:rPr>
                <w:caps w:val="false"/>
                <w:smallCaps w:val="false"/>
              </w:rPr>
              <w:t xml:space="preserve"> </w:t>
            </w:r>
            <w:r>
              <w:rPr>
                <w:rFonts w:ascii="Times New Roman;Times;serif" w:hAnsi="Times New Roman;Times;serif"/>
                <w:b w:val="false"/>
                <w:i w:val="false"/>
                <w:caps w:val="false"/>
                <w:smallCaps w:val="false"/>
                <w:sz w:val="24"/>
              </w:rPr>
              <w:t>(“</w:t>
            </w:r>
            <w:r>
              <w:rPr>
                <w:rFonts w:ascii="Times New Roman;Times;serif" w:hAnsi="Times New Roman;Times;serif"/>
                <w:b w:val="false"/>
                <w:i w:val="false"/>
                <w:caps w:val="false"/>
                <w:smallCaps w:val="false"/>
                <w:sz w:val="24"/>
                <w:u w:val="single"/>
              </w:rPr>
              <w:t>Trademarks</w:t>
            </w:r>
            <w:r>
              <w:rPr>
                <w:caps w:val="false"/>
                <w:smallCaps w:val="false"/>
              </w:rPr>
              <w:t>”</w:t>
            </w:r>
            <w:r>
              <w:rPr>
                <w:rFonts w:ascii="Times New Roman;Times;serif" w:hAnsi="Times New Roman;Times;serif"/>
                <w:b w:val="false"/>
                <w:i w:val="false"/>
                <w:caps w:val="false"/>
                <w:smallCaps w:val="false"/>
                <w:sz w:val="24"/>
              </w:rPr>
              <w:t>) solely in connection with the promotion, marketing, sale, distribution and delivery of the Products in the Territory during the Term. Supplier shall take such actions as are reasonably required to maintain the Trademarks in effect and shall inform Distributor of any changes in or additions to the Trademarks. Except as expressly provided otherwise in this Agreement, nothing herein shall be deemed to grant to Distributor, either directly or by implication, estoppel, or otherwise, any license or rights to the Trademarks. All use of the Trademarks by Distributor and all goodwill developed therefrom will inure to the benefit and be on behalf of Supplier.</w:t>
            </w:r>
          </w:p>
        </w:tc>
      </w:tr>
    </w:tbl>
    <w:p>
      <w:pPr>
        <w:pStyle w:val="TextBody"/>
        <w:bidi w:val="0"/>
        <w:spacing w:lineRule="auto" w:line="285" w:before="0" w:after="0"/>
        <w:ind w:left="792"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32"/>
        <w:gridCol w:w="9850"/>
      </w:tblGrid>
      <w:tr>
        <w:trPr/>
        <w:tc>
          <w:tcPr>
            <w:tcW w:w="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4.2.</w:t>
            </w:r>
          </w:p>
        </w:tc>
        <w:tc>
          <w:tcPr>
            <w:tcW w:w="98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Use of Trademarks</w:t>
            </w:r>
            <w:r>
              <w:rPr>
                <w:rFonts w:ascii="Times New Roman;Times;serif" w:hAnsi="Times New Roman;Times;serif"/>
                <w:b w:val="false"/>
                <w:i w:val="false"/>
                <w:caps w:val="false"/>
                <w:smallCaps w:val="false"/>
                <w:sz w:val="24"/>
              </w:rPr>
              <w:t xml:space="preserve">. Prior to the first use of any of the Trademarks in the manner permitted herein, Distributor shall submit a sample of such proposed use of Supplier’s trademarks to Supplier for its prior written approval, not to be unreasonably withheld, conditioned or delayed.  Once Supplier approves a particular use of a Trademark, the approval will remain in effect for such use until withdrawn with reasonable prior written notice.  Without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limiting the generality of the foregoing, Distributor must strictly comply with all standards with respect to the Trademarks which may be furnished by Supplier from time to time, and all use of the Trademarks in proximity to the trade name, trademark, service name or service mark of any other Person must be consistent with the standards furnished by Supplier from time to time.  </w:t>
            </w:r>
          </w:p>
        </w:tc>
      </w:tr>
    </w:tbl>
    <w:p>
      <w:pPr>
        <w:pStyle w:val="TextBody"/>
        <w:bidi w:val="0"/>
        <w:spacing w:lineRule="auto" w:line="285" w:before="0" w:after="0"/>
        <w:ind w:left="792"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4.3.</w:t>
            </w:r>
          </w:p>
        </w:tc>
        <w:tc>
          <w:tcPr>
            <w:tcW w:w="988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Patent License and Prosecution</w:t>
            </w:r>
            <w:r>
              <w:rPr>
                <w:rFonts w:ascii="Times New Roman;Times;serif" w:hAnsi="Times New Roman;Times;serif"/>
                <w:b w:val="false"/>
                <w:i w:val="false"/>
                <w:caps w:val="false"/>
                <w:smallCaps w:val="false"/>
                <w:sz w:val="24"/>
              </w:rPr>
              <w:t>. Supplier shall prosecute and maintain, during the Term, any patents required for the Products (the “</w:t>
            </w:r>
            <w:r>
              <w:rPr>
                <w:rFonts w:ascii="Times New Roman;Times;serif" w:hAnsi="Times New Roman;Times;serif"/>
                <w:b w:val="false"/>
                <w:i w:val="false"/>
                <w:caps w:val="false"/>
                <w:smallCaps w:val="false"/>
                <w:sz w:val="24"/>
                <w:u w:val="single"/>
              </w:rPr>
              <w:t>Patent Rights</w:t>
            </w:r>
            <w:r>
              <w:rPr>
                <w:caps w:val="false"/>
                <w:smallCaps w:val="false"/>
              </w:rPr>
              <w:t>”</w:t>
            </w:r>
            <w:r>
              <w:rPr>
                <w:rFonts w:ascii="Times New Roman;Times;serif" w:hAnsi="Times New Roman;Times;serif"/>
                <w:b w:val="false"/>
                <w:i w:val="false"/>
                <w:caps w:val="false"/>
                <w:smallCaps w:val="false"/>
                <w:sz w:val="24"/>
              </w:rPr>
              <w:t>), using counsel selected solely by Supplier. Supplier hereby grants to Distributor a fully paid up, royalty-free, non-transferable, non-exclusive,</w:t>
            </w:r>
            <w:r>
              <w:rPr>
                <w:caps w:val="false"/>
                <w:smallCaps w:val="false"/>
              </w:rPr>
              <w:t xml:space="preserve"> </w:t>
            </w:r>
            <w:r>
              <w:rPr>
                <w:rFonts w:ascii="Times New Roman;Times;serif" w:hAnsi="Times New Roman;Times;serif"/>
                <w:b w:val="false"/>
                <w:i w:val="false"/>
                <w:caps w:val="false"/>
                <w:smallCaps w:val="false"/>
                <w:sz w:val="24"/>
              </w:rPr>
              <w:t xml:space="preserve">non-sublicensable right and license under the Patent Rights to offer for sale and sell the Products as purchased from Supplier in the Territory during the Term.  Supplier and its counsel will be responsible for all decisions made for the prosecution and maintenance of the Patent Rights in Supplier’s sole discretion.  Payment of all fees and costs relating to the filing, prosecution and maintenance of the Patent Rights shall be the responsibility of Supplier.  During the Term, Distributor shall not take any action, directly or indirectly, to invalidate, limit the scope of, or adversely affect the enforceability of the Patent Rights. </w:t>
            </w:r>
          </w:p>
        </w:tc>
      </w:tr>
    </w:tbl>
    <w:p>
      <w:pPr>
        <w:pStyle w:val="TextBody"/>
        <w:bidi w:val="0"/>
        <w:spacing w:lineRule="auto" w:line="285" w:before="0" w:after="0"/>
        <w:ind w:left="792"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4.4.</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Infringement</w:t>
            </w:r>
            <w:r>
              <w:rPr>
                <w:rFonts w:ascii="Times New Roman;Times;serif" w:hAnsi="Times New Roman;Times;serif"/>
                <w:b w:val="false"/>
                <w:i w:val="false"/>
                <w:caps w:val="false"/>
                <w:smallCaps w:val="false"/>
                <w:sz w:val="24"/>
              </w:rPr>
              <w:t xml:space="preserve">.  Distributor will notify Supplier in writing of any infringement of a Patent Right or Trademark or unauthorized disclosure or use of any Confidential Information within thirty (30) days after it becomes aware of such infringement or unauthorized disclosure.  Supplier shall have the exclusive right at its own cost to take all legal action it deems necessary or advisable to eliminate or minimize the consequences of any infringement of a Patent Right or Trademark.  Supplier shall be entitled to all proceeds realized upon any judgment or settlement regarding an action undertaken pursuant to this Section 4.4. </w:t>
            </w:r>
          </w:p>
        </w:tc>
      </w:tr>
    </w:tbl>
    <w:p>
      <w:pPr>
        <w:pStyle w:val="TextBody"/>
        <w:bidi w:val="0"/>
        <w:spacing w:lineRule="auto" w:line="285" w:before="0" w:after="0"/>
        <w:ind w:left="792"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4.5.</w:t>
            </w:r>
          </w:p>
        </w:tc>
        <w:tc>
          <w:tcPr>
            <w:tcW w:w="988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No Other Licenses</w:t>
            </w:r>
            <w:r>
              <w:rPr>
                <w:rFonts w:ascii="Times New Roman;Times;serif" w:hAnsi="Times New Roman;Times;serif"/>
                <w:b w:val="false"/>
                <w:i w:val="false"/>
                <w:caps w:val="false"/>
                <w:smallCaps w:val="false"/>
                <w:sz w:val="24"/>
              </w:rPr>
              <w:t xml:space="preserve">. Except as expressly set forth in this Agreement, Distributor will not acquire any license or other intellectual property right or interest, by implication or otherwise, under or to any Patent Rights, Trademarks or other intellectual property owned or controlled by Supplier. Supplier reserves all right, title and interest in and to the Patent Rights, Trademarks, and all other intellectual property not expressly granted to Distributor under this Agreement, and nothing in this Agreement shall limit Supplier’s ability to use, or grant any right or license to any other individual or entity to use, the Patent Rights or manufacture, use, offer for sale, sell or engage in any other activity with respect to any Product or any other good or service, or otherwise practice under the Patent Rights. Distributor will not, and will not permit any of its affiliates to, practice outside the scope of the licenses granted to it under this Agreement. </w:t>
            </w:r>
          </w:p>
        </w:tc>
      </w:tr>
    </w:tbl>
    <w:p>
      <w:pPr>
        <w:pStyle w:val="TextBody"/>
        <w:bidi w:val="0"/>
        <w:spacing w:lineRule="auto" w:line="285" w:before="0" w:after="0"/>
        <w:ind w:left="792" w:right="0" w:hanging="0"/>
        <w:jc w:val="both"/>
        <w:rPr/>
      </w:pPr>
      <w:r>
        <w:rPr/>
        <w:t>​</w:t>
      </w:r>
    </w:p>
    <w:tbl>
      <w:tblPr>
        <w:tblW w:w="3760" w:type="dxa"/>
        <w:jc w:val="left"/>
        <w:tblInd w:w="0" w:type="dxa"/>
        <w:tblLayout w:type="fixed"/>
        <w:tblCellMar>
          <w:top w:w="0" w:type="dxa"/>
          <w:left w:w="0" w:type="dxa"/>
          <w:bottom w:w="0" w:type="dxa"/>
          <w:right w:w="0" w:type="dxa"/>
        </w:tblCellMar>
      </w:tblPr>
      <w:tblGrid>
        <w:gridCol w:w="200"/>
        <w:gridCol w:w="356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5.</w:t>
            </w:r>
          </w:p>
        </w:tc>
        <w:tc>
          <w:tcPr>
            <w:tcW w:w="35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REPORTING REQUIREMENTS</w:t>
            </w:r>
          </w:p>
        </w:tc>
      </w:tr>
    </w:tbl>
    <w:p>
      <w:pPr>
        <w:pStyle w:val="TextBody"/>
        <w:bidi w:val="0"/>
        <w:spacing w:lineRule="auto" w:line="285" w:before="0" w:after="0"/>
        <w:ind w:left="360" w:right="0" w:hanging="0"/>
        <w:jc w:val="both"/>
        <w:rPr/>
      </w:pPr>
      <w:r>
        <w:rPr/>
        <w:t>​</w:t>
      </w:r>
    </w:p>
    <w:p>
      <w:pPr>
        <w:pStyle w:val="TextBody"/>
        <w:bidi w:val="0"/>
        <w:spacing w:lineRule="auto" w:line="285" w:before="0" w:after="0"/>
        <w:ind w:left="0" w:right="0" w:hanging="0"/>
        <w:jc w:val="both"/>
        <w:rPr>
          <w:rFonts w:ascii="Times" w:hAnsi="Times"/>
          <w:sz w:val="24"/>
        </w:rPr>
      </w:pPr>
      <w:r>
        <w:rPr>
          <w:rFonts w:ascii="Times New Roman;Times;serif" w:hAnsi="Times New Roman;Times;serif"/>
          <w:sz w:val="24"/>
        </w:rPr>
        <w:t>5.1.</w:t>
      </w:r>
      <w:r>
        <w:rPr>
          <w:rFonts w:ascii="Times New Roman;Times;serif" w:hAnsi="Times New Roman;Times;serif"/>
          <w:sz w:val="24"/>
          <w:u w:val="single"/>
        </w:rPr>
        <w:t>Reports to Supplier</w:t>
      </w:r>
      <w:r>
        <w:rPr>
          <w:rFonts w:ascii="Times New Roman;Times;serif" w:hAnsi="Times New Roman;Times;serif"/>
          <w:sz w:val="24"/>
        </w:rPr>
        <w:t xml:space="preserve">. </w:t>
      </w:r>
    </w:p>
    <w:tbl>
      <w:tblPr>
        <w:tblW w:w="10205" w:type="dxa"/>
        <w:jc w:val="left"/>
        <w:tblInd w:w="0" w:type="dxa"/>
        <w:tblLayout w:type="fixed"/>
        <w:tblCellMar>
          <w:top w:w="0" w:type="dxa"/>
          <w:left w:w="0" w:type="dxa"/>
          <w:bottom w:w="0" w:type="dxa"/>
          <w:right w:w="0" w:type="dxa"/>
        </w:tblCellMar>
      </w:tblPr>
      <w:tblGrid>
        <w:gridCol w:w="23"/>
        <w:gridCol w:w="516"/>
        <w:gridCol w:w="9666"/>
      </w:tblGrid>
      <w:tr>
        <w:trPr/>
        <w:tc>
          <w:tcPr>
            <w:tcW w:w="2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5.1.1.</w:t>
            </w:r>
          </w:p>
        </w:tc>
        <w:tc>
          <w:tcPr>
            <w:tcW w:w="9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With respect to the period commencing on the Effective Date and ending on June 30, 2023 or such later date as may be mutually agreed by the parties, Distributor shall provide Supplier a sales report of Products sold during such period, with detail by quantity of each SKU, corresponding price and customer geography.  The quarterly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sales report for the period ended June 30, 2023 must be delivered to Supplier via email no later than July 15, 2023.</w:t>
            </w:r>
          </w:p>
        </w:tc>
      </w:tr>
    </w:tbl>
    <w:p>
      <w:pPr>
        <w:pStyle w:val="TextBody"/>
        <w:bidi w:val="0"/>
        <w:spacing w:lineRule="auto" w:line="285" w:before="0" w:after="0"/>
        <w:ind w:left="720" w:right="0" w:hanging="0"/>
        <w:jc w:val="both"/>
        <w:rPr/>
      </w:pPr>
      <w:r>
        <w:rPr/>
        <w:t>​</w:t>
      </w:r>
    </w:p>
    <w:p>
      <w:pPr>
        <w:pStyle w:val="TextBody"/>
        <w:bidi w:val="0"/>
        <w:spacing w:lineRule="auto" w:line="285" w:before="0" w:after="0"/>
        <w:ind w:left="0" w:right="0" w:hanging="0"/>
        <w:jc w:val="both"/>
        <w:rPr>
          <w:rFonts w:ascii="Times" w:hAnsi="Times"/>
          <w:sz w:val="24"/>
        </w:rPr>
      </w:pPr>
      <w:r>
        <w:rPr>
          <w:rFonts w:ascii="Times New Roman;Times;serif" w:hAnsi="Times New Roman;Times;serif"/>
          <w:sz w:val="24"/>
        </w:rPr>
        <w:t>5.2.</w:t>
      </w:r>
      <w:r>
        <w:rPr>
          <w:rFonts w:ascii="Times New Roman;Times;serif" w:hAnsi="Times New Roman;Times;serif"/>
          <w:sz w:val="24"/>
          <w:u w:val="single"/>
        </w:rPr>
        <w:t>Reports to Distributor</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512"/>
        <w:gridCol w:w="9670"/>
      </w:tblGrid>
      <w:tr>
        <w:trPr/>
        <w:tc>
          <w:tcPr>
            <w:tcW w:w="2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5.2.1.</w:t>
            </w:r>
          </w:p>
        </w:tc>
        <w:tc>
          <w:tcPr>
            <w:tcW w:w="9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Supplier shall provide Distributor a quarterly sales report of Products sold other than to Distributor during the such period, providing sufficient detail for Distributor to calculate gross profit realized by Supplier in accordance with U.S. generally accepted accounting practices consistently applied by Supplier with respect to any income recognized by Supplier subsequent to the date hereof with respect to Products sold or distributed in the Territory.</w:t>
            </w:r>
          </w:p>
        </w:tc>
      </w:tr>
    </w:tbl>
    <w:tbl>
      <w:tblPr>
        <w:tblW w:w="10205" w:type="dxa"/>
        <w:jc w:val="left"/>
        <w:tblInd w:w="0" w:type="dxa"/>
        <w:tblLayout w:type="fixed"/>
        <w:tblCellMar>
          <w:top w:w="0" w:type="dxa"/>
          <w:left w:w="0" w:type="dxa"/>
          <w:bottom w:w="0" w:type="dxa"/>
          <w:right w:w="0" w:type="dxa"/>
        </w:tblCellMar>
      </w:tblPr>
      <w:tblGrid>
        <w:gridCol w:w="23"/>
        <w:gridCol w:w="520"/>
        <w:gridCol w:w="9662"/>
      </w:tblGrid>
      <w:tr>
        <w:trPr/>
        <w:tc>
          <w:tcPr>
            <w:tcW w:w="2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5.2.2.</w:t>
            </w:r>
          </w:p>
        </w:tc>
        <w:tc>
          <w:tcPr>
            <w:tcW w:w="96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termination of this Agreement and the payment by Supplier to Distributor with respect to all Products to be repurchased by Supplier upon termination of this Agreement, Distributor shall provide Supplier with a then-current customer list with respect to the Products.</w:t>
            </w:r>
          </w:p>
        </w:tc>
      </w:tr>
    </w:tbl>
    <w:p>
      <w:pPr>
        <w:pStyle w:val="TextBody"/>
        <w:bidi w:val="0"/>
        <w:spacing w:lineRule="auto" w:line="285" w:before="0" w:after="0"/>
        <w:ind w:left="0" w:right="0" w:hanging="0"/>
        <w:jc w:val="both"/>
        <w:rPr>
          <w:rFonts w:ascii="Times" w:hAnsi="Times"/>
          <w:sz w:val="24"/>
        </w:rPr>
      </w:pPr>
      <w:r>
        <w:rPr>
          <w:rFonts w:ascii="Times New Roman;Times;serif" w:hAnsi="Times New Roman;Times;serif"/>
          <w:sz w:val="24"/>
        </w:rPr>
        <w:t>5.3.</w:t>
      </w:r>
      <w:r>
        <w:rPr>
          <w:rFonts w:ascii="Times New Roman;Times;serif" w:hAnsi="Times New Roman;Times;serif"/>
          <w:sz w:val="24"/>
          <w:u w:val="single"/>
        </w:rPr>
        <w:t>Audit Rights</w:t>
      </w:r>
      <w:r>
        <w:rPr>
          <w:rFonts w:ascii="Times New Roman;Times;serif" w:hAnsi="Times New Roman;Times;serif"/>
          <w:sz w:val="24"/>
        </w:rPr>
        <w:t>.  </w:t>
      </w:r>
    </w:p>
    <w:tbl>
      <w:tblPr>
        <w:tblW w:w="10205" w:type="dxa"/>
        <w:jc w:val="left"/>
        <w:tblInd w:w="0" w:type="dxa"/>
        <w:tblLayout w:type="fixed"/>
        <w:tblCellMar>
          <w:top w:w="0" w:type="dxa"/>
          <w:left w:w="0" w:type="dxa"/>
          <w:bottom w:w="0" w:type="dxa"/>
          <w:right w:w="0" w:type="dxa"/>
        </w:tblCellMar>
      </w:tblPr>
      <w:tblGrid>
        <w:gridCol w:w="23"/>
        <w:gridCol w:w="513"/>
        <w:gridCol w:w="9669"/>
      </w:tblGrid>
      <w:tr>
        <w:trPr/>
        <w:tc>
          <w:tcPr>
            <w:tcW w:w="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5.3.1.</w:t>
            </w:r>
          </w:p>
        </w:tc>
        <w:tc>
          <w:tcPr>
            <w:tcW w:w="9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Supplier shall have the right to audit Distributor’s facilities, books and records to ascertain or confirm the correctness of any reports and the compliance by Distributor with the terms of this Agreement and Applicable Laws (defined below), rules and regulations.  Distributor shall permit Supplier or its designee to examine such books and records upon five (5) business days’ notice at facilities during normal business hours.  </w:t>
            </w:r>
          </w:p>
        </w:tc>
      </w:tr>
    </w:tbl>
    <w:tbl>
      <w:tblPr>
        <w:tblW w:w="10205" w:type="dxa"/>
        <w:jc w:val="left"/>
        <w:tblInd w:w="0" w:type="dxa"/>
        <w:tblLayout w:type="fixed"/>
        <w:tblCellMar>
          <w:top w:w="0" w:type="dxa"/>
          <w:left w:w="0" w:type="dxa"/>
          <w:bottom w:w="0" w:type="dxa"/>
          <w:right w:w="0" w:type="dxa"/>
        </w:tblCellMar>
      </w:tblPr>
      <w:tblGrid>
        <w:gridCol w:w="23"/>
        <w:gridCol w:w="510"/>
        <w:gridCol w:w="9672"/>
      </w:tblGrid>
      <w:tr>
        <w:trPr/>
        <w:tc>
          <w:tcPr>
            <w:tcW w:w="2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5.3.2.</w:t>
            </w:r>
          </w:p>
        </w:tc>
        <w:tc>
          <w:tcPr>
            <w:tcW w:w="96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may be reasonably related to the obligation of Supplier to remit gross profit to Distributor pursuant to Section 2.1.2, Distributor shall have the right to audit Supplier’s facilities, books and records to ascertain or confirm the correctness of any reports and the compliance by Supplier with the terms of this Agreement and Applicable Laws (defined below), rules and regulations.  Supplier shall permit Distributor or its designee to examine such books and records upon five (5) business days’ notice at facilities during normal business hours.  </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6.</w:t>
            </w:r>
          </w:p>
        </w:tc>
        <w:tc>
          <w:tcPr>
            <w:tcW w:w="10008"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COMPLIANCE WITH LAWS AND REGULATIONS; GOVERNMENTAL AUTHORIZATIONS</w:t>
            </w:r>
          </w:p>
        </w:tc>
      </w:tr>
    </w:tbl>
    <w:p>
      <w:pPr>
        <w:pStyle w:val="TextBody"/>
        <w:bidi w:val="0"/>
        <w:spacing w:lineRule="auto" w:line="285" w:before="0" w:after="0"/>
        <w:ind w:left="360" w:right="0" w:hanging="0"/>
        <w:jc w:val="both"/>
        <w:rPr/>
      </w:pPr>
      <w:r>
        <w:rPr/>
        <w:t>​</w:t>
      </w:r>
    </w:p>
    <w:p>
      <w:pPr>
        <w:pStyle w:val="TextBody"/>
        <w:bidi w:val="0"/>
        <w:spacing w:lineRule="auto" w:line="285"/>
        <w:ind w:left="0" w:right="0" w:hanging="0"/>
        <w:jc w:val="both"/>
        <w:rPr>
          <w:rFonts w:ascii="Times" w:hAnsi="Times"/>
          <w:sz w:val="24"/>
        </w:rPr>
      </w:pPr>
      <w:r>
        <w:rPr>
          <w:rFonts w:ascii="Times New Roman;Times;serif" w:hAnsi="Times New Roman;Times;serif"/>
          <w:sz w:val="24"/>
        </w:rPr>
        <w:t>6.1.</w:t>
      </w:r>
      <w:r>
        <w:rPr>
          <w:rFonts w:ascii="Times New Roman;Times;serif" w:hAnsi="Times New Roman;Times;serif"/>
          <w:sz w:val="24"/>
          <w:u w:val="single"/>
        </w:rPr>
        <w:t>Regulatory Compliance</w:t>
      </w:r>
      <w:r>
        <w:rPr>
          <w:rFonts w:ascii="Times New Roman;Times;serif" w:hAnsi="Times New Roman;Times;serif"/>
          <w:sz w:val="24"/>
        </w:rPr>
        <w:t xml:space="preserve">. </w:t>
      </w:r>
      <w:r>
        <w:rPr>
          <w:rFonts w:ascii="Times" w:hAnsi="Times"/>
          <w:sz w:val="24"/>
        </w:rPr>
        <w:t>Supplier shall, at its expense, obtain, maintain and comply with at all times all regulatory requirements and approvals, including, without limitation, those issued by the United States Food and Drug Administration (“</w:t>
      </w:r>
      <w:r>
        <w:rPr>
          <w:rFonts w:ascii="Times" w:hAnsi="Times"/>
          <w:sz w:val="24"/>
          <w:u w:val="single"/>
        </w:rPr>
        <w:t>FDA</w:t>
      </w:r>
      <w:r>
        <w:rPr>
          <w:rFonts w:ascii="Times" w:hAnsi="Times"/>
          <w:sz w:val="24"/>
        </w:rPr>
        <w:t>”), necessary or useful to promote and sell the Products in the Territory.  Supplier will manufacture the Products in accordance with (a) the specifications of the Product, and (b) other pertinent rules and regulations of the FDA.  </w:t>
      </w:r>
    </w:p>
    <w:p>
      <w:pPr>
        <w:pStyle w:val="TextBody"/>
        <w:bidi w:val="0"/>
        <w:spacing w:lineRule="auto" w:line="285" w:before="0" w:after="0"/>
        <w:ind w:left="720" w:right="0" w:hanging="0"/>
        <w:jc w:val="both"/>
        <w:rPr/>
      </w:pPr>
      <w:r>
        <w:rPr/>
        <w:t>​</w:t>
      </w:r>
    </w:p>
    <w:p>
      <w:pPr>
        <w:pStyle w:val="TextBody"/>
        <w:bidi w:val="0"/>
        <w:spacing w:lineRule="auto" w:line="285" w:before="0" w:after="0"/>
        <w:ind w:left="0" w:right="0" w:hanging="0"/>
        <w:jc w:val="both"/>
        <w:rPr>
          <w:rFonts w:ascii="Times" w:hAnsi="Times"/>
          <w:sz w:val="24"/>
        </w:rPr>
      </w:pPr>
      <w:r>
        <w:rPr>
          <w:rFonts w:ascii="Times New Roman;Times;serif" w:hAnsi="Times New Roman;Times;serif"/>
          <w:sz w:val="24"/>
        </w:rPr>
        <w:t>6.2.</w:t>
      </w:r>
      <w:r>
        <w:rPr>
          <w:rFonts w:ascii="Times" w:hAnsi="Times"/>
          <w:sz w:val="24"/>
          <w:u w:val="single"/>
        </w:rPr>
        <w:t>Recall</w:t>
      </w:r>
      <w:r>
        <w:rPr>
          <w:rFonts w:ascii="Times" w:hAnsi="Times"/>
          <w:sz w:val="24"/>
        </w:rPr>
        <w:t xml:space="preserve">. If, in the reasonable judgment of Supplier or Distributor, any Product defect or any government action requires a recall of, or the issuance of an advisory letter regarding, any Product, either party may undertake such recall or issue such advisory letter after consultation with the other party.  Each party shall notify the other party in a timely manner prior to making any recall or issuing any advisory letter.  The parties shall endeavor to reach an agreement prior to making any recall or issuing any advisory letter regarding the manner, text and timing of any publicity to be given such matters in time to comply with </w:t>
      </w:r>
    </w:p>
    <w:p>
      <w:pPr>
        <w:pStyle w:val="HorizontalLine"/>
        <w:pBdr>
          <w:bottom w:val="double" w:sz="2" w:space="0" w:color="808080"/>
        </w:pBdr>
        <w:bidi w:val="0"/>
        <w:spacing w:before="0" w:after="283"/>
        <w:jc w:val="left"/>
        <w:rPr/>
      </w:pPr>
      <w:r>
        <w:rPr/>
      </w:r>
    </w:p>
    <w:p>
      <w:pPr>
        <w:pStyle w:val="TextBody"/>
        <w:bidi w:val="0"/>
        <w:spacing w:lineRule="auto" w:line="285"/>
        <w:ind w:left="0" w:right="0" w:hanging="0"/>
        <w:jc w:val="both"/>
        <w:rPr>
          <w:rFonts w:ascii="Times" w:hAnsi="Times"/>
          <w:sz w:val="24"/>
        </w:rPr>
      </w:pPr>
      <w:r>
        <w:rPr>
          <w:rFonts w:ascii="Times" w:hAnsi="Times"/>
          <w:sz w:val="24"/>
        </w:rPr>
        <w:t>any applicable legal or regulatory requirements, but such agreement will not be a precondition to any action that either party deems necessary to protect users of the Products or to comply with any applicable governmental orders or mandates.  The parties agree to provide commercially reasonable assistance to one another in the event of any recall or issuance of any advisory letter.  </w:t>
      </w:r>
      <w:r>
        <w:rPr>
          <w:rFonts w:ascii="Times New Roman;Times;serif" w:hAnsi="Times New Roman;Times;serif"/>
          <w:sz w:val="24"/>
        </w:rPr>
        <w:t xml:space="preserve">Distributor shall maintain a traceability system that assures that in the event of a recall or field action involving a Product, each Product can be traced to the user of such Product. </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w:hAnsi="Times"/>
          <w:sz w:val="24"/>
        </w:rPr>
      </w:pPr>
      <w:r>
        <w:rPr>
          <w:rFonts w:ascii="Times New Roman;Times;serif" w:hAnsi="Times New Roman;Times;serif"/>
          <w:sz w:val="24"/>
        </w:rPr>
        <w:t>6.3.</w:t>
      </w:r>
      <w:r>
        <w:rPr>
          <w:rFonts w:ascii="Times" w:hAnsi="Times"/>
          <w:sz w:val="24"/>
          <w:u w:val="single"/>
        </w:rPr>
        <w:t>Compliance with Laws</w:t>
      </w:r>
      <w:r>
        <w:rPr>
          <w:rFonts w:ascii="Times" w:hAnsi="Times"/>
          <w:sz w:val="24"/>
        </w:rPr>
        <w:t xml:space="preserve">. </w:t>
      </w:r>
      <w:r>
        <w:rPr>
          <w:rFonts w:ascii="Times New Roman;Times;serif" w:hAnsi="Times New Roman;Times;serif"/>
          <w:sz w:val="24"/>
        </w:rPr>
        <w:t>Distributor shall not at any time take any action which violates, and shall at all times comply with, any and all applicable laws, regulations and guidelines of all federal, state or local governmental bodies and agencies in the Territory pertaining to the sale, distribution, use, promotion, marketing, resale and use of the Products or otherwise (“</w:t>
      </w:r>
      <w:r>
        <w:rPr>
          <w:rFonts w:ascii="Times New Roman;Times;serif" w:hAnsi="Times New Roman;Times;serif"/>
          <w:sz w:val="24"/>
          <w:u w:val="single"/>
        </w:rPr>
        <w:t>Applicable Laws</w:t>
      </w:r>
      <w:r>
        <w:rPr>
          <w:rFonts w:ascii="Times" w:hAnsi="Times"/>
          <w:sz w:val="24"/>
        </w:rPr>
        <w:t>”</w:t>
      </w:r>
      <w:r>
        <w:rPr>
          <w:rFonts w:ascii="Times New Roman;Times;serif" w:hAnsi="Times New Roman;Times;serif"/>
          <w:sz w:val="24"/>
        </w:rPr>
        <w:t xml:space="preserve">). Distributor shall at no time engage in any unfair or deceptive trade practices with respect to the Products.  Distributor shall not, by act or omission, misrepresent Supplier or any Product or mislead any Person concerning Supplier or any Product.  Distributor shall not make any claims, representations, or warranties in connection with any Product, or any other claims, representations, or warranties, whether on behalf of Distributor or purportedly on behalf of any of Supplier, except if and to the extent expressly authorized in advance in writing by Supplier. </w:t>
      </w:r>
    </w:p>
    <w:p>
      <w:pPr>
        <w:pStyle w:val="TextBody"/>
        <w:bidi w:val="0"/>
        <w:spacing w:lineRule="auto" w:line="285" w:before="0" w:after="0"/>
        <w:ind w:left="720" w:right="0" w:hanging="0"/>
        <w:jc w:val="both"/>
        <w:rPr/>
      </w:pPr>
      <w:r>
        <w:rPr/>
        <w:t>​</w:t>
      </w:r>
    </w:p>
    <w:p>
      <w:pPr>
        <w:pStyle w:val="TextBody"/>
        <w:bidi w:val="0"/>
        <w:spacing w:lineRule="auto" w:line="285"/>
        <w:ind w:left="0" w:right="0" w:hanging="0"/>
        <w:jc w:val="both"/>
        <w:rPr>
          <w:rFonts w:ascii="Times" w:hAnsi="Times"/>
          <w:sz w:val="24"/>
        </w:rPr>
      </w:pPr>
      <w:r>
        <w:rPr>
          <w:rFonts w:ascii="Times New Roman;Times;serif" w:hAnsi="Times New Roman;Times;serif"/>
          <w:sz w:val="24"/>
        </w:rPr>
        <w:t>6.4.</w:t>
      </w:r>
      <w:r>
        <w:rPr>
          <w:rFonts w:ascii="Times New Roman;Times;serif" w:hAnsi="Times New Roman;Times;serif"/>
          <w:sz w:val="24"/>
          <w:u w:val="single"/>
        </w:rPr>
        <w:t>Anti-Bribery Laws</w:t>
      </w:r>
      <w:r>
        <w:rPr>
          <w:rFonts w:ascii="Times New Roman;Times;serif" w:hAnsi="Times New Roman;Times;serif"/>
          <w:sz w:val="24"/>
        </w:rPr>
        <w:t>. Distributor will comply at all times with, and shall not cause Supplier to violate, the provisions of the United States Foreign Corrupt Practices Act (“</w:t>
      </w:r>
      <w:r>
        <w:rPr>
          <w:rFonts w:ascii="Times New Roman;Times;serif" w:hAnsi="Times New Roman;Times;serif"/>
          <w:sz w:val="24"/>
          <w:u w:val="single"/>
        </w:rPr>
        <w:t>FCPA</w:t>
      </w:r>
      <w:r>
        <w:rPr>
          <w:rFonts w:ascii="Times" w:hAnsi="Times"/>
          <w:sz w:val="24"/>
        </w:rPr>
        <w:t>”</w:t>
      </w:r>
      <w:r>
        <w:rPr>
          <w:rFonts w:ascii="Times New Roman;Times;serif" w:hAnsi="Times New Roman;Times;serif"/>
          <w:sz w:val="24"/>
        </w:rPr>
        <w:t>), the U.S. Travel Act (to the extent applicable), the U.S. domestic bribery statute contained in USC §201 (to the extent applicable), and all other anti-corruption laws and regulations applicable to Distributor’s business or the performance of this Agreement.  Without limiting the generality of the foregoing, Distributor represents, warrants and covenants that it has not, and shall not at any time pay, give, or offer, promise, or authorize others to pay or give, any money (such as a bribe or kickback) or any other thing of value (such as an improper gift, hospitality, or favor), directly or indirectly to, or for the benefit of: (i) any employee, official, or agent of a government, a state-owned or affiliated entity or organization, a political party, a public international organization or an instrumentality thereof; (ii) a political party or candidate for political office; or (iii) any other Person, for the purpose of obtaining, retaining, or directing any business, regulatory approval, or other improper advantage, in connection with Distributor’s business or the performance of this Agreement.  Distributor shall cause its employees and contractors to comply with this provision.  Distributor understands and acknowledges that any violation of this paragraph shall constitute a material breach and will Supplier to terminate this Agreement pursuant to Section 7.1.2.2 and/or seek all legal remedies, including, but not limited to, injunctive relief against as well as indemnities from Distributor for all related damages.</w:t>
      </w:r>
    </w:p>
    <w:p>
      <w:pPr>
        <w:pStyle w:val="TextBody"/>
        <w:bidi w:val="0"/>
        <w:spacing w:lineRule="auto" w:line="285" w:before="0" w:after="0"/>
        <w:ind w:left="360" w:right="0" w:hanging="0"/>
        <w:jc w:val="both"/>
        <w:rPr/>
      </w:pPr>
      <w:r>
        <w:rPr/>
        <w:t>​</w:t>
      </w:r>
    </w:p>
    <w:tbl>
      <w:tblPr>
        <w:tblW w:w="2080" w:type="dxa"/>
        <w:jc w:val="left"/>
        <w:tblInd w:w="0" w:type="dxa"/>
        <w:tblLayout w:type="fixed"/>
        <w:tblCellMar>
          <w:top w:w="0" w:type="dxa"/>
          <w:left w:w="0" w:type="dxa"/>
          <w:bottom w:w="0" w:type="dxa"/>
          <w:right w:w="0" w:type="dxa"/>
        </w:tblCellMar>
      </w:tblPr>
      <w:tblGrid>
        <w:gridCol w:w="200"/>
        <w:gridCol w:w="188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7.</w:t>
            </w:r>
          </w:p>
        </w:tc>
        <w:tc>
          <w:tcPr>
            <w:tcW w:w="188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TERMINATION </w:t>
            </w:r>
          </w:p>
        </w:tc>
      </w:tr>
    </w:tbl>
    <w:p>
      <w:pPr>
        <w:pStyle w:val="TextBody"/>
        <w:pBdr/>
        <w:bidi w:val="0"/>
        <w:spacing w:lineRule="auto" w:line="285" w:before="0" w:after="0"/>
        <w:ind w:left="0" w:right="0" w:hanging="720"/>
        <w:jc w:val="both"/>
        <w:rPr/>
      </w:pPr>
      <w:r>
        <w:rPr/>
        <w:t>​</w:t>
      </w:r>
    </w:p>
    <w:p>
      <w:pPr>
        <w:pStyle w:val="TextBody"/>
        <w:bidi w:val="0"/>
        <w:spacing w:lineRule="auto" w:line="285"/>
        <w:ind w:left="0" w:right="0" w:hanging="0"/>
        <w:jc w:val="both"/>
        <w:rPr>
          <w:rFonts w:ascii="Times" w:hAnsi="Times"/>
          <w:sz w:val="24"/>
        </w:rPr>
      </w:pPr>
      <w:r>
        <w:rPr>
          <w:rFonts w:ascii="Times New Roman;Times;serif" w:hAnsi="Times New Roman;Times;serif"/>
          <w:sz w:val="24"/>
        </w:rPr>
        <w:t>7.1.</w:t>
      </w:r>
      <w:r>
        <w:rPr>
          <w:rFonts w:ascii="Times New Roman;Times;serif" w:hAnsi="Times New Roman;Times;serif"/>
          <w:sz w:val="24"/>
          <w:u w:val="single"/>
        </w:rPr>
        <w:t>Supplier’s Termination Rights</w:t>
      </w:r>
      <w:r>
        <w:rPr>
          <w:rFonts w:ascii="Times New Roman;Times;serif" w:hAnsi="Times New Roman;Times;serif"/>
          <w:sz w:val="24"/>
        </w:rPr>
        <w:t xml:space="preserve">. Supplier shall have the right to terminate this Agreement and the Option upon delivery of written notice to Distributor: </w:t>
      </w:r>
    </w:p>
    <w:p>
      <w:pPr>
        <w:pStyle w:val="TextBody"/>
        <w:bidi w:val="0"/>
        <w:spacing w:lineRule="auto" w:line="285" w:before="0" w:after="0"/>
        <w:ind w:left="720" w:right="0" w:hanging="0"/>
        <w:jc w:val="both"/>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513"/>
        <w:gridCol w:w="9669"/>
      </w:tblGrid>
      <w:tr>
        <w:trPr/>
        <w:tc>
          <w:tcPr>
            <w:tcW w:w="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7.1.1.</w:t>
            </w:r>
          </w:p>
        </w:tc>
        <w:tc>
          <w:tcPr>
            <w:tcW w:w="9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the insolvency of Distributor or any action causing Distributor to avail itself of laws for the protection of debtors, including, without limitation, the appointment of a receiver or the like, a complete or partial moratorium on payment of debt, a petition in bankruptcy or the like filed by or against Distributor, or an assignment of all or a portion of Distributor’s assets for the benefit of its creditors; or</w:t>
            </w:r>
          </w:p>
        </w:tc>
      </w:tr>
    </w:tbl>
    <w:p>
      <w:pPr>
        <w:pStyle w:val="TextBody"/>
        <w:bidi w:val="0"/>
        <w:spacing w:lineRule="auto" w:line="285" w:before="0" w:after="0"/>
        <w:ind w:left="1224"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23"/>
        <w:gridCol w:w="9659"/>
      </w:tblGrid>
      <w:tr>
        <w:trPr/>
        <w:tc>
          <w:tcPr>
            <w:tcW w:w="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7.1.2.</w:t>
            </w:r>
          </w:p>
        </w:tc>
        <w:tc>
          <w:tcPr>
            <w:tcW w:w="96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the occurrence of any one or more of the following events, which event has not been cured within thirty (30) days after the written notice thereof to Distributor specifying the nature of the alleged default and referencing this Section 7.1:</w:t>
            </w:r>
          </w:p>
        </w:tc>
      </w:tr>
    </w:tbl>
    <w:p>
      <w:pPr>
        <w:pStyle w:val="TextBody"/>
        <w:bidi w:val="0"/>
        <w:spacing w:lineRule="auto" w:line="285" w:before="0" w:after="0"/>
        <w:ind w:left="1224" w:right="0" w:hanging="0"/>
        <w:jc w:val="both"/>
        <w:rPr/>
      </w:pPr>
      <w:r>
        <w:rPr/>
        <w:t>​</w:t>
      </w:r>
    </w:p>
    <w:p>
      <w:pPr>
        <w:pStyle w:val="TextBody"/>
        <w:bidi w:val="0"/>
        <w:spacing w:lineRule="auto" w:line="285"/>
        <w:ind w:left="1080" w:right="0" w:hanging="0"/>
        <w:jc w:val="both"/>
        <w:rPr>
          <w:rFonts w:ascii="Times New Roman;Times;serif" w:hAnsi="Times New Roman;Times;serif"/>
          <w:sz w:val="24"/>
        </w:rPr>
      </w:pPr>
      <w:r>
        <w:rPr>
          <w:rFonts w:ascii="Times New Roman;Times;serif" w:hAnsi="Times New Roman;Times;serif"/>
          <w:sz w:val="24"/>
        </w:rPr>
        <w:t>7.1.2.1.Distributor infringes or causes any third party to infringe the Trademarks, Patent Rights or any proprietary rights of Supplier or Supplier’s affiliates with respect to the Products;</w:t>
      </w:r>
    </w:p>
    <w:p>
      <w:pPr>
        <w:pStyle w:val="TextBody"/>
        <w:bidi w:val="0"/>
        <w:spacing w:lineRule="auto" w:line="285" w:before="0" w:after="0"/>
        <w:ind w:left="1440" w:right="0" w:hanging="0"/>
        <w:jc w:val="both"/>
        <w:rPr/>
      </w:pPr>
      <w:r>
        <w:rPr/>
        <w:t>​</w:t>
      </w:r>
    </w:p>
    <w:p>
      <w:pPr>
        <w:pStyle w:val="TextBody"/>
        <w:bidi w:val="0"/>
        <w:spacing w:lineRule="auto" w:line="285" w:before="0" w:after="0"/>
        <w:ind w:left="1080" w:right="0" w:hanging="0"/>
        <w:jc w:val="both"/>
        <w:rPr>
          <w:rFonts w:ascii="Times New Roman;Times;serif" w:hAnsi="Times New Roman;Times;serif"/>
          <w:sz w:val="24"/>
        </w:rPr>
      </w:pPr>
      <w:r>
        <w:rPr>
          <w:rFonts w:ascii="Times New Roman;Times;serif" w:hAnsi="Times New Roman;Times;serif"/>
          <w:sz w:val="24"/>
        </w:rPr>
        <w:t>7.1.2.2.Material breach of the Agreement by Distributor or Breach by Distributor of any of its obligations and/or representations and warranties, as applicable, under Sections 2.1, 3.13, 4.1, 4.3, 6.3, 6.4, 8, 11, 12, or 14.1 of this Agreement; or</w:t>
      </w:r>
    </w:p>
    <w:p>
      <w:pPr>
        <w:pStyle w:val="TextBody"/>
        <w:bidi w:val="0"/>
        <w:spacing w:lineRule="auto" w:line="285"/>
        <w:ind w:left="1080" w:right="0" w:hanging="0"/>
        <w:jc w:val="both"/>
        <w:rPr>
          <w:rFonts w:ascii="Times New Roman;Times;serif" w:hAnsi="Times New Roman;Times;serif"/>
          <w:sz w:val="24"/>
        </w:rPr>
      </w:pPr>
      <w:r>
        <w:rPr>
          <w:rFonts w:ascii="Times New Roman;Times;serif" w:hAnsi="Times New Roman;Times;serif"/>
          <w:sz w:val="24"/>
        </w:rPr>
        <w:t>7.1.2.3.Subject to Supplier’s compliance with its obligations under Section 3.4 hereof, the failure of Distributor to purchase the following volume of Products, based on Product Purchase Price, during the applicable period specified below, or as purchased by Distributor within thirty (30) days after receiving notice from Supplier of such failure and directed by Distributor to be allocated to the applicable preceding period:</w:t>
      </w:r>
    </w:p>
    <w:p>
      <w:pPr>
        <w:pStyle w:val="TextBody"/>
        <w:bidi w:val="0"/>
        <w:spacing w:lineRule="auto" w:line="285" w:before="0" w:after="0"/>
        <w:ind w:left="720" w:right="0" w:hanging="0"/>
        <w:jc w:val="both"/>
        <w:rPr/>
      </w:pPr>
      <w:r>
        <w:rPr/>
        <w:t>​</w:t>
      </w:r>
    </w:p>
    <w:tbl>
      <w:tblPr>
        <w:tblW w:w="10142" w:type="dxa"/>
        <w:jc w:val="left"/>
        <w:tblInd w:w="0" w:type="dxa"/>
        <w:tblLayout w:type="fixed"/>
        <w:tblCellMar>
          <w:top w:w="0" w:type="dxa"/>
          <w:left w:w="0" w:type="dxa"/>
          <w:bottom w:w="0" w:type="dxa"/>
          <w:right w:w="0" w:type="dxa"/>
        </w:tblCellMar>
      </w:tblPr>
      <w:tblGrid>
        <w:gridCol w:w="3001"/>
        <w:gridCol w:w="7141"/>
      </w:tblGrid>
      <w:tr>
        <w:trPr/>
        <w:tc>
          <w:tcPr>
            <w:tcW w:w="3001"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c>
          <w:tcPr>
            <w:tcW w:w="7141"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r>
      <w:tr>
        <w:trPr/>
        <w:tc>
          <w:tcPr>
            <w:tcW w:w="3001" w:type="dxa"/>
            <w:tcBorders>
              <w:top w:val="single" w:sz="2" w:space="0" w:color="000000"/>
              <w:left w:val="single" w:sz="2" w:space="0" w:color="000000"/>
              <w:bottom w:val="single" w:sz="2" w:space="0" w:color="000000"/>
              <w:right w:val="single" w:sz="2" w:space="0" w:color="000000"/>
            </w:tcBorders>
            <w:shd w:fill="E0E0E0" w:val="clear"/>
            <w:tcMar>
              <w:top w:w="28" w:type="dxa"/>
              <w:left w:w="103" w:type="dxa"/>
              <w:bottom w:w="28" w:type="dxa"/>
              <w:right w:w="103" w:type="dxa"/>
            </w:tcMar>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rFonts w:ascii="Times" w:hAnsi="Times"/>
                <w:b/>
                <w:sz w:val="24"/>
              </w:rPr>
            </w:pPr>
            <w:r>
              <w:rPr>
                <w:rFonts w:ascii="Times" w:hAnsi="Times"/>
                <w:b/>
                <w:sz w:val="24"/>
              </w:rPr>
              <w:t>Minimum Period</w:t>
            </w:r>
          </w:p>
        </w:tc>
        <w:tc>
          <w:tcPr>
            <w:tcW w:w="7141" w:type="dxa"/>
            <w:tcBorders>
              <w:top w:val="single" w:sz="2" w:space="0" w:color="000000"/>
              <w:left w:val="single" w:sz="2" w:space="0" w:color="000000"/>
              <w:bottom w:val="single" w:sz="2" w:space="0" w:color="000000"/>
              <w:right w:val="single" w:sz="2" w:space="0" w:color="000000"/>
            </w:tcBorders>
            <w:shd w:fill="E0E0E0" w:val="clear"/>
            <w:tcMar>
              <w:top w:w="28" w:type="dxa"/>
              <w:left w:w="103" w:type="dxa"/>
              <w:bottom w:w="28" w:type="dxa"/>
              <w:right w:w="103" w:type="dxa"/>
            </w:tcMar>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center"/>
              <w:rPr>
                <w:rFonts w:ascii="Times" w:hAnsi="Times"/>
                <w:b/>
                <w:sz w:val="24"/>
              </w:rPr>
            </w:pPr>
            <w:r>
              <w:rPr>
                <w:rFonts w:ascii="Times" w:hAnsi="Times"/>
                <w:b/>
                <w:sz w:val="24"/>
              </w:rPr>
              <w:t>Minimum Purchase Volume of Licensed Products (by Product Price)</w:t>
            </w:r>
          </w:p>
        </w:tc>
      </w:tr>
      <w:tr>
        <w:trPr/>
        <w:tc>
          <w:tcPr>
            <w:tcW w:w="3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252" w:hanging="0"/>
              <w:jc w:val="right"/>
              <w:rPr>
                <w:rFonts w:ascii="Times" w:hAnsi="Times"/>
                <w:sz w:val="24"/>
              </w:rPr>
            </w:pPr>
            <w:r>
              <w:rPr>
                <w:rFonts w:ascii="Times" w:hAnsi="Times"/>
                <w:sz w:val="24"/>
              </w:rPr>
              <w:t xml:space="preserve">October 1, 2023 </w:t>
            </w:r>
          </w:p>
          <w:p>
            <w:pPr>
              <w:pStyle w:val="TableContents"/>
              <w:bidi w:val="0"/>
              <w:spacing w:lineRule="auto" w:line="285" w:before="0" w:after="0"/>
              <w:ind w:left="0" w:right="0" w:hanging="0"/>
              <w:jc w:val="right"/>
              <w:rPr>
                <w:rFonts w:ascii="Times" w:hAnsi="Times"/>
                <w:sz w:val="24"/>
              </w:rPr>
            </w:pPr>
            <w:r>
              <w:rPr>
                <w:rFonts w:ascii="Times" w:hAnsi="Times"/>
                <w:sz w:val="24"/>
              </w:rPr>
              <w:t>through December 31, 2023</w:t>
            </w:r>
          </w:p>
        </w:tc>
        <w:tc>
          <w:tcPr>
            <w:tcW w:w="7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firstLine="1604"/>
              <w:jc w:val="left"/>
              <w:rPr/>
            </w:pPr>
            <w:r>
              <w:rPr/>
              <w:t>​</w:t>
            </w:r>
          </w:p>
          <w:p>
            <w:pPr>
              <w:pStyle w:val="TableContents"/>
              <w:bidi w:val="0"/>
              <w:spacing w:lineRule="auto" w:line="285" w:before="0" w:after="0"/>
              <w:ind w:left="0" w:right="0" w:hanging="0"/>
              <w:jc w:val="left"/>
              <w:rPr>
                <w:rFonts w:ascii="Times" w:hAnsi="Times"/>
                <w:sz w:val="24"/>
              </w:rPr>
            </w:pPr>
            <w:r>
              <w:rPr>
                <w:rFonts w:ascii="Times" w:hAnsi="Times"/>
                <w:sz w:val="24"/>
              </w:rPr>
              <w:t>US $[***]</w:t>
            </w:r>
          </w:p>
        </w:tc>
      </w:tr>
      <w:tr>
        <w:trPr/>
        <w:tc>
          <w:tcPr>
            <w:tcW w:w="3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240" w:hanging="0"/>
              <w:jc w:val="right"/>
              <w:rPr>
                <w:rFonts w:ascii="Times" w:hAnsi="Times"/>
                <w:sz w:val="24"/>
              </w:rPr>
            </w:pPr>
            <w:r>
              <w:rPr>
                <w:rFonts w:ascii="Times" w:hAnsi="Times"/>
                <w:sz w:val="24"/>
              </w:rPr>
              <w:t xml:space="preserve">January 1, 2024 </w:t>
            </w:r>
          </w:p>
          <w:p>
            <w:pPr>
              <w:pStyle w:val="TableContents"/>
              <w:bidi w:val="0"/>
              <w:spacing w:lineRule="auto" w:line="285" w:before="0" w:after="0"/>
              <w:ind w:left="0" w:right="0" w:hanging="0"/>
              <w:jc w:val="right"/>
              <w:rPr>
                <w:rFonts w:ascii="Times" w:hAnsi="Times"/>
                <w:sz w:val="24"/>
              </w:rPr>
            </w:pPr>
            <w:r>
              <w:rPr>
                <w:rFonts w:ascii="Times" w:hAnsi="Times"/>
                <w:sz w:val="24"/>
              </w:rPr>
              <w:t xml:space="preserve">through March 31, 2024 </w:t>
            </w:r>
          </w:p>
        </w:tc>
        <w:tc>
          <w:tcPr>
            <w:tcW w:w="7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firstLine="1604"/>
              <w:jc w:val="left"/>
              <w:rPr/>
            </w:pPr>
            <w:r>
              <w:rPr/>
              <w:t>​</w:t>
            </w:r>
          </w:p>
          <w:p>
            <w:pPr>
              <w:pStyle w:val="TableContents"/>
              <w:bidi w:val="0"/>
              <w:spacing w:lineRule="auto" w:line="285" w:before="0" w:after="0"/>
              <w:ind w:left="0" w:right="0" w:hanging="0"/>
              <w:jc w:val="left"/>
              <w:rPr>
                <w:rFonts w:ascii="Times" w:hAnsi="Times"/>
                <w:sz w:val="24"/>
              </w:rPr>
            </w:pPr>
            <w:r>
              <w:rPr>
                <w:rFonts w:ascii="Times" w:hAnsi="Times"/>
                <w:sz w:val="24"/>
              </w:rPr>
              <w:t>US $[***]</w:t>
            </w:r>
          </w:p>
        </w:tc>
      </w:tr>
      <w:tr>
        <w:trPr/>
        <w:tc>
          <w:tcPr>
            <w:tcW w:w="30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240" w:hanging="0"/>
              <w:jc w:val="right"/>
              <w:rPr>
                <w:rFonts w:ascii="Times" w:hAnsi="Times"/>
                <w:sz w:val="24"/>
              </w:rPr>
            </w:pPr>
            <w:r>
              <w:rPr>
                <w:rFonts w:ascii="Times" w:hAnsi="Times"/>
                <w:sz w:val="24"/>
              </w:rPr>
              <w:t xml:space="preserve">Any four (4) quarter period </w:t>
            </w:r>
          </w:p>
          <w:p>
            <w:pPr>
              <w:pStyle w:val="TableContents"/>
              <w:bidi w:val="0"/>
              <w:spacing w:lineRule="auto" w:line="285" w:before="0" w:after="0"/>
              <w:ind w:left="0" w:right="0" w:hanging="0"/>
              <w:jc w:val="right"/>
              <w:rPr>
                <w:rFonts w:ascii="Times" w:hAnsi="Times"/>
                <w:sz w:val="24"/>
              </w:rPr>
            </w:pPr>
            <w:r>
              <w:rPr>
                <w:rFonts w:ascii="Times" w:hAnsi="Times"/>
                <w:sz w:val="24"/>
              </w:rPr>
              <w:t>following April 1, 2024</w:t>
            </w:r>
          </w:p>
        </w:tc>
        <w:tc>
          <w:tcPr>
            <w:tcW w:w="714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firstLine="1512"/>
              <w:jc w:val="left"/>
              <w:rPr/>
            </w:pPr>
            <w:r>
              <w:rPr/>
              <w:t>​</w:t>
            </w:r>
          </w:p>
          <w:p>
            <w:pPr>
              <w:pStyle w:val="TableContents"/>
              <w:bidi w:val="0"/>
              <w:spacing w:lineRule="auto" w:line="285" w:before="0" w:after="0"/>
              <w:ind w:left="0" w:right="0" w:firstLine="1514"/>
              <w:jc w:val="left"/>
              <w:rPr>
                <w:rFonts w:ascii="Times" w:hAnsi="Times"/>
                <w:sz w:val="24"/>
              </w:rPr>
            </w:pPr>
            <w:r>
              <w:rPr>
                <w:rFonts w:ascii="Times" w:hAnsi="Times"/>
                <w:sz w:val="24"/>
              </w:rPr>
              <w:t xml:space="preserve">US $[***] </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7.2.</w:t>
            </w:r>
          </w:p>
        </w:tc>
        <w:tc>
          <w:tcPr>
            <w:tcW w:w="98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Distributor’s Termination Rights</w:t>
            </w:r>
            <w:r>
              <w:rPr>
                <w:rFonts w:ascii="Times New Roman;Times;serif" w:hAnsi="Times New Roman;Times;serif"/>
                <w:b w:val="false"/>
                <w:i w:val="false"/>
                <w:caps w:val="false"/>
                <w:smallCaps w:val="false"/>
                <w:sz w:val="24"/>
              </w:rPr>
              <w:t xml:space="preserve">.  Distributor shall have the right to terminate this Agreement or the Option upon delivery of written notice to Supplier: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38"/>
        <w:gridCol w:w="9644"/>
      </w:tblGrid>
      <w:tr>
        <w:trPr/>
        <w:tc>
          <w:tcPr>
            <w:tcW w:w="2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7.2.1.</w:t>
            </w:r>
          </w:p>
        </w:tc>
        <w:tc>
          <w:tcPr>
            <w:tcW w:w="9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After a period of twelve (12) months following the Effective Date, for convenience upon delivery of sixty (60) days prior written notice to Supplier; or </w:t>
            </w:r>
          </w:p>
        </w:tc>
      </w:tr>
    </w:tbl>
    <w:p>
      <w:pPr>
        <w:pStyle w:val="TextBody"/>
        <w:bidi w:val="0"/>
        <w:spacing w:lineRule="auto" w:line="285" w:before="0" w:after="0"/>
        <w:ind w:left="1224"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14"/>
        <w:gridCol w:w="9668"/>
      </w:tblGrid>
      <w:tr>
        <w:trPr/>
        <w:tc>
          <w:tcPr>
            <w:tcW w:w="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7.2.2.</w:t>
            </w:r>
          </w:p>
        </w:tc>
        <w:tc>
          <w:tcPr>
            <w:tcW w:w="9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the insolvency of Supplier or any action causing Supplier to avail itself of laws for the protection of debtors, including, without limitation, the appointment of a receiver or the like, a complete or partial moratorium on payment of debt, a petition in bankruptcy or the like filed by or against Supplier, or an assignment of all or a portion of Supplier’s assets for the benefit of its creditors; or</w:t>
            </w:r>
          </w:p>
        </w:tc>
      </w:tr>
    </w:tbl>
    <w:p>
      <w:pPr>
        <w:pStyle w:val="TextBody"/>
        <w:bidi w:val="0"/>
        <w:spacing w:lineRule="auto" w:line="285" w:before="0" w:after="0"/>
        <w:ind w:left="1224" w:right="0" w:hanging="0"/>
        <w:jc w:val="both"/>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528"/>
        <w:gridCol w:w="9654"/>
      </w:tblGrid>
      <w:tr>
        <w:trPr/>
        <w:tc>
          <w:tcPr>
            <w:tcW w:w="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7.2.3.</w:t>
            </w:r>
          </w:p>
        </w:tc>
        <w:tc>
          <w:tcPr>
            <w:tcW w:w="96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the occurrence of any one or more of the following events, which event has not been cured within thirty (30) days after the written notice thereof to Supplier specifying the nature of the alleged default:</w:t>
            </w:r>
          </w:p>
        </w:tc>
      </w:tr>
    </w:tbl>
    <w:p>
      <w:pPr>
        <w:pStyle w:val="TextBody"/>
        <w:bidi w:val="0"/>
        <w:spacing w:lineRule="auto" w:line="285" w:before="0" w:after="0"/>
        <w:ind w:left="1224" w:right="0" w:hanging="0"/>
        <w:jc w:val="both"/>
        <w:rPr/>
      </w:pPr>
      <w:r>
        <w:rPr/>
        <w:t>​</w:t>
      </w:r>
    </w:p>
    <w:p>
      <w:pPr>
        <w:pStyle w:val="TextBody"/>
        <w:bidi w:val="0"/>
        <w:spacing w:lineRule="auto" w:line="285"/>
        <w:ind w:left="1080" w:right="0" w:hanging="0"/>
        <w:jc w:val="both"/>
        <w:rPr>
          <w:rFonts w:ascii="Times New Roman;Times;serif" w:hAnsi="Times New Roman;Times;serif"/>
          <w:sz w:val="24"/>
        </w:rPr>
      </w:pPr>
      <w:r>
        <w:rPr>
          <w:rFonts w:ascii="Times New Roman;Times;serif" w:hAnsi="Times New Roman;Times;serif"/>
          <w:sz w:val="24"/>
        </w:rPr>
        <w:t>7.2.3.1.Material breach of the Agreement by Supplier or breach by Supplier of any of its obligations and/or representations and warranties, as applicable, under Sections 2.1, 3.1, 3.2, 3.9, 3.12, 3.13, 4.1, 4.3, 6, 8, 11, or 12 of this Agreement.</w:t>
      </w:r>
    </w:p>
    <w:p>
      <w:pPr>
        <w:pStyle w:val="TextBody"/>
        <w:bidi w:val="0"/>
        <w:spacing w:lineRule="auto" w:line="285" w:before="0" w:after="0"/>
        <w:ind w:left="1728"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380"/>
        <w:gridCol w:w="3485"/>
      </w:tblGrid>
      <w:tr>
        <w:trPr/>
        <w:tc>
          <w:tcPr>
            <w:tcW w:w="3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7.3.</w:t>
            </w:r>
          </w:p>
        </w:tc>
        <w:tc>
          <w:tcPr>
            <w:tcW w:w="34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Effect of Termination or Expiration</w:t>
            </w:r>
            <w:r>
              <w:rPr>
                <w:rFonts w:ascii="Times New Roman;Times;serif" w:hAnsi="Times New Roman;Times;serif"/>
                <w:b w:val="false"/>
                <w:i w:val="false"/>
                <w:caps w:val="false"/>
                <w:smallCaps w:val="false"/>
                <w:sz w:val="24"/>
              </w:rPr>
              <w:t xml:space="preserve">.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13"/>
        <w:gridCol w:w="9669"/>
      </w:tblGrid>
      <w:tr>
        <w:trPr/>
        <w:tc>
          <w:tcPr>
            <w:tcW w:w="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7.3.1.</w:t>
            </w:r>
          </w:p>
        </w:tc>
        <w:tc>
          <w:tcPr>
            <w:tcW w:w="96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any expiration of the Term without exercise of the Option or earlier termination of this Agreement for any reason, each Receiving Party shall promptly return to the Disclosing Party or destroy (together with a certification of destruction executed by an officer or director of Distributor) all copies of the Disclosing Party’s Confidential Information in the possession or control of the Receiving Party.</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18"/>
        <w:gridCol w:w="9664"/>
      </w:tblGrid>
      <w:tr>
        <w:trPr/>
        <w:tc>
          <w:tcPr>
            <w:tcW w:w="2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7.3.2.</w:t>
            </w:r>
          </w:p>
        </w:tc>
        <w:tc>
          <w:tcPr>
            <w:tcW w:w="9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Upon expiration of the Term without exercise of the Option or if the parties have failed to enter into a binding Acquisition Agreement and consummate the transactions thereunder within ninety (90) days of exercise of the Option, or upon termination of this Agreement by either Supplier or Distributor,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7.4.</w:t>
            </w:r>
          </w:p>
        </w:tc>
        <w:tc>
          <w:tcPr>
            <w:tcW w:w="98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Outstanding Liabilities</w:t>
            </w:r>
            <w:r>
              <w:rPr>
                <w:rFonts w:ascii="Times New Roman;Times;serif" w:hAnsi="Times New Roman;Times;serif"/>
                <w:b w:val="false"/>
                <w:i w:val="false"/>
                <w:caps w:val="false"/>
                <w:smallCaps w:val="false"/>
                <w:sz w:val="24"/>
              </w:rPr>
              <w:t>. Notwithstanding expiration or termination of this Agreement, the parties shall each remain liable to the other for any indebtedness or other liability directly arising under this Agreement. If this Agreement is terminated, the due date of all unpaid or partially paid invoices shall be the earlier of the original date of the invoice or the date of the effectiveness of the termination.  Invoices not paid within five (5) days after payment is due as set forth in the preceding sentence shall bear interest at the rate of 1.5% per month, or the maximum rate permitted by Applicable Law, whichever is lower.</w:t>
            </w:r>
          </w:p>
        </w:tc>
      </w:tr>
    </w:tbl>
    <w:p>
      <w:pPr>
        <w:pStyle w:val="TextBody"/>
        <w:bidi w:val="0"/>
        <w:spacing w:lineRule="auto" w:line="285" w:before="0" w:after="0"/>
        <w:ind w:left="720" w:right="0" w:hanging="0"/>
        <w:jc w:val="both"/>
        <w:rPr/>
      </w:pPr>
      <w:r>
        <w:rPr/>
        <w:t>​</w:t>
      </w:r>
    </w:p>
    <w:tbl>
      <w:tblPr>
        <w:tblW w:w="9745" w:type="dxa"/>
        <w:jc w:val="left"/>
        <w:tblInd w:w="0" w:type="dxa"/>
        <w:tblLayout w:type="fixed"/>
        <w:tblCellMar>
          <w:top w:w="0" w:type="dxa"/>
          <w:left w:w="0" w:type="dxa"/>
          <w:bottom w:w="0" w:type="dxa"/>
          <w:right w:w="0" w:type="dxa"/>
        </w:tblCellMar>
      </w:tblPr>
      <w:tblGrid>
        <w:gridCol w:w="380"/>
        <w:gridCol w:w="9365"/>
      </w:tblGrid>
      <w:tr>
        <w:trPr/>
        <w:tc>
          <w:tcPr>
            <w:tcW w:w="3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7.5.</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Sections 7.4-7.5, and 9-12, 14 and 15 shall survive the termination or expiration of this Agreement.</w:t>
            </w:r>
          </w:p>
        </w:tc>
      </w:tr>
    </w:tbl>
    <w:p>
      <w:pPr>
        <w:pStyle w:val="TextBody"/>
        <w:bidi w:val="0"/>
        <w:spacing w:lineRule="auto" w:line="285" w:before="0" w:after="0"/>
        <w:ind w:left="720" w:right="0" w:hanging="0"/>
        <w:jc w:val="both"/>
        <w:rPr/>
      </w:pPr>
      <w:r>
        <w:rPr/>
        <w:t>​</w:t>
      </w:r>
    </w:p>
    <w:tbl>
      <w:tblPr>
        <w:tblW w:w="4990" w:type="dxa"/>
        <w:jc w:val="left"/>
        <w:tblInd w:w="0" w:type="dxa"/>
        <w:tblLayout w:type="fixed"/>
        <w:tblCellMar>
          <w:top w:w="0" w:type="dxa"/>
          <w:left w:w="0" w:type="dxa"/>
          <w:bottom w:w="0" w:type="dxa"/>
          <w:right w:w="0" w:type="dxa"/>
        </w:tblCellMar>
      </w:tblPr>
      <w:tblGrid>
        <w:gridCol w:w="200"/>
        <w:gridCol w:w="4790"/>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8.</w:t>
            </w:r>
          </w:p>
        </w:tc>
        <w:tc>
          <w:tcPr>
            <w:tcW w:w="479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REPRESENTATIONS AND WARRANTIES</w:t>
            </w:r>
          </w:p>
        </w:tc>
      </w:tr>
    </w:tbl>
    <w:p>
      <w:pPr>
        <w:pStyle w:val="TextBody"/>
        <w:bidi w:val="0"/>
        <w:spacing w:lineRule="auto" w:line="285" w:before="0" w:after="0"/>
        <w:ind w:left="360" w:right="0" w:hanging="0"/>
        <w:jc w:val="both"/>
        <w:rPr/>
      </w:pPr>
      <w:r>
        <w:rPr/>
        <w:t>​</w:t>
      </w:r>
    </w:p>
    <w:p>
      <w:pPr>
        <w:pStyle w:val="TextBody"/>
        <w:bidi w:val="0"/>
        <w:spacing w:lineRule="auto" w:line="285"/>
        <w:ind w:left="0" w:right="0" w:hanging="0"/>
        <w:jc w:val="both"/>
        <w:rPr>
          <w:rFonts w:ascii="Times New Roman;Times;serif" w:hAnsi="Times New Roman;Times;serif"/>
          <w:sz w:val="24"/>
        </w:rPr>
      </w:pPr>
      <w:r>
        <w:rPr>
          <w:rFonts w:ascii="Times New Roman;Times;serif" w:hAnsi="Times New Roman;Times;serif"/>
          <w:sz w:val="24"/>
        </w:rPr>
        <w:t>8.1.In addition to the representations and warranties by the parties set forth herein, each party represents, warrants and covenants that:</w:t>
      </w:r>
    </w:p>
    <w:p>
      <w:pPr>
        <w:pStyle w:val="TextBody"/>
        <w:bidi w:val="0"/>
        <w:spacing w:lineRule="auto" w:line="285" w:before="0" w:after="0"/>
        <w:ind w:left="720" w:right="0" w:hanging="0"/>
        <w:jc w:val="both"/>
        <w:rPr/>
      </w:pPr>
      <w:r>
        <w:rPr/>
        <w:t>​</w:t>
      </w:r>
    </w:p>
    <w:tbl>
      <w:tblPr>
        <w:tblW w:w="7128" w:type="dxa"/>
        <w:jc w:val="left"/>
        <w:tblInd w:w="0" w:type="dxa"/>
        <w:tblLayout w:type="fixed"/>
        <w:tblCellMar>
          <w:top w:w="0" w:type="dxa"/>
          <w:left w:w="0" w:type="dxa"/>
          <w:bottom w:w="0" w:type="dxa"/>
          <w:right w:w="0" w:type="dxa"/>
        </w:tblCellMar>
      </w:tblPr>
      <w:tblGrid>
        <w:gridCol w:w="23"/>
        <w:gridCol w:w="560"/>
        <w:gridCol w:w="6545"/>
      </w:tblGrid>
      <w:tr>
        <w:trPr/>
        <w:tc>
          <w:tcPr>
            <w:tcW w:w="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8.1.1.</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a corporation duly formed, validly existing and in good standing;</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51"/>
        <w:gridCol w:w="9631"/>
      </w:tblGrid>
      <w:tr>
        <w:trPr/>
        <w:tc>
          <w:tcPr>
            <w:tcW w:w="2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8.1.2.</w:t>
            </w:r>
          </w:p>
        </w:tc>
        <w:tc>
          <w:tcPr>
            <w:tcW w:w="96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has all requisite corporate power and authority to execute, deliver and perform its obligations under this Agreement;</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25"/>
        <w:gridCol w:w="9657"/>
      </w:tblGrid>
      <w:tr>
        <w:trPr/>
        <w:tc>
          <w:tcPr>
            <w:tcW w:w="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8.1.3.</w:t>
            </w:r>
          </w:p>
        </w:tc>
        <w:tc>
          <w:tcPr>
            <w:tcW w:w="9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execution, delivery and performance of this Agreement (i) has been duly authorized, and (ii) shall not conflict with, result in a breach of or constitute a default under any other agreement to which the party is bound; and</w:t>
            </w:r>
          </w:p>
        </w:tc>
      </w:tr>
    </w:tbl>
    <w:p>
      <w:pPr>
        <w:pStyle w:val="TextBody"/>
        <w:bidi w:val="0"/>
        <w:spacing w:lineRule="auto" w:line="285" w:before="0" w:after="0"/>
        <w:ind w:left="1440" w:right="0" w:hanging="0"/>
        <w:jc w:val="both"/>
        <w:rPr/>
      </w:pPr>
      <w:r>
        <w:rPr/>
        <w:t>​</w:t>
      </w:r>
    </w:p>
    <w:p>
      <w:pPr>
        <w:pStyle w:val="HorizontalLine"/>
        <w:pBdr>
          <w:bottom w:val="double" w:sz="2" w:space="0" w:color="808080"/>
        </w:pBdr>
        <w:bidi w:val="0"/>
        <w:spacing w:before="0" w:after="283"/>
        <w:jc w:val="left"/>
        <w:rPr/>
      </w:pPr>
      <w:r>
        <w:rPr/>
      </w:r>
    </w:p>
    <w:tbl>
      <w:tblPr>
        <w:tblW w:w="9873" w:type="dxa"/>
        <w:jc w:val="left"/>
        <w:tblInd w:w="0" w:type="dxa"/>
        <w:tblLayout w:type="fixed"/>
        <w:tblCellMar>
          <w:top w:w="0" w:type="dxa"/>
          <w:left w:w="0" w:type="dxa"/>
          <w:bottom w:w="0" w:type="dxa"/>
          <w:right w:w="0" w:type="dxa"/>
        </w:tblCellMar>
      </w:tblPr>
      <w:tblGrid>
        <w:gridCol w:w="23"/>
        <w:gridCol w:w="560"/>
        <w:gridCol w:w="9290"/>
      </w:tblGrid>
      <w:tr>
        <w:trPr/>
        <w:tc>
          <w:tcPr>
            <w:tcW w:w="2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8.1.4.</w:t>
            </w:r>
          </w:p>
        </w:tc>
        <w:tc>
          <w:tcPr>
            <w:tcW w:w="9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It is duly licensed, authorized or qualified to do business and is in good standing in the Territory.   </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323"/>
        <w:gridCol w:w="9859"/>
      </w:tblGrid>
      <w:tr>
        <w:trPr/>
        <w:tc>
          <w:tcPr>
            <w:tcW w:w="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8.2.</w:t>
            </w:r>
          </w:p>
        </w:tc>
        <w:tc>
          <w:tcPr>
            <w:tcW w:w="98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Supplier hereby represents, warrants and covenants to Distributor that, as of the Effective Date and to Supplier’s knowledge, (i) there is no pending or threatened claim, action, suit or proceeding involving a claim that the manufacture, distribution or sale of any Products, or the use of  any materials to be provided by Supplier to Distributor hereunder, infringes or violates the intellectual property rights of any third person; (ii) the manufacture, distribution or sale of any Products or the use of any materials to be provided by Supplier to Distributor, does not infringe or violate the intellectual property rights of any third party; (iii) there is no recall or safety issue with regard to any Products which would reasonably be expected to impair the ability of Distributor to successfully market and sell any Products; (iv) it has good and unencumbered title or license to the Products delivered to Distributor hereunder; (v) other than the GPO Agreements and as set forth on Schedule 8.2(v), it is not a party to any agreement with a customer or other third party that includes a most-favored customer, pricing or other favorable consideration obligation with respect to any Product; and (vi) it has provided Distributor with a copy of each of its GPO Agreements, and the aggregate amount of fees paid and payable thereunder with respect to sales in calendar 2022 of Products for use in the Territory is approximately $80,000; and (vii) set forth on Schedule 8.2(vii) is a summary of product liability claims made against Supplier since January 1, 2021 with respect to any Product.</w:t>
            </w:r>
          </w:p>
        </w:tc>
      </w:tr>
    </w:tbl>
    <w:p>
      <w:pPr>
        <w:pStyle w:val="TextBody"/>
        <w:bidi w:val="0"/>
        <w:spacing w:lineRule="auto" w:line="285" w:before="0" w:after="0"/>
        <w:ind w:left="720" w:right="0" w:hanging="0"/>
        <w:jc w:val="both"/>
        <w:rPr/>
      </w:pPr>
      <w:r>
        <w:rPr/>
        <w:t>​</w:t>
      </w:r>
    </w:p>
    <w:tbl>
      <w:tblPr>
        <w:tblW w:w="2845" w:type="dxa"/>
        <w:jc w:val="left"/>
        <w:tblInd w:w="0" w:type="dxa"/>
        <w:tblLayout w:type="fixed"/>
        <w:tblCellMar>
          <w:top w:w="0" w:type="dxa"/>
          <w:left w:w="0" w:type="dxa"/>
          <w:bottom w:w="0" w:type="dxa"/>
          <w:right w:w="0" w:type="dxa"/>
        </w:tblCellMar>
      </w:tblPr>
      <w:tblGrid>
        <w:gridCol w:w="200"/>
        <w:gridCol w:w="2645"/>
      </w:tblGrid>
      <w:tr>
        <w:trPr/>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9.</w:t>
            </w:r>
          </w:p>
        </w:tc>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LIMITED WARRANTY</w:t>
            </w:r>
            <w:bookmarkStart w:id="918" w:name="_Ref505074067"/>
            <w:bookmarkEnd w:id="918"/>
          </w:p>
        </w:tc>
      </w:tr>
    </w:tbl>
    <w:p>
      <w:pPr>
        <w:pStyle w:val="TextBody"/>
        <w:bidi w:val="0"/>
        <w:spacing w:lineRule="auto" w:line="285" w:before="0" w:after="0"/>
        <w:ind w:left="360" w:right="0" w:hanging="0"/>
        <w:jc w:val="both"/>
        <w:rPr/>
      </w:pPr>
      <w:r>
        <w:rPr/>
        <w:t>​</w:t>
      </w:r>
    </w:p>
    <w:p>
      <w:pPr>
        <w:pStyle w:val="TextBody"/>
        <w:bidi w:val="0"/>
        <w:spacing w:lineRule="auto" w:line="285"/>
        <w:ind w:left="0" w:right="0" w:hanging="0"/>
        <w:jc w:val="both"/>
        <w:rPr>
          <w:rFonts w:ascii="Times" w:hAnsi="Times"/>
          <w:sz w:val="24"/>
        </w:rPr>
      </w:pPr>
      <w:r>
        <w:rPr>
          <w:rFonts w:ascii="Times New Roman;Times;serif" w:hAnsi="Times New Roman;Times;serif"/>
          <w:sz w:val="24"/>
        </w:rPr>
        <w:t xml:space="preserve">9.1.In addition to the express warranties by Supplier hereunder, Supplier warrants that </w:t>
      </w:r>
      <w:r>
        <w:rPr>
          <w:rFonts w:ascii="Times" w:hAnsi="Times"/>
          <w:sz w:val="24"/>
        </w:rPr>
        <w:t xml:space="preserve">Products supplied to Distributor hereunder shall: (a) conform to the Specifications, any documentation, and any materials published by Supplier with respect to each of the Products, and (b) be manufactured, labeled, packaged and tested (while in the possession or control of Supplier) in accordance with the applicable regulatory authorities, including those set forth in Section 6.1, and (c) be free from material defects in materials and workmanship. </w:t>
      </w:r>
      <w:r>
        <w:rPr>
          <w:rFonts w:ascii="Times New Roman;Times;serif" w:hAnsi="Times New Roman;Times;serif"/>
          <w:sz w:val="24"/>
        </w:rPr>
        <w:t xml:space="preserve">SUPPLIER MAKE NO FURTHER REPRESENTATIONS OR WARRANTIES OF ANY KIND, NATURE OR DESCRIPTION, EXPRESS OR IMPLIED, BY STATUTE, COMMON LAW OR OTHERWISE, INCLUDING, WITHOUT LIMITATION, ANY WARRANTY OF MERCHANTABILITY, OR FITNESS OF ANY OF THE PRODUCTS FOR ANY PARTICULAR PURPOSE AND HEREBY DISCLAIMS THE SAME. </w:t>
      </w:r>
    </w:p>
    <w:p>
      <w:pPr>
        <w:pStyle w:val="TextBody"/>
        <w:bidi w:val="0"/>
        <w:spacing w:lineRule="auto" w:line="285" w:before="0" w:after="0"/>
        <w:ind w:left="720" w:right="0" w:hanging="0"/>
        <w:jc w:val="both"/>
        <w:rPr/>
      </w:pPr>
      <w:bookmarkStart w:id="919" w:name="_Ref505074303"/>
      <w:bookmarkEnd w:id="919"/>
      <w:r>
        <w:rPr/>
        <w:t>​</w:t>
      </w:r>
    </w:p>
    <w:tbl>
      <w:tblPr>
        <w:tblW w:w="6925" w:type="dxa"/>
        <w:jc w:val="left"/>
        <w:tblInd w:w="0" w:type="dxa"/>
        <w:tblLayout w:type="fixed"/>
        <w:tblCellMar>
          <w:top w:w="0" w:type="dxa"/>
          <w:left w:w="0" w:type="dxa"/>
          <w:bottom w:w="0" w:type="dxa"/>
          <w:right w:w="0" w:type="dxa"/>
        </w:tblCellMar>
      </w:tblPr>
      <w:tblGrid>
        <w:gridCol w:w="320"/>
        <w:gridCol w:w="6605"/>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10.</w:t>
            </w:r>
          </w:p>
        </w:tc>
        <w:tc>
          <w:tcPr>
            <w:tcW w:w="660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LIMITATION OF LIABILITY; LIMITATION ON ACTIONS </w:t>
            </w:r>
          </w:p>
        </w:tc>
      </w:tr>
    </w:tbl>
    <w:p>
      <w:pPr>
        <w:pStyle w:val="TextBody"/>
        <w:bidi w:val="0"/>
        <w:spacing w:lineRule="auto" w:line="285"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10.1.</w:t>
            </w:r>
          </w:p>
        </w:tc>
        <w:tc>
          <w:tcPr>
            <w:tcW w:w="97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NOTHING IN THIS AGREEMENT SHALL LIMIT OR EXCLUDE THE LIABILITY OF EITHER PARTY FOR: (A) DEATH, OR PERSONAL INJURY OR PROPERTY DAMAGE; (B) FRAUD OR FRAUDULENT MISREPRESENTATION; (C) GROSS NEGLIGENCE OR WILLFUL MISCONDUCT; (D) ANY OTHER LIABILITY THAT CANNOT BE EXCLUDED UNDER APPLICABLE LAW; AND (E) BREACH OF SECTION 1.2 (THE “</w:t>
            </w:r>
            <w:r>
              <w:rPr>
                <w:rFonts w:ascii="Times New Roman;Times;serif" w:hAnsi="Times New Roman;Times;serif"/>
                <w:b w:val="false"/>
                <w:i w:val="false"/>
                <w:caps w:val="false"/>
                <w:smallCaps w:val="false"/>
                <w:sz w:val="24"/>
                <w:u w:val="single"/>
              </w:rPr>
              <w:t>EXCLUDED CLAIMS</w:t>
            </w:r>
            <w:r>
              <w:rPr>
                <w:caps w:val="false"/>
                <w:smallCaps w:val="false"/>
              </w:rPr>
              <w:t>”</w:t>
            </w:r>
            <w:r>
              <w:rPr>
                <w:rFonts w:ascii="Times New Roman;Times;serif" w:hAnsi="Times New Roman;Times;serif"/>
                <w:b w:val="false"/>
                <w:i w:val="false"/>
                <w:caps w:val="false"/>
                <w:smallCaps w:val="false"/>
                <w:sz w:val="24"/>
              </w:rPr>
              <w:t xml:space="preserve">).  NEITHER PARTY’S LIABILITY FOR STRICT PRODUCT LIABILITY CLAIMS SHALL EXCEED TEN MILLION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DOLLARS ($10,000,000). OTHER THAN THE EXCLUDED CLAIMS AND CLAIMS FOR STRICT PRODUCT LIABILITY, IN NO EVENT WILL EITHER PARTY OR ITS RESPECTIVE AFFILIATES, OFFICERS, DIRECTORS, EMPLOYEES OR AGENTS, BE LIABLE FOR LOSS OF PROFITS, USE, BUSINESS, CUSTOMERS, FUTURE BUSINESS, CONTRACTS, ANTICIPATED SAVINGS, GOODWILL, REVENUE OR ANY WASTED EXPENDITURE (REGARDLESS OF WHETHER ANY OF THESE TYPES OF LOSS OR DAMAGE ARE DIRECT, SPECIAL, INDIRECT, INCIDENTAL OR CONSEQUENTIAL) OR ANY INDIRECT, SPECIAL, INCIDENTAL, OR CONSEQUENTIAL DAMAGES ARISING OUT OF OR IN CONNECTION WITH THIS AGREEMENT OR THE TRANSACTIONS CONTEMPLATED HEREUNDER REGARDLESS OF THE FORM OF ACTION (WHETHER FROM BREACH OF CONTRACT, BREACH OF WARRANTY, OR FROM NEGLIGENCE, STRICT LIABILITY, BREACH OF STATUTORY DUTY, LIABILITY UNDER INDEMNITIES, OR ANY OTHER FORM OF ACTION), EVEN IF SUCH PARTY HAS BEEN ADVISED OF THE POSSIBILITY OF SUCH DAMAGES, TO THE EXTENT PERMISSIBLE UNDER APPLICABLE LAW.  OTHER THAN THE EXCLUDED CLAIMS, CLAIMS FOR STRICT PRODUCT LIABILITY AND CLAIMS PURSUANT TO SECTION 11.1.2(III), IN NO EVENT WILL EITHER PARTY’S TOTAL AGGREGATE LIABILITY (HOWEVER ARISING) UNDER, OUT OF OR IN CONNECTION WITH, OR TO THIS AGREEMENT, INCLUDING (BUT NOT LIMITED TO) LIABILITY FOR BREACH OF CONTRACT, MISREPRESENTATION (WHETHER TORTIOUS OR STATUTORY), TORT (INCLUDING BUT NOT LIMITED TO NEGLIGENCE), BREACH OF STATUTORY DUTY, LIABILITY UNDER INDEMNITIES, OR OTHERWISE, EXCEED THE SUM OF ALL AMOUNTS ACTUALLY PAID TO SUPPLIER BY DISTRIBUTOR DURING THE TWELVE (12) MONTH PERIOD IMMEDIATELY PRECEDING THE FIRST EVENT GIVING RISE TO LIABILITY.  THIS LIMITATION OF LIABILITY IS CUMULATIVE, WITH ALL PAYMENTS BEING AGGREGATED TO DETERMINE SATISFACTION OF THE LIMIT.  THE EXISTENCE OF TWO OR MORE CLAIMS OR SUITS WILL NOT ENLARGE THIS LIMIT.  THE PARTIES ACKNOWLEDGE THAT THE TERMS AND CONDITIONS, INCLUDING THE PRICES, SPECIFIED IN THIS AGREEMENT REFLECT THE ALLOCATION OF RISK SET FORTH IN THIS AGREEMENT AND THAT NEITHER PARTY WOULD ENTER INTO THIS AGREEMENT WITHOUT THE FOREGOING LIMITATIONS OF LIABILITY AND THE WARRANTY DISCLAIMERS CONTAINED HEREIN.  THE FOREGOING LIMITATIONS OF LIABILITY SHALL APPLY NOTWITHSTANDING THE FAILURE OF AN ESSENTIAL PURPOSE OF ANY PROVISION OR LIMITED REMEDY HEREIN.</w:t>
            </w:r>
          </w:p>
        </w:tc>
      </w:tr>
    </w:tbl>
    <w:p>
      <w:pPr>
        <w:pStyle w:val="TextBody"/>
        <w:bidi w:val="0"/>
        <w:spacing w:lineRule="auto" w:line="285" w:before="0" w:after="0"/>
        <w:ind w:left="792"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10.2.</w:t>
            </w:r>
          </w:p>
        </w:tc>
        <w:tc>
          <w:tcPr>
            <w:tcW w:w="97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No action, regardless of form, arising out of or in connection with the sale of Products under this Agreement (other than an action by Supplier for any amount due to Supplier from Distributor) may be brought more than one (1) year after the cause of action has arisen; provided, that (x) in the case of claims or actions for product liability, actions may also be brought until two (2) years after the product liability event, and (y) in the case of claims or actions relating to </w:t>
            </w:r>
            <w:r>
              <w:rPr>
                <w:rFonts w:ascii="Times" w:hAnsi="Times"/>
                <w:b w:val="false"/>
                <w:i w:val="false"/>
                <w:caps w:val="false"/>
                <w:smallCaps w:val="false"/>
                <w:sz w:val="24"/>
              </w:rPr>
              <w:t xml:space="preserve">Supplier’s manufacturers or Ligand related to the Patent Rights or the Ligand Royalty Agreement, no time limit shall apply such claims or actions.  Notwithstanding the foregoing, any action asserted in writing by notice from the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w:hAnsi="Times"/>
                <w:b w:val="false"/>
                <w:i w:val="false"/>
                <w:caps w:val="false"/>
                <w:smallCaps w:val="false"/>
                <w:sz w:val="24"/>
              </w:rPr>
            </w:pPr>
            <w:r>
              <w:rPr>
                <w:rFonts w:ascii="Times" w:hAnsi="Times"/>
                <w:b w:val="false"/>
                <w:i w:val="false"/>
                <w:caps w:val="false"/>
                <w:smallCaps w:val="false"/>
                <w:sz w:val="24"/>
              </w:rPr>
              <w:t>applicable non-breaching party or Indemnified Party to the breaching party or Indemnifying Party prior to the expiration date of the applicable survival period (and any subsequent claim or claims based on substantially the same facts) shall not thereafter be barred by the expiration of the relevant period and such claims shall survive until finally resolved.</w:t>
            </w:r>
          </w:p>
        </w:tc>
      </w:tr>
    </w:tbl>
    <w:p>
      <w:pPr>
        <w:pStyle w:val="TextBody"/>
        <w:bidi w:val="0"/>
        <w:spacing w:lineRule="auto" w:line="285" w:before="0" w:after="0"/>
        <w:ind w:left="792" w:right="0" w:hanging="0"/>
        <w:jc w:val="both"/>
        <w:rPr/>
      </w:pPr>
      <w:r>
        <w:rPr/>
        <w:t>​</w:t>
      </w:r>
    </w:p>
    <w:tbl>
      <w:tblPr>
        <w:tblW w:w="2725" w:type="dxa"/>
        <w:jc w:val="left"/>
        <w:tblInd w:w="0" w:type="dxa"/>
        <w:tblLayout w:type="fixed"/>
        <w:tblCellMar>
          <w:top w:w="0" w:type="dxa"/>
          <w:left w:w="0" w:type="dxa"/>
          <w:bottom w:w="0" w:type="dxa"/>
          <w:right w:w="0" w:type="dxa"/>
        </w:tblCellMar>
      </w:tblPr>
      <w:tblGrid>
        <w:gridCol w:w="320"/>
        <w:gridCol w:w="2405"/>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11.</w:t>
            </w:r>
          </w:p>
        </w:tc>
        <w:tc>
          <w:tcPr>
            <w:tcW w:w="240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INDEMNIFICATION </w:t>
            </w:r>
          </w:p>
        </w:tc>
      </w:tr>
    </w:tbl>
    <w:p>
      <w:pPr>
        <w:pStyle w:val="TextBody"/>
        <w:pBdr/>
        <w:bidi w:val="0"/>
        <w:spacing w:lineRule="auto" w:line="285" w:before="0" w:after="0"/>
        <w:ind w:left="0" w:right="0" w:hanging="720"/>
        <w:jc w:val="both"/>
        <w:rPr/>
      </w:pPr>
      <w:r>
        <w:rPr/>
        <w:t>​</w:t>
      </w:r>
    </w:p>
    <w:tbl>
      <w:tblPr>
        <w:tblW w:w="2185" w:type="dxa"/>
        <w:jc w:val="left"/>
        <w:tblInd w:w="0" w:type="dxa"/>
        <w:tblLayout w:type="fixed"/>
        <w:tblCellMar>
          <w:top w:w="0" w:type="dxa"/>
          <w:left w:w="0" w:type="dxa"/>
          <w:bottom w:w="0" w:type="dxa"/>
          <w:right w:w="0" w:type="dxa"/>
        </w:tblCellMar>
      </w:tblPr>
      <w:tblGrid>
        <w:gridCol w:w="500"/>
        <w:gridCol w:w="1685"/>
      </w:tblGrid>
      <w:tr>
        <w:trPr/>
        <w:tc>
          <w:tcPr>
            <w:tcW w:w="5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11.1.</w:t>
            </w:r>
          </w:p>
        </w:tc>
        <w:tc>
          <w:tcPr>
            <w:tcW w:w="16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Indemnification</w:t>
            </w:r>
            <w:r>
              <w:rPr>
                <w:rFonts w:ascii="Times New Roman;Times;serif" w:hAnsi="Times New Roman;Times;serif"/>
                <w:b w:val="false"/>
                <w:i w:val="false"/>
                <w:caps w:val="false"/>
                <w:smallCaps w:val="false"/>
                <w:sz w:val="24"/>
              </w:rPr>
              <w:t>.  </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5"/>
        <w:gridCol w:w="9557"/>
      </w:tblGrid>
      <w:tr>
        <w:trPr/>
        <w:tc>
          <w:tcPr>
            <w:tcW w:w="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11.1.1.</w:t>
            </w:r>
          </w:p>
        </w:tc>
        <w:tc>
          <w:tcPr>
            <w:tcW w:w="9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Distributor agrees to, at its expense, defend, indemnify and hold Supplier harmless from and against any and all claims, demands, liabilities, losses, costs and expenses (including, without limitation, reasonable attorneys’ fees), irrespective of the theory upon which based (including, without limitation, negligence and strict liability), Supplier may suffer or incur as a result of any claims, demands or actions by third parties arising out of any acts or omissions of Distributor or any of its officers, directors, employees or agents, relating to: (i) the breach of any material provisions of this Agreement, (ii) Distributor’s or any of its officers’, directors’, employees’ or agents’ fraud or gross negligence, (iii) representations or statements inconsistent with the Specifications or materials provided by Supplier to Distributor, or (iv) violation by Distributor (or any of its officers, directors, employees or agents) of any Applicable Laws.</w:t>
            </w:r>
          </w:p>
        </w:tc>
      </w:tr>
    </w:tbl>
    <w:p>
      <w:pPr>
        <w:pStyle w:val="TextBody"/>
        <w:bidi w:val="0"/>
        <w:spacing w:lineRule="auto" w:line="285" w:before="0" w:after="0"/>
        <w:ind w:left="1224"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5"/>
        <w:gridCol w:w="9557"/>
      </w:tblGrid>
      <w:tr>
        <w:trPr/>
        <w:tc>
          <w:tcPr>
            <w:tcW w:w="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11.1.2.</w:t>
            </w:r>
          </w:p>
        </w:tc>
        <w:tc>
          <w:tcPr>
            <w:tcW w:w="9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Supplier agrees to, at its expense, defend, indemnify and hold Distributor harmless from and against any and all claims, demands, liabilities, losses, costs and expenses (including, without limitation, reasonable attorneys’ fees), irrespective of the theory upon which based (including, without limitation, negligence and strict liability), the Distributor may suffer or incur as a result of any claims, demands or actions by third parties arising out of any acts or omissions of Supplier or any of its officers, directors, employees or agents, relating to: (i)  the breach of any material provisions of this Agreement; (ii) violation by Supplier (or any of its officers, directors, employees or agents) of any Applicable Laws, or (iii) infringement, misappropriation or other violation of any third party right by the Products in the Territory, provided, with respect to the Trademarks, Distributor has utilized the Trademarks in compliance with the terms of this Agreement or as directed by Supplier.</w:t>
            </w:r>
          </w:p>
        </w:tc>
      </w:tr>
    </w:tbl>
    <w:p>
      <w:pPr>
        <w:pStyle w:val="TextBody"/>
        <w:bidi w:val="0"/>
        <w:spacing w:lineRule="auto" w:line="285" w:before="0" w:after="0"/>
        <w:ind w:left="1224"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7"/>
        <w:gridCol w:w="9555"/>
      </w:tblGrid>
      <w:tr>
        <w:trPr/>
        <w:tc>
          <w:tcPr>
            <w:tcW w:w="2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11.1.3.</w:t>
            </w:r>
          </w:p>
        </w:tc>
        <w:tc>
          <w:tcPr>
            <w:tcW w:w="9555" w:type="dxa"/>
            <w:tcBorders/>
            <w:vAlign w:val="center"/>
          </w:tcPr>
          <w:p>
            <w:pPr>
              <w:pStyle w:val="TableContents"/>
              <w:bidi w:val="0"/>
              <w:spacing w:before="0" w:after="283"/>
              <w:jc w:val="left"/>
              <w:rPr/>
            </w:pPr>
            <w:bookmarkStart w:id="920" w:name="_Ref270362991"/>
            <w:bookmarkEnd w:id="920"/>
            <w:r>
              <w:rPr>
                <w:rFonts w:ascii="Times New Roman;Times;serif" w:hAnsi="Times New Roman;Times;serif"/>
                <w:b w:val="false"/>
                <w:i w:val="false"/>
                <w:caps w:val="false"/>
                <w:smallCaps w:val="false"/>
                <w:sz w:val="24"/>
              </w:rPr>
              <w:t>A party or parties entitled to indemnification hereunder with respect to a third party claim (the “</w:t>
            </w:r>
            <w:r>
              <w:rPr>
                <w:rFonts w:ascii="Times New Roman;Times;serif" w:hAnsi="Times New Roman;Times;serif"/>
                <w:b w:val="false"/>
                <w:i w:val="false"/>
                <w:caps w:val="false"/>
                <w:smallCaps w:val="false"/>
                <w:sz w:val="24"/>
                <w:u w:val="single"/>
              </w:rPr>
              <w:t>Indemnified Party</w:t>
            </w:r>
            <w:r>
              <w:rPr>
                <w:caps w:val="false"/>
                <w:smallCaps w:val="false"/>
              </w:rPr>
              <w:t>”</w:t>
            </w:r>
            <w:r>
              <w:rPr>
                <w:rFonts w:ascii="Times New Roman;Times;serif" w:hAnsi="Times New Roman;Times;serif"/>
                <w:b w:val="false"/>
                <w:i w:val="false"/>
                <w:caps w:val="false"/>
                <w:smallCaps w:val="false"/>
                <w:sz w:val="24"/>
              </w:rPr>
              <w:t>) will give the party or parties required to provide such indemnification (the “</w:t>
            </w:r>
            <w:r>
              <w:rPr>
                <w:rFonts w:ascii="Times New Roman;Times;serif" w:hAnsi="Times New Roman;Times;serif"/>
                <w:b w:val="false"/>
                <w:i w:val="false"/>
                <w:caps w:val="false"/>
                <w:smallCaps w:val="false"/>
                <w:sz w:val="24"/>
                <w:u w:val="single"/>
              </w:rPr>
              <w:t>Indemnifying Party</w:t>
            </w:r>
            <w:r>
              <w:rPr>
                <w:caps w:val="false"/>
                <w:smallCaps w:val="false"/>
              </w:rPr>
              <w:t>”</w:t>
            </w:r>
            <w:r>
              <w:rPr>
                <w:rFonts w:ascii="Times New Roman;Times;serif" w:hAnsi="Times New Roman;Times;serif"/>
                <w:b w:val="false"/>
                <w:i w:val="false"/>
                <w:caps w:val="false"/>
                <w:smallCaps w:val="false"/>
                <w:sz w:val="24"/>
              </w:rPr>
              <w:t>) prompt written notice, but not later than thirty (30) days after the Indemnified Party learns of the Claim, of any legal proceeding, claim or demand instituted by any third party (in each case, a “</w:t>
            </w:r>
            <w:r>
              <w:rPr>
                <w:rFonts w:ascii="Times New Roman;Times;serif" w:hAnsi="Times New Roman;Times;serif"/>
                <w:b w:val="false"/>
                <w:i w:val="false"/>
                <w:caps w:val="false"/>
                <w:smallCaps w:val="false"/>
                <w:sz w:val="24"/>
                <w:u w:val="single"/>
              </w:rPr>
              <w:t>Claim</w:t>
            </w:r>
            <w:r>
              <w:rPr>
                <w:caps w:val="false"/>
                <w:smallCaps w:val="false"/>
              </w:rPr>
              <w:t>”</w:t>
            </w:r>
            <w:r>
              <w:rPr>
                <w:rFonts w:ascii="Times New Roman;Times;serif" w:hAnsi="Times New Roman;Times;serif"/>
                <w:b w:val="false"/>
                <w:i w:val="false"/>
                <w:caps w:val="false"/>
                <w:smallCaps w:val="false"/>
                <w:sz w:val="24"/>
              </w:rPr>
              <w:t>) in respect of which the Indemnified Party is entitled to indemnification hereunder.</w:t>
            </w:r>
            <w:r>
              <w:rPr>
                <w:caps w:val="false"/>
                <w:smallCaps w:val="false"/>
              </w:rPr>
              <w:t xml:space="preserve">  </w:t>
            </w:r>
            <w:r>
              <w:rPr>
                <w:rFonts w:ascii="Times New Roman;Times;serif" w:hAnsi="Times New Roman;Times;serif"/>
                <w:b w:val="false"/>
                <w:i w:val="false"/>
                <w:caps w:val="false"/>
                <w:smallCaps w:val="false"/>
                <w:sz w:val="24"/>
              </w:rPr>
              <w:t xml:space="preserve">The Indemnifying Party shall have the right, at the Indemnifying Party’s expense, to defend against, negotiate, settle or otherwise deal with such Claim provided that the Indemnifying Party provides written notice to the Indemnified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Party stating that the Indemnifying Party is responsible for the entire Claim within 10 days after the Indemnifying Party’s receipt of written notice from the Indemnified Party of such claim, the Claim is not reasonably anticipated to have a material adverse effect on the Indemnified Party, the Claim does not relate to a dispute with a customer or business partner of the Indemnified Party, or the matter relates to any criminal proceeding, indictment or investigation.  The Indemnified Party shall reasonably cooperate with the Indemnifying Party to facilitate the defense of any such Claim.  The Indemnified Party may, at its option and expense, choose to participate in the defense of the Claim represented by counsel, reasonably satisfactory to the Indemnified Party.  The Indemnified Party may take over the defense and prosecution of a Claim from the Indemnifying Party if the Indemnifying Party has failed or is failing to vigorously prosecute or defend such Claim.  The Indemnifying Party may not enter into a settlement of any Claim unless such settlement provides solely for monetary damages for which the Indemnified Party is indemnified hereunder for the entirety of such monetary amount.  The Indemnified Party may assume control of the settlement of a Claim if the Indemnifying Party fails or refuses to defend the Indemnified Party .</w:t>
            </w:r>
          </w:p>
        </w:tc>
      </w:tr>
    </w:tbl>
    <w:p>
      <w:pPr>
        <w:pStyle w:val="TextBody"/>
        <w:bidi w:val="0"/>
        <w:spacing w:lineRule="auto" w:line="285" w:before="0" w:after="0"/>
        <w:ind w:left="0" w:right="0" w:hanging="0"/>
        <w:jc w:val="both"/>
        <w:rPr/>
      </w:pPr>
      <w:r>
        <w:rPr/>
        <w:t>​</w:t>
      </w:r>
    </w:p>
    <w:tbl>
      <w:tblPr>
        <w:tblW w:w="2680" w:type="dxa"/>
        <w:jc w:val="left"/>
        <w:tblInd w:w="0" w:type="dxa"/>
        <w:tblLayout w:type="fixed"/>
        <w:tblCellMar>
          <w:top w:w="0" w:type="dxa"/>
          <w:left w:w="0" w:type="dxa"/>
          <w:bottom w:w="0" w:type="dxa"/>
          <w:right w:w="0" w:type="dxa"/>
        </w:tblCellMar>
      </w:tblPr>
      <w:tblGrid>
        <w:gridCol w:w="320"/>
        <w:gridCol w:w="2360"/>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12.</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CONFIDENTIALITY</w:t>
            </w:r>
            <w:bookmarkStart w:id="921" w:name="_Ref505072481"/>
            <w:bookmarkEnd w:id="921"/>
          </w:p>
        </w:tc>
      </w:tr>
    </w:tbl>
    <w:p>
      <w:pPr>
        <w:pStyle w:val="TextBody"/>
        <w:pBdr/>
        <w:bidi w:val="0"/>
        <w:spacing w:lineRule="auto" w:line="285" w:before="0" w:after="0"/>
        <w:ind w:left="0" w:right="0" w:hanging="720"/>
        <w:jc w:val="both"/>
        <w:rPr/>
      </w:pPr>
      <w:r>
        <w:rPr/>
        <w:t>​</w:t>
      </w:r>
    </w:p>
    <w:p>
      <w:pPr>
        <w:pStyle w:val="TextBody"/>
        <w:bidi w:val="0"/>
        <w:spacing w:lineRule="auto" w:line="285" w:before="0" w:after="120"/>
        <w:ind w:left="360" w:right="0" w:hanging="0"/>
        <w:jc w:val="both"/>
        <w:rPr>
          <w:rFonts w:ascii="Times New Roman;Times;serif" w:hAnsi="Times New Roman;Times;serif"/>
          <w:sz w:val="24"/>
        </w:rPr>
      </w:pPr>
      <w:r>
        <w:rPr>
          <w:rFonts w:ascii="Times New Roman;Times;serif" w:hAnsi="Times New Roman;Times;serif"/>
          <w:sz w:val="24"/>
        </w:rPr>
        <w:t>12.1.As used in this Agreement:</w:t>
      </w:r>
    </w:p>
    <w:tbl>
      <w:tblPr>
        <w:tblW w:w="10205" w:type="dxa"/>
        <w:jc w:val="left"/>
        <w:tblInd w:w="0" w:type="dxa"/>
        <w:tblLayout w:type="fixed"/>
        <w:tblCellMar>
          <w:top w:w="0" w:type="dxa"/>
          <w:left w:w="0" w:type="dxa"/>
          <w:bottom w:w="0" w:type="dxa"/>
          <w:right w:w="0" w:type="dxa"/>
        </w:tblCellMar>
      </w:tblPr>
      <w:tblGrid>
        <w:gridCol w:w="23"/>
        <w:gridCol w:w="648"/>
        <w:gridCol w:w="9534"/>
      </w:tblGrid>
      <w:tr>
        <w:trPr/>
        <w:tc>
          <w:tcPr>
            <w:tcW w:w="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12.1.1.</w:t>
            </w:r>
          </w:p>
        </w:tc>
        <w:tc>
          <w:tcPr>
            <w:tcW w:w="9534"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Representatives</w:t>
            </w:r>
            <w:r>
              <w:rPr>
                <w:caps w:val="false"/>
                <w:smallCaps w:val="false"/>
              </w:rPr>
              <w:t xml:space="preserve">” </w:t>
            </w:r>
            <w:r>
              <w:rPr>
                <w:rFonts w:ascii="Times New Roman;Times;serif" w:hAnsi="Times New Roman;Times;serif"/>
                <w:b w:val="false"/>
                <w:i w:val="false"/>
                <w:caps w:val="false"/>
                <w:smallCaps w:val="false"/>
                <w:sz w:val="24"/>
              </w:rPr>
              <w:t>means a party’s employees, officers, directors, affiliates, subcontractors, agents, actual and prospective lenders, investors, attorneys, accountants, successors and assigns; and</w:t>
            </w:r>
          </w:p>
        </w:tc>
      </w:tr>
    </w:tbl>
    <w:tbl>
      <w:tblPr>
        <w:tblW w:w="10205" w:type="dxa"/>
        <w:jc w:val="left"/>
        <w:tblInd w:w="0" w:type="dxa"/>
        <w:tblLayout w:type="fixed"/>
        <w:tblCellMar>
          <w:top w:w="0" w:type="dxa"/>
          <w:left w:w="0" w:type="dxa"/>
          <w:bottom w:w="0" w:type="dxa"/>
          <w:right w:w="0" w:type="dxa"/>
        </w:tblCellMar>
      </w:tblPr>
      <w:tblGrid>
        <w:gridCol w:w="23"/>
        <w:gridCol w:w="624"/>
        <w:gridCol w:w="9558"/>
      </w:tblGrid>
      <w:tr>
        <w:trPr/>
        <w:tc>
          <w:tcPr>
            <w:tcW w:w="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12.1.2.</w:t>
            </w:r>
          </w:p>
        </w:tc>
        <w:tc>
          <w:tcPr>
            <w:tcW w:w="9558" w:type="dxa"/>
            <w:tcBorders/>
            <w:vAlign w:val="center"/>
          </w:tcPr>
          <w:p>
            <w:pPr>
              <w:pStyle w:val="TableContents"/>
              <w:bidi w:val="0"/>
              <w:spacing w:before="0" w:after="283"/>
              <w:jc w:val="left"/>
              <w:rPr/>
            </w:pPr>
            <w:r>
              <w:rPr>
                <w:caps w:val="false"/>
                <w:smallCaps w:val="false"/>
              </w:rPr>
              <w:t>“</w:t>
            </w:r>
            <w:r>
              <w:rPr>
                <w:rFonts w:ascii="Times New Roman;Times;serif" w:hAnsi="Times New Roman;Times;serif"/>
                <w:b w:val="false"/>
                <w:i w:val="false"/>
                <w:caps w:val="false"/>
                <w:smallCaps w:val="false"/>
                <w:sz w:val="24"/>
                <w:u w:val="single"/>
              </w:rPr>
              <w:t>Confidential Information</w:t>
            </w:r>
            <w:r>
              <w:rPr>
                <w:caps w:val="false"/>
                <w:smallCaps w:val="false"/>
              </w:rPr>
              <w:t xml:space="preserve">” </w:t>
            </w:r>
            <w:r>
              <w:rPr>
                <w:rFonts w:ascii="Times New Roman;Times;serif" w:hAnsi="Times New Roman;Times;serif"/>
                <w:b w:val="false"/>
                <w:i w:val="false"/>
                <w:caps w:val="false"/>
                <w:smallCaps w:val="false"/>
                <w:sz w:val="24"/>
              </w:rPr>
              <w:t>means any and all information disclosed by or on behalf of a party or any of its Representatives (“</w:t>
            </w:r>
            <w:r>
              <w:rPr>
                <w:rFonts w:ascii="Times New Roman;Times;serif" w:hAnsi="Times New Roman;Times;serif"/>
                <w:b w:val="false"/>
                <w:i w:val="false"/>
                <w:caps w:val="false"/>
                <w:smallCaps w:val="false"/>
                <w:sz w:val="24"/>
                <w:u w:val="single"/>
              </w:rPr>
              <w:t>Disclosing Party</w:t>
            </w:r>
            <w:r>
              <w:rPr>
                <w:caps w:val="false"/>
                <w:smallCaps w:val="false"/>
              </w:rPr>
              <w:t>”</w:t>
            </w:r>
            <w:r>
              <w:rPr>
                <w:rFonts w:ascii="Times New Roman;Times;serif" w:hAnsi="Times New Roman;Times;serif"/>
                <w:b w:val="false"/>
                <w:i w:val="false"/>
                <w:caps w:val="false"/>
                <w:smallCaps w:val="false"/>
                <w:sz w:val="24"/>
              </w:rPr>
              <w:t>) to the other party or any of its Representatives (“</w:t>
            </w:r>
            <w:r>
              <w:rPr>
                <w:rFonts w:ascii="Times New Roman;Times;serif" w:hAnsi="Times New Roman;Times;serif"/>
                <w:b w:val="false"/>
                <w:i w:val="false"/>
                <w:caps w:val="false"/>
                <w:smallCaps w:val="false"/>
                <w:sz w:val="24"/>
                <w:u w:val="single"/>
              </w:rPr>
              <w:t>Receiving Party</w:t>
            </w:r>
            <w:r>
              <w:rPr>
                <w:caps w:val="false"/>
                <w:smallCaps w:val="false"/>
              </w:rPr>
              <w:t>”</w:t>
            </w:r>
            <w:r>
              <w:rPr>
                <w:rFonts w:ascii="Times New Roman;Times;serif" w:hAnsi="Times New Roman;Times;serif"/>
                <w:b w:val="false"/>
                <w:i w:val="false"/>
                <w:caps w:val="false"/>
                <w:smallCaps w:val="false"/>
                <w:sz w:val="24"/>
              </w:rPr>
              <w:t xml:space="preserve">), including information relating to the matters which are the subject of this Agreement, the terms, existence and nature of this Agreement, and all other information regarding Disclosing Party’s past, present or future research, technology, know-how, ideas, concepts, designs, products, markets, computer programs, prototypes, processes, machines, manufacture, compositions of matter, business plans and operations, technical information, drawings, specifications, and the like, except information which is:  (a) at the time of disclosure, or thereafter becomes, a part of the public domain through no act or omission by Receiving Party or its Representatives; (b) lawfully in the possession of Receiving Party prior to disclosure by or on behalf of Disclosing Party; (c) lawfully disclosed to Receiving Party by a third party which did not acquire the same under an obligation of confidentiality from or through Disclosing Party; or (d) independently developed by Receiving Party without use of or access to Disclosing Party’s Confidential Information.   </w:t>
            </w:r>
          </w:p>
        </w:tc>
      </w:tr>
    </w:tbl>
    <w:tbl>
      <w:tblPr>
        <w:tblW w:w="10205" w:type="dxa"/>
        <w:jc w:val="left"/>
        <w:tblInd w:w="0" w:type="dxa"/>
        <w:tblLayout w:type="fixed"/>
        <w:tblCellMar>
          <w:top w:w="0" w:type="dxa"/>
          <w:left w:w="0" w:type="dxa"/>
          <w:bottom w:w="0" w:type="dxa"/>
          <w:right w:w="0" w:type="dxa"/>
        </w:tblCellMar>
      </w:tblPr>
      <w:tblGrid>
        <w:gridCol w:w="452"/>
        <w:gridCol w:w="9753"/>
      </w:tblGrid>
      <w:tr>
        <w:trPr/>
        <w:tc>
          <w:tcPr>
            <w:tcW w:w="45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12.2.</w:t>
            </w:r>
          </w:p>
        </w:tc>
        <w:tc>
          <w:tcPr>
            <w:tcW w:w="9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Receiving Party shall not: (i) without the prior consent of Disclosing Party, disclose any of Disclosing Party’s Confidential Information to anyone for any reason at any time or use any of Disclosing Party’s Confidential Information other than in furtherance of its rights and obligations under this Agreement, or (ii) by virtue of this Agreement, obtain any title to, or any interest or license in, any of Disclosing Party’s Confidential Information.  If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Receiving Party believes in good faith that it is:  (y) required by the law or a competent regulatory authority, or (z) necessary to comply with the rules and regulations of any stock exchange, the NASDAQ Stock Market or the Securities and Exchange Commission (the “</w:t>
            </w:r>
            <w:r>
              <w:rPr>
                <w:rFonts w:ascii="Times New Roman;Times;serif" w:hAnsi="Times New Roman;Times;serif"/>
                <w:b w:val="false"/>
                <w:i w:val="false"/>
                <w:caps w:val="false"/>
                <w:smallCaps w:val="false"/>
                <w:sz w:val="24"/>
                <w:u w:val="single"/>
              </w:rPr>
              <w:t>SEC</w:t>
            </w:r>
            <w:r>
              <w:rPr>
                <w:caps w:val="false"/>
                <w:smallCaps w:val="false"/>
              </w:rPr>
              <w:t>”</w:t>
            </w:r>
            <w:r>
              <w:rPr>
                <w:rFonts w:ascii="Times New Roman;Times;serif" w:hAnsi="Times New Roman;Times;serif"/>
                <w:b w:val="false"/>
                <w:i w:val="false"/>
                <w:caps w:val="false"/>
                <w:smallCaps w:val="false"/>
                <w:sz w:val="24"/>
              </w:rPr>
              <w:t xml:space="preserve">); to disclose any of Disclosing Party’s Confidential Information, it shall provide notice to Disclosing Party, to the greatest extent possible, prior to making such disclosure so as to allow Disclosing Party time to undertake legal or other action to prevent such disclosure or otherwise obtain confidential treatment of such disclosure.  In no event will Receiving Party disclose any of Disclosing Party’s Confidential Information that Receiving Party is not compelled to disclose by law or a competent regulatory authority or to comply with the rules and regulations of any stock exchange, the NASDAQ Stock Market or the SEC, and Receiving Party will exercise reasonable efforts to obtain assurance that confidential treatment will be accorded to any of Disclosing Party’s Confidential Information so disclosed.   Each party acknowledges that </w:t>
            </w:r>
            <w:r>
              <w:rPr>
                <w:rFonts w:ascii="Times New Roman;Times;serif" w:hAnsi="Times New Roman;Times;serif"/>
                <w:b w:val="false"/>
                <w:i w:val="false"/>
                <w:caps w:val="false"/>
                <w:smallCaps w:val="false"/>
                <w:spacing w:val="-3"/>
                <w:sz w:val="24"/>
              </w:rPr>
              <w:t xml:space="preserve">the Disclosing Party’s disclosure of Disclosing Party’s </w:t>
            </w:r>
            <w:r>
              <w:rPr>
                <w:rFonts w:ascii="Times New Roman;Times;serif" w:hAnsi="Times New Roman;Times;serif"/>
                <w:b w:val="false"/>
                <w:i w:val="false"/>
                <w:caps w:val="false"/>
                <w:smallCaps w:val="false"/>
                <w:sz w:val="24"/>
              </w:rPr>
              <w:t xml:space="preserve">Confidential Information </w:t>
            </w:r>
            <w:r>
              <w:rPr>
                <w:rFonts w:ascii="Times New Roman;Times;serif" w:hAnsi="Times New Roman;Times;serif"/>
                <w:b w:val="false"/>
                <w:i w:val="false"/>
                <w:caps w:val="false"/>
                <w:smallCaps w:val="false"/>
                <w:spacing w:val="-3"/>
                <w:sz w:val="24"/>
              </w:rPr>
              <w:t xml:space="preserve">(including </w:t>
            </w:r>
            <w:r>
              <w:rPr>
                <w:rFonts w:ascii="Times New Roman;Times;serif" w:hAnsi="Times New Roman;Times;serif"/>
                <w:b w:val="false"/>
                <w:i w:val="false"/>
                <w:caps w:val="false"/>
                <w:smallCaps w:val="false"/>
                <w:sz w:val="24"/>
              </w:rPr>
              <w:t xml:space="preserve">that which is a process, machine, manufacture, or composition of matter) is not intended to be an offer for sale or public use. </w:t>
            </w:r>
          </w:p>
        </w:tc>
      </w:tr>
    </w:tbl>
    <w:p>
      <w:pPr>
        <w:pStyle w:val="TextBody"/>
        <w:bidi w:val="0"/>
        <w:spacing w:lineRule="auto" w:line="285" w:before="0" w:after="120"/>
        <w:ind w:left="810" w:right="0" w:hanging="0"/>
        <w:jc w:val="both"/>
        <w:rPr>
          <w:rFonts w:ascii="Times New Roman;Times;serif" w:hAnsi="Times New Roman;Times;serif"/>
          <w:sz w:val="24"/>
        </w:rPr>
      </w:pPr>
      <w:r>
        <w:rPr>
          <w:rFonts w:ascii="Times New Roman;Times;serif" w:hAnsi="Times New Roman;Times;serif"/>
          <w:sz w:val="24"/>
        </w:rPr>
        <w:t xml:space="preserve">Neither party shall issue a press release or other public announcement or public disclosure concerning the Agreement (or any term sheets, bids, quotes, proposals, negotiations or other related information), the transactions contemplated herein, or the relationships between the parties without the prior written approval of an authorized representative of the other party, which approval shall not be unreasonably withheld and provided that neither party shall have the right to approve the other parties disclosures that are required to comply with the rules and regulations of any stock exchange or the NASDAQ Stock market or the SEC.  Except as set forth above, neither party shall use any word, name, logo, image, symbol, slogan, sample or design of the other party or any quote or statement from an employee, consultant or agent of the other party, in any written or oral advertisement, endorsement or other promotional materials without the prior approval of an authorized representative of the other party or as otherwise contemplated under this Agreement. </w:t>
      </w:r>
    </w:p>
    <w:tbl>
      <w:tblPr>
        <w:tblW w:w="10205" w:type="dxa"/>
        <w:jc w:val="left"/>
        <w:tblInd w:w="0" w:type="dxa"/>
        <w:tblLayout w:type="fixed"/>
        <w:tblCellMar>
          <w:top w:w="0" w:type="dxa"/>
          <w:left w:w="0" w:type="dxa"/>
          <w:bottom w:w="0" w:type="dxa"/>
          <w:right w:w="0" w:type="dxa"/>
        </w:tblCellMar>
      </w:tblPr>
      <w:tblGrid>
        <w:gridCol w:w="451"/>
        <w:gridCol w:w="9754"/>
      </w:tblGrid>
      <w:tr>
        <w:trPr/>
        <w:tc>
          <w:tcPr>
            <w:tcW w:w="45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12.3.</w:t>
            </w:r>
          </w:p>
        </w:tc>
        <w:tc>
          <w:tcPr>
            <w:tcW w:w="97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Neither party shall, nor shall it permit any of its Representatives, to:  (i) disclose to the other party any confidential or proprietary information belonging to any third party without the consent of such party; or (ii) represent as being unrestricted any designs, plans, models, samples, or other writings or products that it or its Representative knows or has reason to know are covered by valid patent, copyright, or other form of intellectual property protection.</w:t>
            </w:r>
          </w:p>
        </w:tc>
      </w:tr>
    </w:tbl>
    <w:p>
      <w:pPr>
        <w:pStyle w:val="TextBody"/>
        <w:bidi w:val="0"/>
        <w:spacing w:lineRule="auto" w:line="285" w:before="0" w:after="0"/>
        <w:ind w:left="720" w:right="0" w:hanging="0"/>
        <w:jc w:val="both"/>
        <w:rPr/>
      </w:pPr>
      <w:r>
        <w:rPr/>
        <w:t>​</w:t>
      </w:r>
    </w:p>
    <w:tbl>
      <w:tblPr>
        <w:tblW w:w="1870" w:type="dxa"/>
        <w:jc w:val="left"/>
        <w:tblInd w:w="0" w:type="dxa"/>
        <w:tblLayout w:type="fixed"/>
        <w:tblCellMar>
          <w:top w:w="0" w:type="dxa"/>
          <w:left w:w="0" w:type="dxa"/>
          <w:bottom w:w="0" w:type="dxa"/>
          <w:right w:w="0" w:type="dxa"/>
        </w:tblCellMar>
      </w:tblPr>
      <w:tblGrid>
        <w:gridCol w:w="320"/>
        <w:gridCol w:w="1550"/>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13.</w:t>
            </w:r>
          </w:p>
        </w:tc>
        <w:tc>
          <w:tcPr>
            <w:tcW w:w="155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INSURANCE </w:t>
            </w:r>
          </w:p>
        </w:tc>
      </w:tr>
    </w:tbl>
    <w:p>
      <w:pPr>
        <w:pStyle w:val="TextBody"/>
        <w:bidi w:val="0"/>
        <w:spacing w:lineRule="auto" w:line="285"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8"/>
        <w:gridCol w:w="9757"/>
      </w:tblGrid>
      <w:tr>
        <w:trPr/>
        <w:tc>
          <w:tcPr>
            <w:tcW w:w="44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13.1.</w:t>
            </w:r>
          </w:p>
        </w:tc>
        <w:tc>
          <w:tcPr>
            <w:tcW w:w="97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Within thirty (30) calendar days after the Effective Date, for the remainder of the Term and for two (2) years after the termination or expiration of this Agreement, Distributor shall obtain and continuously maintain, at Distributor’s sole cost and expense, comprehensive general liability insurance issued on an occurrence basis with broad form coverage, with limits not below two million dollars ($2,000,000) in the annual aggregate and one million dollars ($1,000,000) per occurrence for bodily injury liability, personal and advertising injury liability, products liability, property damage liability, contractual and incidental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contracts liability, errors and omissions liability and completed operations liability (the “</w:t>
            </w:r>
            <w:r>
              <w:rPr>
                <w:rFonts w:ascii="Times New Roman;Times;serif" w:hAnsi="Times New Roman;Times;serif"/>
                <w:b w:val="false"/>
                <w:i w:val="false"/>
                <w:caps w:val="false"/>
                <w:smallCaps w:val="false"/>
                <w:sz w:val="24"/>
                <w:u w:val="single"/>
              </w:rPr>
              <w:t>Distributor</w:t>
            </w:r>
            <w:r>
              <w:rPr>
                <w:caps w:val="false"/>
                <w:smallCaps w:val="false"/>
              </w:rPr>
              <w:t xml:space="preserve"> </w:t>
            </w:r>
            <w:r>
              <w:rPr>
                <w:rFonts w:ascii="Times New Roman;Times;serif" w:hAnsi="Times New Roman;Times;serif"/>
                <w:b w:val="false"/>
                <w:i w:val="false"/>
                <w:caps w:val="false"/>
                <w:smallCaps w:val="false"/>
                <w:sz w:val="24"/>
                <w:u w:val="single"/>
              </w:rPr>
              <w:t>Required Insurance</w:t>
            </w:r>
            <w:r>
              <w:rPr>
                <w:caps w:val="false"/>
                <w:smallCaps w:val="false"/>
              </w:rPr>
              <w:t>”</w:t>
            </w:r>
            <w:r>
              <w:rPr>
                <w:rFonts w:ascii="Times New Roman;Times;serif" w:hAnsi="Times New Roman;Times;serif"/>
                <w:b w:val="false"/>
                <w:i w:val="false"/>
                <w:caps w:val="false"/>
                <w:smallCaps w:val="false"/>
                <w:sz w:val="24"/>
              </w:rPr>
              <w:t>). Distributor shall name Supplier as additional insureds under such policy.  Distributor shall provide Supplier with a certificate of insurance from the issuing insurance company evidencing the foregoing insurance, naming Supplier as additional insureds and providing that such insurance coverage may not be amended or terminated without thirty (30) days prior notice to and approval of Supplier.  Renewal certificates of insurance must be filed prior to policy expiration so that a current certificate is on file at all times during the period specified above. If Distributor fails to provide a certificate of insurance evidencing the Distributor Required Insurance, in addition to other rights available, Supplier will have the right, but not the obligation, to purchase the Distributor Required Insurance at Distributor’s expense.  Any failure to demand such certificates or identify any deficiency in any of the Distributor Required Insurance coverage by Supplier shall not be deemed to be a waiver of Distributor’s obligation to maintain such insurance.</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3"/>
        <w:gridCol w:w="9762"/>
      </w:tblGrid>
      <w:tr>
        <w:trPr/>
        <w:tc>
          <w:tcPr>
            <w:tcW w:w="44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13.2.</w:t>
            </w:r>
          </w:p>
        </w:tc>
        <w:tc>
          <w:tcPr>
            <w:tcW w:w="97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Within thirty (30) calendar days after the Effective Date, for the remainder of the Term and for two (2) years after the termination or expiration of this Agreement, </w:t>
            </w:r>
            <w:bookmarkStart w:id="922" w:name="_Hlk132094940"/>
            <w:bookmarkEnd w:id="922"/>
            <w:r>
              <w:rPr>
                <w:rFonts w:ascii="Times New Roman;Times;serif" w:hAnsi="Times New Roman;Times;serif"/>
                <w:b w:val="false"/>
                <w:i w:val="false"/>
                <w:caps w:val="false"/>
                <w:smallCaps w:val="false"/>
                <w:sz w:val="24"/>
              </w:rPr>
              <w:t>Supplier shall obtain and continuously maintain, at Supplier’s sole cost and expense, comprehensive general liability insurance issued on an occurrence basis with broad form coverage, with limits not below two million dollars ($2,000,000) in the annual aggregate and one million dollars ($1,000,000) per occurrence for bodily injury liability, personal and advertising injury liability, products liability, property damage liability, contractual and incidental contracts liability, errors and omissions liability and completed operations liability (the “</w:t>
            </w:r>
            <w:r>
              <w:rPr>
                <w:rFonts w:ascii="Times New Roman;Times;serif" w:hAnsi="Times New Roman;Times;serif"/>
                <w:b w:val="false"/>
                <w:i w:val="false"/>
                <w:caps w:val="false"/>
                <w:smallCaps w:val="false"/>
                <w:sz w:val="24"/>
                <w:u w:val="single"/>
              </w:rPr>
              <w:t>Supplier Required Insurance</w:t>
            </w:r>
            <w:r>
              <w:rPr>
                <w:caps w:val="false"/>
                <w:smallCaps w:val="false"/>
              </w:rPr>
              <w:t>”</w:t>
            </w:r>
            <w:r>
              <w:rPr>
                <w:rFonts w:ascii="Times New Roman;Times;serif" w:hAnsi="Times New Roman;Times;serif"/>
                <w:b w:val="false"/>
                <w:i w:val="false"/>
                <w:caps w:val="false"/>
                <w:smallCaps w:val="false"/>
                <w:sz w:val="24"/>
              </w:rPr>
              <w:t>).</w:t>
            </w:r>
            <w:r>
              <w:rPr>
                <w:caps w:val="false"/>
                <w:smallCaps w:val="false"/>
              </w:rPr>
              <w:t xml:space="preserve"> </w:t>
            </w:r>
            <w:r>
              <w:rPr>
                <w:rFonts w:ascii="Times New Roman;Times;serif" w:hAnsi="Times New Roman;Times;serif"/>
                <w:b w:val="false"/>
                <w:i w:val="false"/>
                <w:caps w:val="false"/>
                <w:smallCaps w:val="false"/>
                <w:sz w:val="24"/>
              </w:rPr>
              <w:t>Supplier shall name Distributor as additional insureds under such policy.  Supplier shall provide Distributor with a certificate of insurance from the issuing insurance company evidencing the foregoing insurance, naming Distributor as additional insureds and providing that such insurance coverage may not be amended or terminated without thirty (30) days prior notice to and approval of Distributor.  Renewal certificates of insurance must be filed prior to policy expiration so that a current certificate is on file at all times during the period specified above. If Supplier fails to provide a certificate of insurance evidencing the Supplier Required Insurance, in addition to other rights available, Distributor will have the right, but not the obligation, to purchase the Supplier Required Insurance at Supplier’s expense.  Any failure to demand such certificates or identify any deficiency in any of the Supplier Required Insurance coverage by Distributor shall not be deemed to be a waiver of Supplier’s obligation to maintain such insurance.</w:t>
            </w:r>
          </w:p>
        </w:tc>
      </w:tr>
    </w:tbl>
    <w:p>
      <w:pPr>
        <w:pStyle w:val="TextBody"/>
        <w:pBdr/>
        <w:bidi w:val="0"/>
        <w:spacing w:lineRule="auto" w:line="285" w:before="0" w:after="0"/>
        <w:ind w:left="0" w:right="0" w:hanging="720"/>
        <w:jc w:val="both"/>
        <w:rPr/>
      </w:pPr>
      <w:r>
        <w:rPr/>
        <w:t>​</w:t>
      </w:r>
    </w:p>
    <w:p>
      <w:pPr>
        <w:pStyle w:val="TextBody"/>
        <w:bidi w:val="0"/>
        <w:spacing w:lineRule="auto" w:line="285" w:before="0" w:after="0"/>
        <w:ind w:left="0" w:right="0" w:hanging="720"/>
        <w:jc w:val="both"/>
        <w:rPr>
          <w:rFonts w:ascii="Times" w:hAnsi="Times"/>
          <w:sz w:val="24"/>
        </w:rPr>
      </w:pPr>
      <w:r>
        <w:rPr>
          <w:rFonts w:ascii="Times New Roman;Times;serif" w:hAnsi="Times New Roman;Times;serif"/>
          <w:b/>
          <w:sz w:val="24"/>
        </w:rPr>
        <w:t>14.MISCELLANEOUS</w:t>
        <w:br/>
      </w:r>
      <w:r>
        <w:rPr>
          <w:rFonts w:ascii="Times" w:hAnsi="Times"/>
          <w:sz w:val="24"/>
        </w:rPr>
        <w:t>​</w:t>
      </w:r>
    </w:p>
    <w:tbl>
      <w:tblPr>
        <w:tblW w:w="10205" w:type="dxa"/>
        <w:jc w:val="left"/>
        <w:tblInd w:w="0" w:type="dxa"/>
        <w:tblLayout w:type="fixed"/>
        <w:tblCellMar>
          <w:top w:w="0" w:type="dxa"/>
          <w:left w:w="0" w:type="dxa"/>
          <w:bottom w:w="0" w:type="dxa"/>
          <w:right w:w="0" w:type="dxa"/>
        </w:tblCellMar>
      </w:tblPr>
      <w:tblGrid>
        <w:gridCol w:w="447"/>
        <w:gridCol w:w="9758"/>
      </w:tblGrid>
      <w:tr>
        <w:trPr/>
        <w:tc>
          <w:tcPr>
            <w:tcW w:w="44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14.1.</w:t>
            </w:r>
          </w:p>
        </w:tc>
        <w:tc>
          <w:tcPr>
            <w:tcW w:w="97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Assignment</w:t>
            </w:r>
            <w:r>
              <w:rPr>
                <w:rFonts w:ascii="Times New Roman;Times;serif" w:hAnsi="Times New Roman;Times;serif"/>
                <w:b w:val="false"/>
                <w:i w:val="false"/>
                <w:caps w:val="false"/>
                <w:smallCaps w:val="false"/>
                <w:sz w:val="24"/>
              </w:rPr>
              <w:t>. This Agreement, and each party’s rights and obligations hereunder, shall not be assigned in whole or in part without the prior written authorization from the other party, and any such attempted assignment shall be void and of no effect.  </w:t>
            </w:r>
            <w:r>
              <w:rPr>
                <w:rFonts w:ascii="Times" w:hAnsi="Times"/>
                <w:b w:val="false"/>
                <w:i w:val="false"/>
                <w:caps w:val="false"/>
                <w:smallCaps w:val="false"/>
                <w:sz w:val="24"/>
              </w:rPr>
              <w:t xml:space="preserve">Notwithstanding the foregoing, written consent is not required for assignment of the entirety of either party’s rights or delegation of the entirety of its duties to one or more affiliates, or to an acquiring or surviving entity in any merger or acquisition (regardless of the form of transaction including by merger, consolidation, reorganization, acquisition or sale of stock or assets, provided in each case that such assignee acknowledges to the other party its obligations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ind w:left="0" w:right="0" w:hanging="0"/>
              <w:jc w:val="left"/>
              <w:rPr/>
            </w:pPr>
            <w:r>
              <w:rPr>
                <w:rFonts w:ascii="Times" w:hAnsi="Times"/>
                <w:b w:val="false"/>
                <w:i w:val="false"/>
                <w:caps w:val="false"/>
                <w:smallCaps w:val="false"/>
                <w:sz w:val="24"/>
              </w:rPr>
              <w:t>hereunder), provided that in each case the assigning party shall remain jointly bound by its obligations hereunder.  </w:t>
            </w:r>
            <w:r>
              <w:rPr>
                <w:rFonts w:ascii="Times New Roman;Times;serif" w:hAnsi="Times New Roman;Times;serif"/>
                <w:b w:val="false"/>
                <w:i w:val="false"/>
                <w:caps w:val="false"/>
                <w:smallCaps w:val="false"/>
                <w:sz w:val="24"/>
              </w:rPr>
              <w:t>All obligations of the parties herein shall be binding upon their respective successors and permitted assigns.</w:t>
              <w:br/>
            </w:r>
            <w:r>
              <w:rPr/>
              <w:t>​</w:t>
            </w:r>
          </w:p>
        </w:tc>
      </w:tr>
    </w:tbl>
    <w:tbl>
      <w:tblPr>
        <w:tblW w:w="10205" w:type="dxa"/>
        <w:jc w:val="left"/>
        <w:tblInd w:w="0" w:type="dxa"/>
        <w:tblLayout w:type="fixed"/>
        <w:tblCellMar>
          <w:top w:w="0" w:type="dxa"/>
          <w:left w:w="0" w:type="dxa"/>
          <w:bottom w:w="0" w:type="dxa"/>
          <w:right w:w="0" w:type="dxa"/>
        </w:tblCellMar>
      </w:tblPr>
      <w:tblGrid>
        <w:gridCol w:w="449"/>
        <w:gridCol w:w="9756"/>
      </w:tblGrid>
      <w:tr>
        <w:trPr/>
        <w:tc>
          <w:tcPr>
            <w:tcW w:w="44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14.2.</w:t>
            </w:r>
          </w:p>
        </w:tc>
        <w:tc>
          <w:tcPr>
            <w:tcW w:w="97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Choice of Law</w:t>
            </w:r>
            <w:r>
              <w:rPr>
                <w:rFonts w:ascii="Times New Roman;Times;serif" w:hAnsi="Times New Roman;Times;serif"/>
                <w:b w:val="false"/>
                <w:i w:val="false"/>
                <w:caps w:val="false"/>
                <w:smallCaps w:val="false"/>
                <w:sz w:val="24"/>
              </w:rPr>
              <w:t>. This Agreement shall be governed, interpreted and construed in accordance with the internal substantive laws of the State of New York, United States of America.  Any and all claims, controversies, and causes of action arising out of or relating to this Agreement and the relationship created thereby, whether sounding in contract, tort, statute or otherwise, shall be governed by the laws of the State of New York, including its statutes of limitations, without giving effect to any conflict-of-laws or other rule that would result in the application of the laws of any other jurisdiction.</w:t>
            </w:r>
          </w:p>
        </w:tc>
      </w:tr>
    </w:tbl>
    <w:p>
      <w:pPr>
        <w:pStyle w:val="TextBody"/>
        <w:bidi w:val="0"/>
        <w:spacing w:lineRule="auto" w:line="285" w:before="0" w:after="0"/>
        <w:ind w:left="720" w:right="0" w:hanging="0"/>
        <w:jc w:val="both"/>
        <w:rPr/>
      </w:pPr>
      <w:r>
        <w:rPr/>
        <w:t>​</w:t>
      </w:r>
    </w:p>
    <w:tbl>
      <w:tblPr>
        <w:tblW w:w="2395" w:type="dxa"/>
        <w:jc w:val="left"/>
        <w:tblInd w:w="0" w:type="dxa"/>
        <w:tblLayout w:type="fixed"/>
        <w:tblCellMar>
          <w:top w:w="0" w:type="dxa"/>
          <w:left w:w="0" w:type="dxa"/>
          <w:bottom w:w="0" w:type="dxa"/>
          <w:right w:w="0" w:type="dxa"/>
        </w:tblCellMar>
      </w:tblPr>
      <w:tblGrid>
        <w:gridCol w:w="500"/>
        <w:gridCol w:w="1895"/>
      </w:tblGrid>
      <w:tr>
        <w:trPr/>
        <w:tc>
          <w:tcPr>
            <w:tcW w:w="5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14.3.</w:t>
            </w:r>
          </w:p>
        </w:tc>
        <w:tc>
          <w:tcPr>
            <w:tcW w:w="189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Dispute Resolution</w:t>
            </w:r>
            <w:r>
              <w:rPr>
                <w:rFonts w:ascii="Times New Roman;Times;serif" w:hAnsi="Times New Roman;Times;serif"/>
                <w:b w:val="false"/>
                <w:i w:val="false"/>
                <w:caps w:val="false"/>
                <w:smallCaps w:val="false"/>
                <w:sz w:val="24"/>
              </w:rPr>
              <w:t>.</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5"/>
        <w:gridCol w:w="9557"/>
      </w:tblGrid>
      <w:tr>
        <w:trPr/>
        <w:tc>
          <w:tcPr>
            <w:tcW w:w="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14.3.1.</w:t>
            </w:r>
          </w:p>
        </w:tc>
        <w:tc>
          <w:tcPr>
            <w:tcW w:w="955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parties agree to attempt to resolve amicably on the basis of good faith negotiations, any dispute, difference or claim between the parties arising under or in connection with this Agreement, its performance, interpretation, application or validity (“</w:t>
            </w:r>
            <w:r>
              <w:rPr>
                <w:rFonts w:ascii="Times New Roman;Times;serif" w:hAnsi="Times New Roman;Times;serif"/>
                <w:b w:val="false"/>
                <w:i w:val="false"/>
                <w:caps w:val="false"/>
                <w:smallCaps w:val="false"/>
                <w:sz w:val="24"/>
                <w:u w:val="single"/>
              </w:rPr>
              <w:t>Disputes</w:t>
            </w:r>
            <w:r>
              <w:rPr>
                <w:caps w:val="false"/>
                <w:smallCaps w:val="false"/>
              </w:rPr>
              <w:t>”</w:t>
            </w:r>
            <w:r>
              <w:rPr>
                <w:rFonts w:ascii="Times New Roman;Times;serif" w:hAnsi="Times New Roman;Times;serif"/>
                <w:b w:val="false"/>
                <w:i w:val="false"/>
                <w:caps w:val="false"/>
                <w:smallCaps w:val="false"/>
                <w:sz w:val="24"/>
              </w:rPr>
              <w:t>).  In the event of a Dispute, the parties shall each nominate a representative to meet (either in person or telephonically) to engage in good faith negotiations to resolve the Dispute.  If the representatives are unable to resolve any Dispute to their mutual satisfaction within thirty (30) days after they commence discussions regarding same, and do not agree to extend the time for resolution of the issue at the end of the thirty (30) day period, then either party may initiate alternative dispute resolution in accordance with subsection 14.3.2 of this Section.  Except where the Agreement has been terminated for breach by either party under Section 7, both parties will continue their performance under this Agreement pending resolution of any Dispute.</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3"/>
        <w:gridCol w:w="9559"/>
      </w:tblGrid>
      <w:tr>
        <w:trPr/>
        <w:tc>
          <w:tcPr>
            <w:tcW w:w="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14.3.2.</w:t>
            </w:r>
          </w:p>
        </w:tc>
        <w:tc>
          <w:tcPr>
            <w:tcW w:w="9559" w:type="dxa"/>
            <w:tcBorders/>
            <w:vAlign w:val="center"/>
          </w:tcPr>
          <w:p>
            <w:pPr>
              <w:pStyle w:val="TableContents"/>
              <w:bidi w:val="0"/>
              <w:spacing w:before="0" w:after="283"/>
              <w:jc w:val="left"/>
              <w:rPr/>
            </w:pPr>
            <w:bookmarkStart w:id="923" w:name="_Ref497759832"/>
            <w:bookmarkStart w:id="924" w:name="_Ref497759153"/>
            <w:bookmarkStart w:id="925" w:name="_Ref33007492"/>
            <w:bookmarkEnd w:id="923"/>
            <w:bookmarkEnd w:id="924"/>
            <w:bookmarkEnd w:id="925"/>
            <w:r>
              <w:rPr>
                <w:rFonts w:ascii="Times New Roman;Times;serif" w:hAnsi="Times New Roman;Times;serif"/>
                <w:b w:val="false"/>
                <w:i w:val="false"/>
                <w:caps w:val="false"/>
                <w:smallCaps w:val="false"/>
                <w:sz w:val="24"/>
              </w:rPr>
              <w:t>In the event that Dispute cannot be resolved by good faith negotiations in accordance with subsection 14.3.1 of this Section, such Dispute shall be submitted for mediation under the Fast Track Mediation Rules of the International Institute for Conflict Prevention and Resolution (“</w:t>
            </w:r>
            <w:r>
              <w:rPr>
                <w:rFonts w:ascii="Times New Roman;Times;serif" w:hAnsi="Times New Roman;Times;serif"/>
                <w:b w:val="false"/>
                <w:i w:val="false"/>
                <w:caps w:val="false"/>
                <w:smallCaps w:val="false"/>
                <w:sz w:val="24"/>
                <w:u w:val="single"/>
              </w:rPr>
              <w:t>CPR</w:t>
            </w:r>
            <w:r>
              <w:rPr>
                <w:caps w:val="false"/>
                <w:smallCaps w:val="false"/>
              </w:rPr>
              <w:t>”</w:t>
            </w:r>
            <w:r>
              <w:rPr>
                <w:rFonts w:ascii="Times New Roman;Times;serif" w:hAnsi="Times New Roman;Times;serif"/>
                <w:b w:val="false"/>
                <w:i w:val="false"/>
                <w:caps w:val="false"/>
                <w:smallCaps w:val="false"/>
                <w:sz w:val="24"/>
              </w:rPr>
              <w:t>).  If such mediation fails, and a dispute still exists between the parties, any dispute arising out of or relating in any way whatsoever to this Agreement, or the interpretation, scope or enforcement of this arbitration provision shall be arbitrated privately and confidentially in New York, New York by three arbitrators mutually agreed to by the parties (or if none, appointed pursuant to the CPR Fast Track Arbitration Rules), and shall be administered by CPR and in accordance with CPR’s Fast Track Arbitration Rules in existence at the time of the execution of this Agreement.  The presentation of witnesses in the arbitration shall be in accordance with Mode A of Schedule 3 to the CPR Protocol on Disclosure of Documents and Presentation of Witnesses in Commercial Arbitration in existence at the time of the execution of this Agreement (“</w:t>
            </w:r>
            <w:r>
              <w:rPr>
                <w:rFonts w:ascii="Times New Roman;Times;serif" w:hAnsi="Times New Roman;Times;serif"/>
                <w:b w:val="false"/>
                <w:i w:val="false"/>
                <w:caps w:val="false"/>
                <w:smallCaps w:val="false"/>
                <w:sz w:val="24"/>
                <w:u w:val="single"/>
              </w:rPr>
              <w:t>Mode A</w:t>
            </w:r>
            <w:r>
              <w:rPr>
                <w:caps w:val="false"/>
                <w:smallCaps w:val="false"/>
              </w:rPr>
              <w:t>”</w:t>
            </w:r>
            <w:r>
              <w:rPr>
                <w:rFonts w:ascii="Times New Roman;Times;serif" w:hAnsi="Times New Roman;Times;serif"/>
                <w:b w:val="false"/>
                <w:i w:val="false"/>
                <w:caps w:val="false"/>
                <w:smallCaps w:val="false"/>
                <w:sz w:val="24"/>
              </w:rPr>
              <w:t xml:space="preserve">).  Should CPR be unavailable or unable to administer the arbitration, the parties shall submit their dispute privately and confidentially to another arbitral body (such as AAA, JAMS, etc.) or to a private arbitrator, provided, however, that the arbitration shall be conducted strictly in accordance with the CPR rules and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witness presentation protocol identified in this paragraph.  </w:t>
            </w:r>
            <w:r>
              <w:rPr>
                <w:caps w:val="false"/>
                <w:smallCaps w:val="false"/>
              </w:rPr>
              <w:t> </w:t>
            </w:r>
            <w:r>
              <w:rPr>
                <w:rFonts w:ascii="Times New Roman;Times;serif" w:hAnsi="Times New Roman;Times;serif"/>
                <w:b w:val="false"/>
                <w:i w:val="false"/>
                <w:caps w:val="false"/>
                <w:smallCaps w:val="false"/>
                <w:sz w:val="24"/>
              </w:rPr>
              <w:t>Unless the parties agree otherwise, they</w:t>
            </w:r>
            <w:r>
              <w:rPr>
                <w:caps w:val="false"/>
                <w:smallCaps w:val="false"/>
              </w:rPr>
              <w:t xml:space="preserve"> </w:t>
            </w:r>
            <w:r>
              <w:rPr>
                <w:rFonts w:ascii="Times New Roman;Times;serif" w:hAnsi="Times New Roman;Times;serif"/>
                <w:b w:val="false"/>
                <w:i w:val="false"/>
                <w:caps w:val="false"/>
                <w:smallCaps w:val="false"/>
                <w:sz w:val="24"/>
              </w:rPr>
              <w:t>shall be limited in their discovery to directly relevant documents</w:t>
            </w:r>
            <w:r>
              <w:rPr>
                <w:rFonts w:ascii="Garamond" w:hAnsi="Garamond"/>
                <w:b w:val="false"/>
                <w:i w:val="false"/>
                <w:caps w:val="false"/>
                <w:smallCaps w:val="false"/>
                <w:sz w:val="24"/>
              </w:rPr>
              <w:t>.</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6"/>
        <w:gridCol w:w="9556"/>
      </w:tblGrid>
      <w:tr>
        <w:trPr/>
        <w:tc>
          <w:tcPr>
            <w:tcW w:w="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14.3.3.</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award of the arbitral tribunal shall be final and binding upon the parties and shall be the sole and exclusive remedy between the parties regarding any claims, counterclaims, issues, or requests for declaratory, accounting, or other relief presented to the arbitral tribunal.  The costs of arbitration shall be apportioned by the arbitral tribunal in the award.  The arbitral tribunal shall have the power to grant any remedy or relief that the arbitrators deem appropriate, including specific performance and penalties in the event of noncompliance of its orders or awards as well as interim, conservatory, or provisional measures, and any such measures may be enforced in a court of competent jurisdiction.  The arbitral tribunal shall not decide as amiable compositeur or ex aequo et bono.</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35"/>
        <w:gridCol w:w="9547"/>
      </w:tblGrid>
      <w:tr>
        <w:trPr/>
        <w:tc>
          <w:tcPr>
            <w:tcW w:w="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14.3.4.</w:t>
            </w:r>
          </w:p>
        </w:tc>
        <w:tc>
          <w:tcPr>
            <w:tcW w:w="9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By agreeing to arbitration, the parties do not intend to deprive any court of its jurisdiction to issue an injunction, attachment or other interim measure in aid of arbitration prior to the constitution of the arbitral tribunal.  A request for such provisional remedy or interim or conservatory measure by a party shall not be deemed a waiver of the agreement to arbitrate.</w:t>
            </w:r>
          </w:p>
        </w:tc>
      </w:tr>
    </w:tbl>
    <w:p>
      <w:pPr>
        <w:pStyle w:val="TextBody"/>
        <w:bidi w:val="0"/>
        <w:spacing w:lineRule="auto" w:line="285" w:before="0" w:after="0"/>
        <w:ind w:left="14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6"/>
        <w:gridCol w:w="9556"/>
      </w:tblGrid>
      <w:tr>
        <w:trPr/>
        <w:tc>
          <w:tcPr>
            <w:tcW w:w="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14.3.5.</w:t>
            </w:r>
          </w:p>
        </w:tc>
        <w:tc>
          <w:tcPr>
            <w:tcW w:w="95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 arbitration proceedings shall be confidential and shall not be disclosed except as, and only to the extent, necessary to prepare for or conduct the arbitration hearing on the merits, as required by applicable law, or required in connection with any court application for interim relief or post-arbitration confirmation or enforcement proceedings.  Any documentary or other evidence given by a party or witness in the arbitration shall be treated as confidential by any party whose access to such evidence arises exclusively as a result of its participation in the arbitration, and, except as may be required by applicable law, shall not be disclosed to any third party (other than a witness or expert, provided that such witness or expert agrees to maintain the confidentiality of the information).</w:t>
            </w:r>
          </w:p>
        </w:tc>
      </w:tr>
    </w:tbl>
    <w:p>
      <w:pPr>
        <w:pStyle w:val="TextBody"/>
        <w:bidi w:val="0"/>
        <w:spacing w:lineRule="auto" w:line="285" w:before="0" w:after="0"/>
        <w:ind w:left="72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58"/>
        <w:gridCol w:w="9747"/>
      </w:tblGrid>
      <w:tr>
        <w:trPr/>
        <w:tc>
          <w:tcPr>
            <w:tcW w:w="45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14.4.</w:t>
            </w:r>
          </w:p>
        </w:tc>
        <w:tc>
          <w:tcPr>
            <w:tcW w:w="974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4"/>
                <w:u w:val="single"/>
              </w:rPr>
              <w:t>Waiver</w:t>
            </w:r>
            <w:r>
              <w:rPr>
                <w:rFonts w:ascii="Times New Roman;Times;serif" w:hAnsi="Times New Roman;Times;serif"/>
                <w:b w:val="false"/>
                <w:i w:val="false"/>
                <w:caps w:val="false"/>
                <w:smallCaps w:val="false"/>
                <w:sz w:val="24"/>
              </w:rPr>
              <w:t>. No waiver or breach of any term or condition of this Agreement shall operate as a waiver of any other breach of such term or condition, or of any other term or condition, nor shall any failure to enforce any provisions hereunder operate as a waiver of such provision or any other provision hereunder.</w:t>
              <w:br/>
            </w:r>
            <w:r>
              <w:rPr/>
              <w:t>​</w:t>
            </w:r>
          </w:p>
        </w:tc>
      </w:tr>
    </w:tbl>
    <w:tbl>
      <w:tblPr>
        <w:tblW w:w="10205" w:type="dxa"/>
        <w:jc w:val="left"/>
        <w:tblInd w:w="0" w:type="dxa"/>
        <w:tblLayout w:type="fixed"/>
        <w:tblCellMar>
          <w:top w:w="0" w:type="dxa"/>
          <w:left w:w="0" w:type="dxa"/>
          <w:bottom w:w="0" w:type="dxa"/>
          <w:right w:w="0" w:type="dxa"/>
        </w:tblCellMar>
      </w:tblPr>
      <w:tblGrid>
        <w:gridCol w:w="449"/>
        <w:gridCol w:w="9756"/>
      </w:tblGrid>
      <w:tr>
        <w:trPr/>
        <w:tc>
          <w:tcPr>
            <w:tcW w:w="44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14.5.</w:t>
            </w:r>
          </w:p>
        </w:tc>
        <w:tc>
          <w:tcPr>
            <w:tcW w:w="9756"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4"/>
                <w:u w:val="single"/>
              </w:rPr>
              <w:t>Severability</w:t>
            </w:r>
            <w:r>
              <w:rPr>
                <w:rFonts w:ascii="Times New Roman;Times;serif" w:hAnsi="Times New Roman;Times;serif"/>
                <w:b w:val="false"/>
                <w:i w:val="false"/>
                <w:caps w:val="false"/>
                <w:smallCaps w:val="false"/>
                <w:sz w:val="24"/>
              </w:rPr>
              <w:t>. In case any one or more of the provisions contained in this Agreement shall for any reason be held to be invalid, illegal or unenforceable in any respect, except in those instances where removal or elimination of such invalid, illegal, or unenforceable provision or provisions would result in a failure of consideration under this Agreement, such invalidity, illegality or unenforceability shall not affect any other provision hereof, and this Agreement shall be construed as if such invalid, illegal or unenforceable provisions had never been contained herein.</w:t>
              <w:br/>
            </w:r>
            <w:r>
              <w:rPr/>
              <w:t>​</w:t>
            </w:r>
          </w:p>
        </w:tc>
      </w:tr>
    </w:tbl>
    <w:tbl>
      <w:tblPr>
        <w:tblW w:w="10205" w:type="dxa"/>
        <w:jc w:val="left"/>
        <w:tblInd w:w="0" w:type="dxa"/>
        <w:tblLayout w:type="fixed"/>
        <w:tblCellMar>
          <w:top w:w="0" w:type="dxa"/>
          <w:left w:w="0" w:type="dxa"/>
          <w:bottom w:w="0" w:type="dxa"/>
          <w:right w:w="0" w:type="dxa"/>
        </w:tblCellMar>
      </w:tblPr>
      <w:tblGrid>
        <w:gridCol w:w="473"/>
        <w:gridCol w:w="9732"/>
      </w:tblGrid>
      <w:tr>
        <w:trPr/>
        <w:tc>
          <w:tcPr>
            <w:tcW w:w="47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14.6.</w:t>
            </w:r>
          </w:p>
        </w:tc>
        <w:tc>
          <w:tcPr>
            <w:tcW w:w="97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Notices</w:t>
            </w:r>
            <w:r>
              <w:rPr>
                <w:rFonts w:ascii="Times New Roman;Times;serif" w:hAnsi="Times New Roman;Times;serif"/>
                <w:b w:val="false"/>
                <w:i w:val="false"/>
                <w:caps w:val="false"/>
                <w:smallCaps w:val="false"/>
                <w:sz w:val="24"/>
              </w:rPr>
              <w:t xml:space="preserve">. All notices hereunder shall be in writing and shall be deemed to have been duly given if delivered personally, one day after delivery to a nationally recognized overnight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delivery service, charges prepaid, or three days after being sent by registered or certified mail, postage prepaid, to the parties at their respective addresses set forth above and:</w:t>
            </w:r>
          </w:p>
        </w:tc>
      </w:tr>
    </w:tbl>
    <w:p>
      <w:pPr>
        <w:pStyle w:val="TextBody"/>
        <w:pBdr/>
        <w:bidi w:val="0"/>
        <w:spacing w:lineRule="auto" w:line="285" w:before="0" w:after="0"/>
        <w:ind w:left="0" w:right="0" w:hanging="720"/>
        <w:jc w:val="both"/>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 xml:space="preserve">If to Distributor, addressed to: </w:t>
      </w:r>
    </w:p>
    <w:p>
      <w:pPr>
        <w:pStyle w:val="TextBody"/>
        <w:pBdr/>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63 Second Avenue</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Burlington, MA  01803</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Attn:  Legal Department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legal@lemaitre.com</w:t>
      </w:r>
    </w:p>
    <w:p>
      <w:pPr>
        <w:pStyle w:val="TextBody"/>
        <w:pBdr/>
        <w:bidi w:val="0"/>
        <w:spacing w:lineRule="auto" w:line="285" w:before="0" w:after="0"/>
        <w:ind w:left="0" w:right="0" w:hanging="720"/>
        <w:jc w:val="both"/>
        <w:rPr/>
      </w:pPr>
      <w:r>
        <w:rPr/>
        <w:t>​</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If to Supplier, addressed to:</w:t>
      </w:r>
    </w:p>
    <w:p>
      <w:pPr>
        <w:pStyle w:val="TextBody"/>
        <w:pBdr/>
        <w:bidi w:val="0"/>
        <w:spacing w:lineRule="auto" w:line="285" w:before="0" w:after="0"/>
        <w:ind w:left="0" w:right="0" w:hanging="720"/>
        <w:jc w:val="both"/>
        <w:rPr/>
      </w:pPr>
      <w:r>
        <w:rPr/>
        <w:t>​</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Attn: Matt Ferguson, Chief Financial Officer</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12510 Prosperity Drive, Suite 370</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Silver Spring, MD 20904</w:t>
      </w:r>
    </w:p>
    <w:p>
      <w:pPr>
        <w:pStyle w:val="TextBody"/>
        <w:bidi w:val="0"/>
        <w:spacing w:lineRule="auto" w:line="285" w:before="0" w:after="0"/>
        <w:ind w:left="720" w:right="0" w:hanging="0"/>
        <w:jc w:val="both"/>
        <w:rPr>
          <w:rFonts w:ascii="Times New Roman;Times;serif" w:hAnsi="Times New Roman;Times;serif"/>
          <w:sz w:val="24"/>
        </w:rPr>
      </w:pPr>
      <w:r>
        <w:rPr>
          <w:rFonts w:ascii="Times New Roman;Times;serif" w:hAnsi="Times New Roman;Times;serif"/>
          <w:sz w:val="24"/>
        </w:rPr>
        <w:t>mferguson@aziyo.com</w:t>
      </w:r>
    </w:p>
    <w:p>
      <w:pPr>
        <w:pStyle w:val="TextBody"/>
        <w:pBdr/>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cc: legal@aziyo.com</w:t>
      </w:r>
    </w:p>
    <w:p>
      <w:pPr>
        <w:pStyle w:val="TextBody"/>
        <w:pBdr/>
        <w:bidi w:val="0"/>
        <w:spacing w:lineRule="auto" w:line="285" w:before="0" w:after="0"/>
        <w:ind w:left="0" w:right="0" w:hanging="720"/>
        <w:jc w:val="both"/>
        <w:rPr/>
      </w:pPr>
      <w:r>
        <w:rPr/>
        <w:t>​</w:t>
      </w:r>
    </w:p>
    <w:p>
      <w:pPr>
        <w:pStyle w:val="TextBody"/>
        <w:pBdr/>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or to such other address as any party shall have specified by notice to the other in accordance with this Section. Purchase orders, forecasts and other routine business forms (and any notices not sent in accordance with the foregoing) shall be effective only upon receipt.</w:t>
      </w:r>
    </w:p>
    <w:p>
      <w:pPr>
        <w:pStyle w:val="TextBody"/>
        <w:pBdr/>
        <w:bidi w:val="0"/>
        <w:spacing w:lineRule="auto" w:line="285"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458"/>
        <w:gridCol w:w="9747"/>
      </w:tblGrid>
      <w:tr>
        <w:trPr/>
        <w:tc>
          <w:tcPr>
            <w:tcW w:w="45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14.7.</w:t>
            </w:r>
          </w:p>
        </w:tc>
        <w:tc>
          <w:tcPr>
            <w:tcW w:w="9747" w:type="dxa"/>
            <w:tcBorders/>
            <w:vAlign w:val="center"/>
          </w:tcPr>
          <w:p>
            <w:pPr>
              <w:pStyle w:val="TableContents"/>
              <w:bidi w:val="0"/>
              <w:spacing w:before="0" w:after="283"/>
              <w:ind w:left="0" w:right="0" w:hanging="0"/>
              <w:jc w:val="left"/>
              <w:rPr/>
            </w:pPr>
            <w:r>
              <w:rPr>
                <w:rFonts w:ascii="Times New Roman;Times;serif" w:hAnsi="Times New Roman;Times;serif"/>
                <w:b w:val="false"/>
                <w:i w:val="false"/>
                <w:caps w:val="false"/>
                <w:smallCaps w:val="false"/>
                <w:sz w:val="24"/>
                <w:u w:val="single"/>
              </w:rPr>
              <w:t>Independent Contractors</w:t>
            </w:r>
            <w:r>
              <w:rPr>
                <w:rFonts w:ascii="Times New Roman;Times;serif" w:hAnsi="Times New Roman;Times;serif"/>
                <w:b w:val="false"/>
                <w:i w:val="false"/>
                <w:caps w:val="false"/>
                <w:smallCaps w:val="false"/>
                <w:sz w:val="24"/>
              </w:rPr>
              <w:t>. Nothing set forth in this Agreement will be deemed to create a partnership, joint venture, or agency relationship between Distributor and Supplier. Distributor is an independent contractor and shall not represent itself as an employee, partner, representative or agent of Supplier.</w:t>
              <w:br/>
            </w:r>
            <w:r>
              <w:rPr/>
              <w:t>​</w:t>
            </w:r>
          </w:p>
        </w:tc>
      </w:tr>
    </w:tbl>
    <w:tbl>
      <w:tblPr>
        <w:tblW w:w="10205" w:type="dxa"/>
        <w:jc w:val="left"/>
        <w:tblInd w:w="0" w:type="dxa"/>
        <w:tblLayout w:type="fixed"/>
        <w:tblCellMar>
          <w:top w:w="0" w:type="dxa"/>
          <w:left w:w="0" w:type="dxa"/>
          <w:bottom w:w="0" w:type="dxa"/>
          <w:right w:w="0" w:type="dxa"/>
        </w:tblCellMar>
      </w:tblPr>
      <w:tblGrid>
        <w:gridCol w:w="449"/>
        <w:gridCol w:w="9756"/>
      </w:tblGrid>
      <w:tr>
        <w:trPr/>
        <w:tc>
          <w:tcPr>
            <w:tcW w:w="44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14.8.</w:t>
            </w:r>
          </w:p>
        </w:tc>
        <w:tc>
          <w:tcPr>
            <w:tcW w:w="97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No Other Terms and Conditions; Order of Priority</w:t>
            </w:r>
            <w:r>
              <w:rPr>
                <w:rFonts w:ascii="Times New Roman;Times;serif" w:hAnsi="Times New Roman;Times;serif"/>
                <w:b w:val="false"/>
                <w:i w:val="false"/>
                <w:caps w:val="false"/>
                <w:smallCaps w:val="false"/>
                <w:sz w:val="24"/>
              </w:rPr>
              <w:t>. Unless the parties agree to the contrary in writing, the parties acknowledge and agree that any terms and conditions of any purchase order, sales acknowledgement or other document submitted to the other by either party which conflict with the terms and conditions of this Agreement shall be of no force or effect, and the terms and conditions hereof control and supersede such conflicting documents and any course of conduct or usage of the trade inconsistent with any of the terms and conditions hereof.</w:t>
            </w:r>
          </w:p>
        </w:tc>
      </w:tr>
    </w:tbl>
    <w:p>
      <w:pPr>
        <w:pStyle w:val="TextBody"/>
        <w:pBdr/>
        <w:bidi w:val="0"/>
        <w:spacing w:lineRule="auto" w:line="285"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476"/>
        <w:gridCol w:w="9729"/>
      </w:tblGrid>
      <w:tr>
        <w:trPr/>
        <w:tc>
          <w:tcPr>
            <w:tcW w:w="47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14.9.</w:t>
            </w:r>
          </w:p>
        </w:tc>
        <w:tc>
          <w:tcPr>
            <w:tcW w:w="972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Headings</w:t>
            </w:r>
            <w:r>
              <w:rPr>
                <w:rFonts w:ascii="Times New Roman;Times;serif" w:hAnsi="Times New Roman;Times;serif"/>
                <w:b w:val="false"/>
                <w:i w:val="false"/>
                <w:caps w:val="false"/>
                <w:smallCaps w:val="false"/>
                <w:sz w:val="24"/>
              </w:rPr>
              <w:t>. Headings used in this Agreement are for the purpose of reference only and are not to be considered in construction or interpretation of this Agreement.</w:t>
            </w:r>
          </w:p>
        </w:tc>
      </w:tr>
    </w:tbl>
    <w:p>
      <w:pPr>
        <w:pStyle w:val="TextBody"/>
        <w:pBdr/>
        <w:bidi w:val="0"/>
        <w:spacing w:lineRule="auto" w:line="285"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579"/>
        <w:gridCol w:w="9626"/>
      </w:tblGrid>
      <w:tr>
        <w:trPr/>
        <w:tc>
          <w:tcPr>
            <w:tcW w:w="57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14.10.</w:t>
            </w:r>
          </w:p>
        </w:tc>
        <w:tc>
          <w:tcPr>
            <w:tcW w:w="962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Counterparts</w:t>
            </w:r>
            <w:r>
              <w:rPr>
                <w:rFonts w:ascii="Times New Roman;Times;serif" w:hAnsi="Times New Roman;Times;serif"/>
                <w:b w:val="false"/>
                <w:i w:val="false"/>
                <w:caps w:val="false"/>
                <w:smallCaps w:val="false"/>
                <w:sz w:val="24"/>
              </w:rPr>
              <w:t>. This Agreement may be executed in one or more counterparts, each of which shall be deemed an original, but all of which together shall be deemed one and the same instrument. The parties intend that facsimile signatures shall have the same binding effect as originals.</w:t>
            </w:r>
          </w:p>
        </w:tc>
      </w:tr>
    </w:tbl>
    <w:p>
      <w:pPr>
        <w:pStyle w:val="TextBody"/>
        <w:pBdr/>
        <w:bidi w:val="0"/>
        <w:spacing w:lineRule="auto" w:line="285"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580"/>
        <w:gridCol w:w="9625"/>
      </w:tblGrid>
      <w:tr>
        <w:trPr/>
        <w:tc>
          <w:tcPr>
            <w:tcW w:w="5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14.11.</w:t>
            </w:r>
          </w:p>
        </w:tc>
        <w:tc>
          <w:tcPr>
            <w:tcW w:w="96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Entire Agreement; Amendment</w:t>
            </w:r>
            <w:r>
              <w:rPr>
                <w:rFonts w:ascii="Times New Roman;Times;serif" w:hAnsi="Times New Roman;Times;serif"/>
                <w:b w:val="false"/>
                <w:i w:val="false"/>
                <w:caps w:val="false"/>
                <w:smallCaps w:val="false"/>
                <w:sz w:val="24"/>
              </w:rPr>
              <w:t xml:space="preserve">. This Agreement, including the Exhibits, contain the entire Agreement between the parties relating to the subject matter hereof. All prior agreements and all prior negotiations, representations and communications relating to the same subject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are superseded by this Agreement. This Agreement may not be modified other than by a written document signed by an authorized representative of each party.</w:t>
            </w:r>
          </w:p>
        </w:tc>
      </w:tr>
    </w:tbl>
    <w:p>
      <w:pPr>
        <w:pStyle w:val="TextBody"/>
        <w:pBdr/>
        <w:bidi w:val="0"/>
        <w:spacing w:lineRule="auto" w:line="285"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566"/>
        <w:gridCol w:w="9639"/>
      </w:tblGrid>
      <w:tr>
        <w:trPr/>
        <w:tc>
          <w:tcPr>
            <w:tcW w:w="56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14.12.</w:t>
            </w:r>
          </w:p>
        </w:tc>
        <w:tc>
          <w:tcPr>
            <w:tcW w:w="963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Force Majeure</w:t>
            </w:r>
            <w:r>
              <w:rPr>
                <w:rFonts w:ascii="Times New Roman;Times;serif" w:hAnsi="Times New Roman;Times;serif"/>
                <w:b w:val="false"/>
                <w:i w:val="false"/>
                <w:caps w:val="false"/>
                <w:smallCaps w:val="false"/>
                <w:sz w:val="24"/>
              </w:rPr>
              <w:t>. Supplier shall not be liable for any delay in the delivery of any Products resulting from any cause or circumstance which is not within the control of Supplier, including but not limited to acts of God, acts of Distributor, acts or orders of governmental authorities having or asserting jurisdiction, fires, floods, transportation delays and interruptions as the result of strikes, lockouts, riots or civil disturbances, war, or manufacturer shortages.  Distributor shall not be liable for any delay in the performance of its obligations hereunder resulting from acts of God, breaches of this Agreement by Supplier, acts or orders of governmental authorities having or asserting jurisdiction, fires, floods, unavoidable transportation delays and interruptions as the result of riots or civil disturbances, war, or unavoidable shortages.</w:t>
            </w:r>
          </w:p>
        </w:tc>
      </w:tr>
    </w:tbl>
    <w:p>
      <w:pPr>
        <w:pStyle w:val="TextBody"/>
        <w:bidi w:val="0"/>
        <w:spacing w:lineRule="auto" w:line="285" w:before="0" w:after="0"/>
        <w:ind w:left="720" w:right="0" w:hanging="0"/>
        <w:jc w:val="both"/>
        <w:rPr/>
      </w:pPr>
      <w:r>
        <w:rPr/>
        <w:t>​</w:t>
      </w:r>
    </w:p>
    <w:tbl>
      <w:tblPr>
        <w:tblW w:w="3145" w:type="dxa"/>
        <w:jc w:val="left"/>
        <w:tblInd w:w="0" w:type="dxa"/>
        <w:tblLayout w:type="fixed"/>
        <w:tblCellMar>
          <w:top w:w="0" w:type="dxa"/>
          <w:left w:w="0" w:type="dxa"/>
          <w:bottom w:w="0" w:type="dxa"/>
          <w:right w:w="0" w:type="dxa"/>
        </w:tblCellMar>
      </w:tblPr>
      <w:tblGrid>
        <w:gridCol w:w="320"/>
        <w:gridCol w:w="2825"/>
      </w:tblGrid>
      <w:tr>
        <w:trPr/>
        <w:tc>
          <w:tcPr>
            <w:tcW w:w="32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15.</w:t>
            </w:r>
          </w:p>
        </w:tc>
        <w:tc>
          <w:tcPr>
            <w:tcW w:w="282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CERTAIN DEFINITIONS</w:t>
            </w:r>
          </w:p>
        </w:tc>
      </w:tr>
    </w:tbl>
    <w:p>
      <w:pPr>
        <w:pStyle w:val="TextBody"/>
        <w:bidi w:val="0"/>
        <w:spacing w:lineRule="auto" w:line="285" w:before="0" w:after="0"/>
        <w:ind w:left="360" w:right="0" w:hanging="0"/>
        <w:jc w:val="both"/>
        <w:rPr>
          <w:rFonts w:ascii="Times New Roman;Times;serif" w:hAnsi="Times New Roman;Times;serif"/>
          <w:sz w:val="24"/>
        </w:rPr>
      </w:pPr>
      <w:r>
        <w:rPr>
          <w:rFonts w:ascii="Times New Roman;Times;serif" w:hAnsi="Times New Roman;Times;serif"/>
          <w:sz w:val="24"/>
        </w:rPr>
        <w:t>In addition to defined terms included in other sections of this Agreement, when used here, the following capitalized terms shall have the following definitions:</w:t>
      </w:r>
    </w:p>
    <w:p>
      <w:pPr>
        <w:pStyle w:val="TextBody"/>
        <w:bidi w:val="0"/>
        <w:spacing w:lineRule="auto" w:line="285" w:before="0" w:after="0"/>
        <w:ind w:left="0"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15.1.</w:t>
      </w:r>
      <w:r>
        <w:rPr>
          <w:rFonts w:ascii="Times" w:hAnsi="Times"/>
          <w:sz w:val="24"/>
        </w:rPr>
        <w:t>“</w:t>
      </w:r>
      <w:r>
        <w:rPr>
          <w:rFonts w:ascii="Times New Roman;Times;serif" w:hAnsi="Times New Roman;Times;serif"/>
          <w:sz w:val="24"/>
          <w:u w:val="single"/>
        </w:rPr>
        <w:t>Net Sales</w:t>
      </w:r>
      <w:r>
        <w:rPr>
          <w:rFonts w:ascii="Times" w:hAnsi="Times"/>
          <w:sz w:val="24"/>
        </w:rPr>
        <w:t xml:space="preserve">” </w:t>
      </w:r>
      <w:r>
        <w:rPr>
          <w:rFonts w:ascii="Times New Roman;Times;serif" w:hAnsi="Times New Roman;Times;serif"/>
          <w:sz w:val="24"/>
        </w:rPr>
        <w:t>means revenue recognized by Distributor or Supplier, as applicable, in the applicable period in accordance with U.S. generally accepted accounting principles consistently applied by such Person, net of returns, allowances and refunds.</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15.2.</w:t>
      </w:r>
      <w:r>
        <w:rPr>
          <w:rFonts w:ascii="Times" w:hAnsi="Times"/>
          <w:sz w:val="24"/>
        </w:rPr>
        <w:t>“</w:t>
      </w:r>
      <w:r>
        <w:rPr>
          <w:rFonts w:ascii="Times" w:hAnsi="Times"/>
          <w:sz w:val="24"/>
          <w:u w:val="single"/>
        </w:rPr>
        <w:t>Person</w:t>
      </w:r>
      <w:r>
        <w:rPr>
          <w:rFonts w:ascii="Times" w:hAnsi="Times"/>
          <w:sz w:val="24"/>
        </w:rPr>
        <w:t>” means any natural person or any corporation, partnership, limited liability company, business association, joint venture or other entity.</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15.3.</w:t>
      </w:r>
      <w:r>
        <w:rPr>
          <w:rFonts w:ascii="Times" w:hAnsi="Times"/>
          <w:sz w:val="24"/>
        </w:rPr>
        <w:t>“</w:t>
      </w:r>
      <w:r>
        <w:rPr>
          <w:rFonts w:ascii="Times New Roman;Times;serif" w:hAnsi="Times New Roman;Times;serif"/>
          <w:sz w:val="24"/>
          <w:u w:val="single"/>
        </w:rPr>
        <w:t>Product</w:t>
      </w:r>
      <w:r>
        <w:rPr>
          <w:rFonts w:ascii="Times" w:hAnsi="Times"/>
          <w:sz w:val="24"/>
        </w:rPr>
        <w:t xml:space="preserve">” </w:t>
      </w:r>
      <w:r>
        <w:rPr>
          <w:rFonts w:ascii="Times New Roman;Times;serif" w:hAnsi="Times New Roman;Times;serif"/>
          <w:sz w:val="24"/>
        </w:rPr>
        <w:t>means the ProxiCor Products, the Tyke Product and the VasCure for Vascular Repair Products collectively and individually.</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15.4.</w:t>
      </w:r>
      <w:r>
        <w:rPr>
          <w:rFonts w:ascii="Times" w:hAnsi="Times"/>
          <w:sz w:val="24"/>
        </w:rPr>
        <w:t>“</w:t>
      </w:r>
      <w:r>
        <w:rPr>
          <w:rFonts w:ascii="Times New Roman;Times;serif" w:hAnsi="Times New Roman;Times;serif"/>
          <w:sz w:val="24"/>
          <w:u w:val="single"/>
        </w:rPr>
        <w:t>ProxiCor for Cardiac Tissue Repair Product</w:t>
      </w:r>
      <w:r>
        <w:rPr>
          <w:rFonts w:ascii="Times" w:hAnsi="Times"/>
          <w:sz w:val="24"/>
        </w:rPr>
        <w:t xml:space="preserve">” </w:t>
      </w:r>
      <w:r>
        <w:rPr>
          <w:rFonts w:ascii="Times New Roman;Times;serif" w:hAnsi="Times New Roman;Times;serif"/>
          <w:sz w:val="24"/>
        </w:rPr>
        <w:t>shall mean the product currently distributed by Supplier as its “ProxiCor for Cardiac Tissue Repair” product.</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15.5.</w:t>
      </w:r>
      <w:r>
        <w:rPr>
          <w:rFonts w:ascii="Times" w:hAnsi="Times"/>
          <w:sz w:val="24"/>
        </w:rPr>
        <w:t>“</w:t>
      </w:r>
      <w:r>
        <w:rPr>
          <w:rFonts w:ascii="Times New Roman;Times;serif" w:hAnsi="Times New Roman;Times;serif"/>
          <w:sz w:val="24"/>
          <w:u w:val="single"/>
        </w:rPr>
        <w:t>ProxiCor for Pericardial Closure Product</w:t>
      </w:r>
      <w:r>
        <w:rPr>
          <w:rFonts w:ascii="Times" w:hAnsi="Times"/>
          <w:sz w:val="24"/>
        </w:rPr>
        <w:t xml:space="preserve">” </w:t>
      </w:r>
      <w:r>
        <w:rPr>
          <w:rFonts w:ascii="Times New Roman;Times;serif" w:hAnsi="Times New Roman;Times;serif"/>
          <w:sz w:val="24"/>
        </w:rPr>
        <w:t>shall mean the product currently distributed by Supplier as its “ProxiCor for Pericardial Closure” product.</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15.6.</w:t>
      </w:r>
      <w:r>
        <w:rPr>
          <w:rFonts w:ascii="Times" w:hAnsi="Times"/>
          <w:sz w:val="24"/>
        </w:rPr>
        <w:t>“</w:t>
      </w:r>
      <w:r>
        <w:rPr>
          <w:rFonts w:ascii="Times New Roman;Times;serif" w:hAnsi="Times New Roman;Times;serif"/>
          <w:sz w:val="24"/>
          <w:u w:val="single"/>
        </w:rPr>
        <w:t>ProxiCor Product</w:t>
      </w:r>
      <w:r>
        <w:rPr>
          <w:rFonts w:ascii="Times" w:hAnsi="Times"/>
          <w:sz w:val="24"/>
        </w:rPr>
        <w:t xml:space="preserve">” </w:t>
      </w:r>
      <w:r>
        <w:rPr>
          <w:rFonts w:ascii="Times New Roman;Times;serif" w:hAnsi="Times New Roman;Times;serif"/>
          <w:sz w:val="24"/>
        </w:rPr>
        <w:t>shall mean the ProxiCor for Pericardial Closure Product and the ProxiCor for Cardiac Tissue Product, collectively.</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15.7.</w:t>
      </w:r>
      <w:r>
        <w:rPr>
          <w:rFonts w:ascii="Times" w:hAnsi="Times"/>
          <w:sz w:val="24"/>
        </w:rPr>
        <w:t>“</w:t>
      </w:r>
      <w:r>
        <w:rPr>
          <w:rFonts w:ascii="Times New Roman;Times;serif" w:hAnsi="Times New Roman;Times;serif"/>
          <w:sz w:val="24"/>
          <w:u w:val="single"/>
        </w:rPr>
        <w:t>Shelf Life</w:t>
      </w:r>
      <w:r>
        <w:rPr>
          <w:rFonts w:ascii="Times" w:hAnsi="Times"/>
          <w:sz w:val="24"/>
        </w:rPr>
        <w:t xml:space="preserve">” </w:t>
      </w:r>
      <w:r>
        <w:rPr>
          <w:rFonts w:ascii="Times New Roman;Times;serif" w:hAnsi="Times New Roman;Times;serif"/>
          <w:sz w:val="24"/>
        </w:rPr>
        <w:t xml:space="preserve">means with respect to a Product the time remaining from the date of shipment of such Product by Supplier to Distributor and the expiration date on the corresponding inventory schedule maintained in the ordinary course of business by Supplier. </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15.8.</w:t>
      </w:r>
      <w:r>
        <w:rPr>
          <w:rFonts w:ascii="Times" w:hAnsi="Times"/>
          <w:sz w:val="24"/>
        </w:rPr>
        <w:t>“</w:t>
      </w:r>
      <w:r>
        <w:rPr>
          <w:rFonts w:ascii="Times" w:hAnsi="Times"/>
          <w:sz w:val="24"/>
          <w:u w:val="single"/>
        </w:rPr>
        <w:t>Specifications</w:t>
      </w:r>
      <w:r>
        <w:rPr>
          <w:rFonts w:ascii="Times" w:hAnsi="Times"/>
          <w:sz w:val="24"/>
        </w:rPr>
        <w:t>” means the specifications for applicable Product as approved by the Food and Drug Administration in the 510(k) clearance applicable to the Product.</w:t>
      </w:r>
    </w:p>
    <w:p>
      <w:pPr>
        <w:pStyle w:val="TextBody"/>
        <w:bidi w:val="0"/>
        <w:spacing w:lineRule="auto" w:line="285" w:before="0" w:after="0"/>
        <w:ind w:left="792"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15.9.</w:t>
      </w:r>
      <w:r>
        <w:rPr>
          <w:rFonts w:ascii="Times" w:hAnsi="Times"/>
          <w:sz w:val="24"/>
        </w:rPr>
        <w:t>“</w:t>
      </w:r>
      <w:r>
        <w:rPr>
          <w:rFonts w:ascii="Times New Roman;Times;serif" w:hAnsi="Times New Roman;Times;serif"/>
          <w:sz w:val="24"/>
          <w:u w:val="single"/>
        </w:rPr>
        <w:t>Tyke Product</w:t>
      </w:r>
      <w:r>
        <w:rPr>
          <w:rFonts w:ascii="Times" w:hAnsi="Times"/>
          <w:sz w:val="24"/>
        </w:rPr>
        <w:t xml:space="preserve">” </w:t>
      </w:r>
      <w:r>
        <w:rPr>
          <w:rFonts w:ascii="Times New Roman;Times;serif" w:hAnsi="Times New Roman;Times;serif"/>
          <w:sz w:val="24"/>
        </w:rPr>
        <w:t>shall mean the product currently distributed by Supplier as its “Tyke” product.</w:t>
      </w:r>
    </w:p>
    <w:p>
      <w:pPr>
        <w:pStyle w:val="TextBody"/>
        <w:bidi w:val="0"/>
        <w:spacing w:lineRule="auto" w:line="285" w:before="0" w:after="0"/>
        <w:ind w:left="792" w:right="0" w:hanging="0"/>
        <w:jc w:val="both"/>
        <w:rPr/>
      </w:pPr>
      <w:r>
        <w:rPr/>
        <w:t>​</w:t>
      </w:r>
    </w:p>
    <w:p>
      <w:pPr>
        <w:pStyle w:val="TextBody"/>
        <w:bidi w:val="0"/>
        <w:spacing w:lineRule="auto" w:line="285"/>
        <w:ind w:left="360" w:right="0" w:hanging="0"/>
        <w:jc w:val="both"/>
        <w:rPr>
          <w:rFonts w:ascii="Times" w:hAnsi="Times"/>
          <w:sz w:val="24"/>
        </w:rPr>
      </w:pPr>
      <w:r>
        <w:rPr>
          <w:rFonts w:ascii="Times New Roman;Times;serif" w:hAnsi="Times New Roman;Times;serif"/>
          <w:sz w:val="24"/>
        </w:rPr>
        <w:t>15.10.</w:t>
      </w:r>
      <w:r>
        <w:rPr>
          <w:rFonts w:ascii="Times" w:hAnsi="Times"/>
          <w:sz w:val="24"/>
        </w:rPr>
        <w:t>“</w:t>
      </w:r>
      <w:r>
        <w:rPr>
          <w:rFonts w:ascii="Times New Roman;Times;serif" w:hAnsi="Times New Roman;Times;serif"/>
          <w:sz w:val="24"/>
          <w:u w:val="single"/>
        </w:rPr>
        <w:t>VasCure for Vascular Repair Product</w:t>
      </w:r>
      <w:r>
        <w:rPr>
          <w:rFonts w:ascii="Times" w:hAnsi="Times"/>
          <w:sz w:val="24"/>
        </w:rPr>
        <w:t xml:space="preserve">” </w:t>
      </w:r>
      <w:r>
        <w:rPr>
          <w:rFonts w:ascii="Times New Roman;Times;serif" w:hAnsi="Times New Roman;Times;serif"/>
          <w:sz w:val="24"/>
        </w:rPr>
        <w:t>shall mean the product currently distributed by Supplier as its “VasCure for Vascular Repair” product.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[signature page follows]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IN WITNESS WHEREOF, the parties hereto have caused this Agreement to be executed by their respective duly authorized representatives the day and year first set forth above:</w:t>
      </w:r>
    </w:p>
    <w:p>
      <w:pPr>
        <w:pStyle w:val="TextBody"/>
        <w:pBdr/>
        <w:bidi w:val="0"/>
        <w:spacing w:lineRule="auto" w:line="285" w:before="0" w:after="0"/>
        <w:ind w:left="0" w:right="0" w:hanging="720"/>
        <w:jc w:val="both"/>
        <w:rPr/>
      </w:pPr>
      <w:r>
        <w:rPr/>
        <w:t>​</w:t>
      </w:r>
    </w:p>
    <w:p>
      <w:pPr>
        <w:pStyle w:val="TextBody"/>
        <w:pBdr/>
        <w:bidi w:val="0"/>
        <w:spacing w:lineRule="auto" w:line="285" w:before="0" w:after="0"/>
        <w:ind w:left="0" w:right="0" w:hanging="720"/>
        <w:jc w:val="both"/>
        <w:rPr>
          <w:rFonts w:ascii="Times New Roman;Times;serif" w:hAnsi="Times New Roman;Times;serif"/>
          <w:sz w:val="24"/>
        </w:rPr>
      </w:pPr>
      <w:r>
        <w:rPr>
          <w:rFonts w:ascii="Times New Roman;Times;serif" w:hAnsi="Times New Roman;Times;serif"/>
          <w:sz w:val="24"/>
        </w:rPr>
        <w:t>AZIYO BIOLOGICS, INC.</w:t>
      </w:r>
    </w:p>
    <w:p>
      <w:pPr>
        <w:pStyle w:val="TextBody"/>
        <w:pBdr/>
        <w:bidi w:val="0"/>
        <w:spacing w:lineRule="auto" w:line="285" w:before="0" w:after="0"/>
        <w:ind w:left="0" w:right="0" w:hanging="720"/>
        <w:jc w:val="both"/>
        <w:rPr/>
      </w:pPr>
      <w:r>
        <w:rPr/>
        <w:t>​</w:t>
      </w:r>
    </w:p>
    <w:p>
      <w:pPr>
        <w:pStyle w:val="TextBody"/>
        <w:pBdr/>
        <w:bidi w:val="0"/>
        <w:spacing w:lineRule="auto" w:line="285" w:before="0" w:after="0"/>
        <w:ind w:left="0" w:right="0" w:hanging="720"/>
        <w:jc w:val="both"/>
        <w:rPr/>
      </w:pPr>
      <w:r>
        <w:rPr/>
        <w:t>​</w:t>
      </w:r>
    </w:p>
    <w:tbl>
      <w:tblPr>
        <w:tblW w:w="2515" w:type="dxa"/>
        <w:jc w:val="left"/>
        <w:tblInd w:w="0" w:type="dxa"/>
        <w:tblLayout w:type="fixed"/>
        <w:tblCellMar>
          <w:top w:w="0" w:type="dxa"/>
          <w:left w:w="0" w:type="dxa"/>
          <w:bottom w:w="0" w:type="dxa"/>
          <w:right w:w="0" w:type="dxa"/>
        </w:tblCellMar>
      </w:tblPr>
      <w:tblGrid>
        <w:gridCol w:w="365"/>
        <w:gridCol w:w="2150"/>
      </w:tblGrid>
      <w:tr>
        <w:trPr/>
        <w:tc>
          <w:tcPr>
            <w:tcW w:w="365"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By:</w:t>
            </w:r>
          </w:p>
        </w:tc>
        <w:tc>
          <w:tcPr>
            <w:tcW w:w="2150" w:type="dxa"/>
            <w:tcBorders/>
            <w:vAlign w:val="center"/>
          </w:tcPr>
          <w:p>
            <w:pPr>
              <w:pStyle w:val="TableContents"/>
              <w:bidi w:val="0"/>
              <w:spacing w:lineRule="auto" w:line="285" w:before="0" w:after="0"/>
              <w:ind w:left="0" w:right="0" w:hanging="0"/>
              <w:jc w:val="both"/>
              <w:rPr>
                <w:rFonts w:ascii="Times" w:hAnsi="Times"/>
                <w:sz w:val="24"/>
              </w:rPr>
            </w:pPr>
            <w:r>
              <w:rPr>
                <w:rFonts w:ascii="Times New Roman;Times;serif" w:hAnsi="Times New Roman;Times;serif"/>
                <w:sz w:val="24"/>
              </w:rPr>
              <w:t>/s/ Matt Ferguson</w:t>
            </w:r>
            <w:r>
              <w:rPr>
                <w:rFonts w:ascii="Times" w:hAnsi="Times"/>
                <w:sz w:val="24"/>
                <w:u w:val="single"/>
              </w:rPr>
              <w:t>​ ​​ ​​ ​​ ​​ ​​ ​​ ​​ ​</w:t>
            </w:r>
          </w:p>
        </w:tc>
      </w:tr>
    </w:tbl>
    <w:p>
      <w:pPr>
        <w:pStyle w:val="TextBody"/>
        <w:pBdr/>
        <w:bidi w:val="0"/>
        <w:spacing w:lineRule="auto" w:line="285"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Name:</w:t>
      </w:r>
    </w:p>
    <w:p>
      <w:pPr>
        <w:pStyle w:val="TextBody"/>
        <w:pBdr/>
        <w:bidi w:val="0"/>
        <w:spacing w:lineRule="auto" w:line="285"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w:t>
      </w:r>
    </w:p>
    <w:p>
      <w:pPr>
        <w:pStyle w:val="TextBody"/>
        <w:pBdr/>
        <w:bidi w:val="0"/>
        <w:spacing w:lineRule="auto" w:line="285" w:before="0" w:after="0"/>
        <w:ind w:left="0" w:right="0" w:hanging="720"/>
        <w:jc w:val="both"/>
        <w:rPr/>
      </w:pPr>
      <w:r>
        <w:rPr/>
        <w:t>​</w:t>
      </w:r>
    </w:p>
    <w:p>
      <w:pPr>
        <w:pStyle w:val="TextBody"/>
        <w:pBdr/>
        <w:bidi w:val="0"/>
        <w:spacing w:lineRule="auto" w:line="285" w:before="0" w:after="0"/>
        <w:ind w:left="0" w:right="0" w:hanging="720"/>
        <w:jc w:val="both"/>
        <w:rPr/>
      </w:pPr>
      <w:r>
        <w:rPr/>
        <w:t>​</w:t>
      </w:r>
    </w:p>
    <w:p>
      <w:pPr>
        <w:pStyle w:val="TextBody"/>
        <w:pBdr/>
        <w:bidi w:val="0"/>
        <w:spacing w:lineRule="auto" w:line="285" w:before="0" w:after="0"/>
        <w:ind w:left="0" w:right="0" w:hanging="720"/>
        <w:jc w:val="both"/>
        <w:rPr>
          <w:rFonts w:ascii="Times New Roman;Times;serif" w:hAnsi="Times New Roman;Times;serif"/>
          <w:caps/>
          <w:sz w:val="24"/>
        </w:rPr>
      </w:pPr>
      <w:r>
        <w:rPr>
          <w:rFonts w:ascii="Times New Roman;Times;serif" w:hAnsi="Times New Roman;Times;serif"/>
          <w:caps/>
          <w:sz w:val="24"/>
        </w:rPr>
        <w:t>LeMaitre VASCULAR, INC.</w:t>
      </w:r>
    </w:p>
    <w:p>
      <w:pPr>
        <w:pStyle w:val="TextBody"/>
        <w:pBdr/>
        <w:bidi w:val="0"/>
        <w:spacing w:lineRule="auto" w:line="285" w:before="0" w:after="0"/>
        <w:ind w:left="0" w:right="0" w:hanging="720"/>
        <w:jc w:val="both"/>
        <w:rPr/>
      </w:pPr>
      <w:r>
        <w:rPr/>
        <w:t>​</w:t>
      </w:r>
    </w:p>
    <w:tbl>
      <w:tblPr>
        <w:tblW w:w="2440" w:type="dxa"/>
        <w:jc w:val="left"/>
        <w:tblInd w:w="0" w:type="dxa"/>
        <w:tblLayout w:type="fixed"/>
        <w:tblCellMar>
          <w:top w:w="0" w:type="dxa"/>
          <w:left w:w="0" w:type="dxa"/>
          <w:bottom w:w="0" w:type="dxa"/>
          <w:right w:w="0" w:type="dxa"/>
        </w:tblCellMar>
      </w:tblPr>
      <w:tblGrid>
        <w:gridCol w:w="365"/>
        <w:gridCol w:w="2075"/>
      </w:tblGrid>
      <w:tr>
        <w:trPr/>
        <w:tc>
          <w:tcPr>
            <w:tcW w:w="365"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By:</w:t>
            </w:r>
          </w:p>
        </w:tc>
        <w:tc>
          <w:tcPr>
            <w:tcW w:w="2075" w:type="dxa"/>
            <w:tcBorders/>
            <w:vAlign w:val="center"/>
          </w:tcPr>
          <w:p>
            <w:pPr>
              <w:pStyle w:val="TableContents"/>
              <w:bidi w:val="0"/>
              <w:spacing w:lineRule="auto" w:line="285" w:before="0" w:after="0"/>
              <w:ind w:left="0" w:right="0" w:hanging="0"/>
              <w:jc w:val="both"/>
              <w:rPr>
                <w:rFonts w:ascii="Times" w:hAnsi="Times"/>
                <w:sz w:val="24"/>
              </w:rPr>
            </w:pPr>
            <w:r>
              <w:rPr>
                <w:rFonts w:ascii="Times New Roman;Times;serif" w:hAnsi="Times New Roman;Times;serif"/>
                <w:sz w:val="24"/>
              </w:rPr>
              <w:t>/s/ Dave Roberts</w:t>
            </w:r>
            <w:r>
              <w:rPr>
                <w:rFonts w:ascii="Times" w:hAnsi="Times"/>
                <w:sz w:val="24"/>
                <w:u w:val="single"/>
              </w:rPr>
              <w:t>​ ​​ ​​ ​​ ​​ ​​ ​​ ​​ ​</w:t>
            </w:r>
          </w:p>
        </w:tc>
      </w:tr>
    </w:tbl>
    <w:p>
      <w:pPr>
        <w:pStyle w:val="TextBody"/>
        <w:pBdr/>
        <w:bidi w:val="0"/>
        <w:spacing w:lineRule="auto" w:line="285"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Name:</w:t>
      </w:r>
    </w:p>
    <w:p>
      <w:pPr>
        <w:pStyle w:val="TextBody"/>
        <w:pBdr/>
        <w:bidi w:val="0"/>
        <w:spacing w:lineRule="auto" w:line="285"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Schedule 8.2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(vii)</w:t>
      </w:r>
    </w:p>
    <w:tbl>
      <w:tblPr>
        <w:tblW w:w="738" w:type="dxa"/>
        <w:jc w:val="left"/>
        <w:tblInd w:w="0" w:type="dxa"/>
        <w:tblLayout w:type="fixed"/>
        <w:tblCellMar>
          <w:top w:w="0" w:type="dxa"/>
          <w:left w:w="0" w:type="dxa"/>
          <w:bottom w:w="0" w:type="dxa"/>
          <w:right w:w="0" w:type="dxa"/>
        </w:tblCellMar>
      </w:tblPr>
      <w:tblGrid>
        <w:gridCol w:w="23"/>
        <w:gridCol w:w="170"/>
        <w:gridCol w:w="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None</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OPTION TERMS</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650"/>
        <w:gridCol w:w="8555"/>
      </w:tblGrid>
      <w:tr>
        <w:trPr/>
        <w:tc>
          <w:tcPr>
            <w:tcW w:w="1650" w:type="dxa"/>
            <w:tcBorders/>
            <w:vAlign w:val="center"/>
          </w:tcPr>
          <w:p>
            <w:pPr>
              <w:pStyle w:val="TableContents"/>
              <w:bidi w:val="0"/>
              <w:spacing w:before="0" w:after="283"/>
              <w:ind w:left="0" w:right="0" w:hanging="0"/>
              <w:jc w:val="left"/>
              <w:rPr>
                <w:sz w:val="4"/>
                <w:szCs w:val="4"/>
              </w:rPr>
            </w:pPr>
            <w:r>
              <w:rPr>
                <w:sz w:val="4"/>
                <w:szCs w:val="4"/>
              </w:rPr>
            </w:r>
          </w:p>
        </w:tc>
        <w:tc>
          <w:tcPr>
            <w:tcW w:w="8555" w:type="dxa"/>
            <w:tcBorders/>
            <w:vAlign w:val="center"/>
          </w:tcPr>
          <w:p>
            <w:pPr>
              <w:pStyle w:val="TableContents"/>
              <w:bidi w:val="0"/>
              <w:spacing w:lineRule="auto" w:line="285" w:before="0" w:after="0"/>
              <w:ind w:left="0" w:right="0" w:hanging="0"/>
              <w:jc w:val="left"/>
              <w:rPr>
                <w:color w:val="000000"/>
              </w:rPr>
            </w:pPr>
            <w:r>
              <w:rPr>
                <w:color w:val="000000"/>
              </w:rPr>
              <w:t>​</w:t>
            </w:r>
          </w:p>
          <w:p>
            <w:pPr>
              <w:pStyle w:val="TableContents"/>
              <w:bidi w:val="0"/>
              <w:spacing w:lineRule="auto" w:line="285" w:before="0" w:after="0"/>
              <w:ind w:left="0" w:right="0" w:hanging="0"/>
              <w:jc w:val="left"/>
              <w:rPr>
                <w:color w:val="000000"/>
              </w:rPr>
            </w:pPr>
            <w:r>
              <w:rPr>
                <w:color w:val="000000"/>
              </w:rPr>
              <w:t>​</w:t>
            </w:r>
          </w:p>
          <w:p>
            <w:pPr>
              <w:pStyle w:val="TableContents"/>
              <w:bidi w:val="0"/>
              <w:spacing w:lineRule="auto" w:line="285" w:before="0" w:after="0"/>
              <w:ind w:left="0" w:right="0" w:hanging="0"/>
              <w:jc w:val="left"/>
              <w:rPr/>
            </w:pPr>
            <w:r>
              <w:rPr/>
              <w:t>​</w:t>
            </w:r>
          </w:p>
        </w:tc>
      </w:tr>
      <w:tr>
        <w:trPr/>
        <w:tc>
          <w:tcPr>
            <w:tcW w:w="16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Parties:</w:t>
            </w:r>
          </w:p>
        </w:tc>
        <w:tc>
          <w:tcPr>
            <w:tcW w:w="855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LeMaitre Vascular, Inc. (“Distributor”)</w:t>
            </w:r>
          </w:p>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Aziyo Biologics, Inc. (“Supplier”)</w:t>
            </w:r>
          </w:p>
          <w:p>
            <w:pPr>
              <w:pStyle w:val="TableContents"/>
              <w:bidi w:val="0"/>
              <w:spacing w:lineRule="auto" w:line="285" w:before="0" w:after="0"/>
              <w:ind w:left="0" w:right="0" w:hanging="0"/>
              <w:jc w:val="left"/>
              <w:rPr>
                <w:color w:val="000000"/>
              </w:rPr>
            </w:pPr>
            <w:r>
              <w:rPr>
                <w:color w:val="000000"/>
              </w:rPr>
              <w:t>​</w:t>
            </w:r>
          </w:p>
        </w:tc>
      </w:tr>
      <w:tr>
        <w:trPr/>
        <w:tc>
          <w:tcPr>
            <w:tcW w:w="16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Products:</w:t>
            </w:r>
          </w:p>
        </w:tc>
        <w:tc>
          <w:tcPr>
            <w:tcW w:w="855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1.</w:t>
            </w:r>
          </w:p>
          <w:p>
            <w:pPr>
              <w:pStyle w:val="TableContents"/>
              <w:bidi w:val="0"/>
              <w:spacing w:lineRule="auto" w:line="285"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ProxiCor for Pericardial Closure Product</w:t>
            </w:r>
          </w:p>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2.</w:t>
            </w:r>
          </w:p>
          <w:p>
            <w:pPr>
              <w:pStyle w:val="TableContents"/>
              <w:bidi w:val="0"/>
              <w:spacing w:lineRule="auto" w:line="285"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ProxiCor for Cardiac Tissue Repair Product</w:t>
            </w:r>
          </w:p>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3.</w:t>
            </w:r>
          </w:p>
          <w:p>
            <w:pPr>
              <w:pStyle w:val="TableContents"/>
              <w:bidi w:val="0"/>
              <w:spacing w:lineRule="auto" w:line="285"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Tyke Product</w:t>
            </w:r>
          </w:p>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4.</w:t>
            </w:r>
          </w:p>
          <w:p>
            <w:pPr>
              <w:pStyle w:val="TableContents"/>
              <w:bidi w:val="0"/>
              <w:spacing w:lineRule="auto" w:line="285"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VasCure for Vascular Repair Product and the ex-US version thereof marketed currently as “VasCure for Carotid Repair”</w:t>
            </w:r>
          </w:p>
          <w:p>
            <w:pPr>
              <w:pStyle w:val="TableContents"/>
              <w:bidi w:val="0"/>
              <w:spacing w:lineRule="auto" w:line="285" w:before="0" w:after="0"/>
              <w:ind w:left="0" w:right="0" w:hanging="0"/>
              <w:jc w:val="left"/>
              <w:rPr>
                <w:color w:val="000000"/>
              </w:rPr>
            </w:pPr>
            <w:r>
              <w:rPr>
                <w:color w:val="000000"/>
              </w:rPr>
              <w:t>​</w:t>
            </w:r>
          </w:p>
        </w:tc>
      </w:tr>
      <w:tr>
        <w:trPr/>
        <w:tc>
          <w:tcPr>
            <w:tcW w:w="16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Structure:</w:t>
            </w:r>
          </w:p>
        </w:tc>
        <w:tc>
          <w:tcPr>
            <w:tcW w:w="855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Asset purchase</w:t>
            </w:r>
          </w:p>
          <w:p>
            <w:pPr>
              <w:pStyle w:val="TableContents"/>
              <w:bidi w:val="0"/>
              <w:spacing w:lineRule="auto" w:line="285" w:before="0" w:after="0"/>
              <w:ind w:left="0" w:right="0" w:hanging="0"/>
              <w:jc w:val="left"/>
              <w:rPr>
                <w:color w:val="000000"/>
              </w:rPr>
            </w:pPr>
            <w:r>
              <w:rPr>
                <w:color w:val="000000"/>
              </w:rPr>
              <w:t>​</w:t>
            </w:r>
          </w:p>
        </w:tc>
      </w:tr>
      <w:tr>
        <w:trPr/>
        <w:tc>
          <w:tcPr>
            <w:tcW w:w="16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Purchased Assets:</w:t>
            </w:r>
          </w:p>
        </w:tc>
        <w:tc>
          <w:tcPr>
            <w:tcW w:w="855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Arial;Helvetica;sans-serif" w:hAnsi="Arial;Helvetica;sans-serif"/>
                <w:b/>
                <w:color w:val="006600"/>
                <w:sz w:val="18"/>
              </w:rPr>
            </w:pPr>
            <w:r>
              <w:rPr>
                <w:rFonts w:ascii="Times New Roman;Times;serif" w:hAnsi="Times New Roman;Times;serif"/>
                <w:b w:val="false"/>
                <w:color w:val="000000"/>
                <w:sz w:val="24"/>
              </w:rPr>
              <w:t>All right, title and interest of Supplier with respect to the Products and assets used primarily with respect to the Products (collectively, the “</w:t>
            </w:r>
            <w:r>
              <w:rPr>
                <w:rFonts w:ascii="Times New Roman;Times;serif" w:hAnsi="Times New Roman;Times;serif"/>
                <w:b w:val="false"/>
                <w:color w:val="000000"/>
                <w:sz w:val="24"/>
                <w:u w:val="single"/>
              </w:rPr>
              <w:t>Purchased Assets</w:t>
            </w:r>
            <w:r>
              <w:rPr>
                <w:rFonts w:ascii="Arial;Helvetica;sans-serif" w:hAnsi="Arial;Helvetica;sans-serif"/>
                <w:b/>
                <w:color w:val="000000"/>
                <w:sz w:val="18"/>
              </w:rPr>
              <w:t>”</w:t>
            </w:r>
            <w:r>
              <w:rPr>
                <w:rFonts w:ascii="Times New Roman;Times;serif" w:hAnsi="Times New Roman;Times;serif"/>
                <w:b w:val="false"/>
                <w:color w:val="000000"/>
                <w:sz w:val="24"/>
              </w:rPr>
              <w:t>), including, without limitation:</w:t>
            </w:r>
          </w:p>
          <w:p>
            <w:pPr>
              <w:pStyle w:val="TableContents"/>
              <w:bidi w:val="0"/>
              <w:spacing w:lineRule="auto" w:line="285" w:before="0" w:after="0"/>
              <w:ind w:left="72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w:t>
            </w:r>
          </w:p>
          <w:p>
            <w:pPr>
              <w:pStyle w:val="TableContents"/>
              <w:bidi w:val="0"/>
              <w:spacing w:lineRule="auto" w:line="285" w:before="0" w:after="0"/>
              <w:jc w:val="left"/>
              <w:rPr/>
            </w:pPr>
            <w:r>
              <w:rPr/>
              <w:t>●</w:t>
            </w:r>
          </w:p>
          <w:p>
            <w:pPr>
              <w:pStyle w:val="TableContents"/>
              <w:bidi w:val="0"/>
              <w:spacing w:lineRule="auto" w:line="285"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Distribution, supplier, manufacture and customer agreements with respect to the Products that Distributor elects to assume (the “Commercial Agreements”);</w:t>
            </w:r>
          </w:p>
          <w:p>
            <w:pPr>
              <w:pStyle w:val="TableContents"/>
              <w:bidi w:val="0"/>
              <w:spacing w:lineRule="auto" w:line="285" w:before="0" w:after="0"/>
              <w:ind w:left="72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w:t>
            </w:r>
          </w:p>
          <w:p>
            <w:pPr>
              <w:pStyle w:val="TableContents"/>
              <w:bidi w:val="0"/>
              <w:spacing w:lineRule="auto" w:line="285" w:before="0" w:after="0"/>
              <w:ind w:left="0" w:right="0" w:hanging="0"/>
              <w:jc w:val="left"/>
              <w:rPr>
                <w:color w:val="000000"/>
              </w:rPr>
            </w:pPr>
            <w:r>
              <w:rPr>
                <w:color w:val="000000"/>
              </w:rPr>
              <w:t>​</w:t>
            </w:r>
          </w:p>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Unless otherwise agreed by Distributor, all Purchased Assets will be delivered by Supplier to Distributor FOB at Distributor’s offices in Burlington, Massachusetts on the Closing Date.</w:t>
            </w:r>
          </w:p>
          <w:p>
            <w:pPr>
              <w:pStyle w:val="TableContents"/>
              <w:bidi w:val="0"/>
              <w:spacing w:lineRule="auto" w:line="285" w:before="0" w:after="0"/>
              <w:ind w:left="0" w:right="0" w:hanging="0"/>
              <w:jc w:val="left"/>
              <w:rPr>
                <w:color w:val="000000"/>
              </w:rPr>
            </w:pPr>
            <w:r>
              <w:rPr>
                <w:color w:val="000000"/>
              </w:rPr>
              <w:t>​</w:t>
            </w:r>
          </w:p>
        </w:tc>
      </w:tr>
      <w:tr>
        <w:trPr/>
        <w:tc>
          <w:tcPr>
            <w:tcW w:w="16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Purchase Price and Payment:</w:t>
            </w:r>
          </w:p>
        </w:tc>
        <w:tc>
          <w:tcPr>
            <w:tcW w:w="855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color w:val="006600"/>
              </w:rPr>
            </w:pPr>
            <w:r>
              <w:rPr>
                <w:color w:val="000000"/>
              </w:rPr>
              <w:t>“</w:t>
            </w:r>
            <w:r>
              <w:rPr>
                <w:rFonts w:ascii="Times New Roman;Times;serif" w:hAnsi="Times New Roman;Times;serif"/>
                <w:b w:val="false"/>
                <w:color w:val="000000"/>
                <w:sz w:val="24"/>
                <w:u w:val="single"/>
              </w:rPr>
              <w:t>Purchase Price</w:t>
            </w:r>
            <w:r>
              <w:rPr>
                <w:rFonts w:ascii="Arial;Helvetica;sans-serif" w:hAnsi="Arial;Helvetica;sans-serif"/>
                <w:b/>
                <w:color w:val="000000"/>
                <w:sz w:val="18"/>
              </w:rPr>
              <w:t xml:space="preserve">” </w:t>
            </w:r>
            <w:r>
              <w:rPr>
                <w:rFonts w:ascii="Times New Roman;Times;serif" w:hAnsi="Times New Roman;Times;serif"/>
                <w:b w:val="false"/>
                <w:color w:val="000000"/>
                <w:sz w:val="24"/>
              </w:rPr>
              <w:t xml:space="preserve">to equal the greater of (a) $[***] million and (b) [***] times the last 12 months’ worldwide Net Sales of the Products (equal to Distributor’s Net Sales of the Products in the United States plus Supplier’s Net Sales of Products outside the United States during the 12 months immediately prior to the date of the option exercise notice). </w:t>
            </w:r>
          </w:p>
          <w:p>
            <w:pPr>
              <w:pStyle w:val="TableContents"/>
              <w:bidi w:val="0"/>
              <w:spacing w:lineRule="auto" w:line="285" w:before="0" w:after="0"/>
              <w:ind w:left="0" w:right="0" w:hanging="0"/>
              <w:jc w:val="left"/>
              <w:rPr>
                <w:color w:val="000000"/>
              </w:rPr>
            </w:pPr>
            <w:r>
              <w:rPr>
                <w:color w:val="000000"/>
              </w:rPr>
              <w:t>​</w:t>
            </w:r>
          </w:p>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The Purchase Price would also serve as consideration for transition services, which Supplier would provide pursuant to a mutually agreed transition services agreement (the “Transition Services Agreement”), as described below.</w:t>
            </w:r>
          </w:p>
          <w:p>
            <w:pPr>
              <w:pStyle w:val="TableContents"/>
              <w:bidi w:val="0"/>
              <w:spacing w:lineRule="auto" w:line="285" w:before="0" w:after="0"/>
              <w:ind w:left="0" w:right="0" w:hanging="0"/>
              <w:jc w:val="left"/>
              <w:rPr>
                <w:color w:val="000000"/>
              </w:rPr>
            </w:pPr>
            <w:r>
              <w:rPr>
                <w:color w:val="000000"/>
              </w:rPr>
              <w:t>​</w:t>
            </w:r>
          </w:p>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w:t>
            </w:r>
          </w:p>
          <w:p>
            <w:pPr>
              <w:pStyle w:val="TableContents"/>
              <w:bidi w:val="0"/>
              <w:spacing w:lineRule="auto" w:line="285" w:before="0" w:after="0"/>
              <w:ind w:left="0" w:right="0" w:hanging="0"/>
              <w:jc w:val="left"/>
              <w:rPr>
                <w:color w:val="000000"/>
              </w:rPr>
            </w:pPr>
            <w:r>
              <w:rPr>
                <w:color w:val="000000"/>
              </w:rPr>
              <w:t>​</w:t>
            </w:r>
          </w:p>
        </w:tc>
      </w:tr>
      <w:tr>
        <w:trPr/>
        <w:tc>
          <w:tcPr>
            <w:tcW w:w="16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Transition Period:</w:t>
            </w:r>
          </w:p>
        </w:tc>
        <w:tc>
          <w:tcPr>
            <w:tcW w:w="855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4"/>
              </w:rPr>
            </w:pPr>
            <w:r>
              <w:rPr>
                <w:rFonts w:ascii="Times" w:hAnsi="Times"/>
                <w:sz w:val="24"/>
              </w:rPr>
              <w:t>As a condition to Closing, the parties shall enter into a Transition Services Agreement providing for the following:</w:t>
            </w:r>
          </w:p>
          <w:p>
            <w:pPr>
              <w:pStyle w:val="TableContents"/>
              <w:bidi w:val="0"/>
              <w:spacing w:lineRule="auto" w:line="285" w:before="0" w:after="0"/>
              <w:ind w:left="720" w:right="0" w:hanging="0"/>
              <w:jc w:val="left"/>
              <w:rPr>
                <w:rFonts w:ascii="Times" w:hAnsi="Times"/>
                <w:sz w:val="24"/>
              </w:rPr>
            </w:pPr>
            <w:r>
              <w:rPr>
                <w:rFonts w:ascii="Times" w:hAnsi="Times"/>
                <w:sz w:val="24"/>
              </w:rPr>
              <w:t xml:space="preserve">[***] </w:t>
            </w:r>
          </w:p>
          <w:p>
            <w:pPr>
              <w:pStyle w:val="TableContents"/>
              <w:bidi w:val="0"/>
              <w:spacing w:lineRule="auto" w:line="285" w:before="0" w:after="0"/>
              <w:ind w:left="0" w:right="0" w:hanging="0"/>
              <w:jc w:val="left"/>
              <w:rPr/>
            </w:pPr>
            <w:r>
              <w:rPr/>
              <w:t>​</w:t>
            </w:r>
          </w:p>
        </w:tc>
      </w:tr>
      <w:tr>
        <w:trPr/>
        <w:tc>
          <w:tcPr>
            <w:tcW w:w="165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Employees:</w:t>
            </w:r>
          </w:p>
        </w:tc>
        <w:tc>
          <w:tcPr>
            <w:tcW w:w="855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4"/>
              </w:rPr>
            </w:pPr>
            <w:r>
              <w:rPr>
                <w:rFonts w:ascii="Times" w:hAnsi="Times"/>
                <w:sz w:val="24"/>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103" w:type="dxa"/>
          <w:bottom w:w="28" w:type="dxa"/>
          <w:right w:w="103" w:type="dxa"/>
        </w:tblCellMar>
      </w:tblPr>
      <w:tblGrid>
        <w:gridCol w:w="1561"/>
        <w:gridCol w:w="8644"/>
      </w:tblGrid>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p>
        </w:tc>
        <w:tc>
          <w:tcPr>
            <w:tcW w:w="86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pPr>
            <w:r>
              <w:rPr/>
              <w:t>​</w:t>
            </w:r>
          </w:p>
        </w:tc>
      </w:tr>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Non-Compete:</w:t>
            </w:r>
          </w:p>
        </w:tc>
        <w:tc>
          <w:tcPr>
            <w:tcW w:w="86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w:hAnsi="Times"/>
                <w:sz w:val="24"/>
              </w:rPr>
            </w:pPr>
            <w:r>
              <w:rPr>
                <w:rFonts w:ascii="Times" w:hAnsi="Times"/>
                <w:sz w:val="24"/>
              </w:rPr>
              <w:t>[***]</w:t>
            </w:r>
          </w:p>
          <w:p>
            <w:pPr>
              <w:pStyle w:val="TableContents"/>
              <w:bidi w:val="0"/>
              <w:spacing w:lineRule="auto" w:line="285" w:before="0" w:after="0"/>
              <w:ind w:left="0" w:right="0" w:hanging="0"/>
              <w:jc w:val="left"/>
              <w:rPr>
                <w:color w:val="006600"/>
              </w:rPr>
            </w:pPr>
            <w:r>
              <w:rPr>
                <w:color w:val="006600"/>
              </w:rPr>
              <w:t>​</w:t>
            </w:r>
          </w:p>
        </w:tc>
      </w:tr>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 xml:space="preserve">Liabilities: </w:t>
            </w:r>
          </w:p>
        </w:tc>
        <w:tc>
          <w:tcPr>
            <w:tcW w:w="86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The sole liabilities of Supplier to be assumed are those pursuant to the Commercial Agreements that Distributor elects to assume. Distributor would not assume any other liabilities of Supplier, including any obligation to pay Ligand royalties (collectively, the “Excluded Liabilities”). Supplier would agree to discharge the Excluded Liabilities in accordance with their terms.</w:t>
            </w:r>
          </w:p>
          <w:p>
            <w:pPr>
              <w:pStyle w:val="TableContents"/>
              <w:bidi w:val="0"/>
              <w:spacing w:lineRule="auto" w:line="285" w:before="0" w:after="0"/>
              <w:ind w:left="0" w:right="0" w:hanging="0"/>
              <w:jc w:val="left"/>
              <w:rPr>
                <w:color w:val="000000"/>
              </w:rPr>
            </w:pPr>
            <w:r>
              <w:rPr>
                <w:color w:val="000000"/>
              </w:rPr>
              <w:t>​</w:t>
            </w:r>
          </w:p>
        </w:tc>
      </w:tr>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Reports:</w:t>
            </w:r>
          </w:p>
        </w:tc>
        <w:tc>
          <w:tcPr>
            <w:tcW w:w="86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w:t>
            </w:r>
          </w:p>
          <w:p>
            <w:pPr>
              <w:pStyle w:val="TableContents"/>
              <w:bidi w:val="0"/>
              <w:spacing w:lineRule="auto" w:line="285" w:before="0" w:after="0"/>
              <w:ind w:left="0" w:right="0" w:hanging="0"/>
              <w:jc w:val="left"/>
              <w:rPr>
                <w:color w:val="000000"/>
              </w:rPr>
            </w:pPr>
            <w:r>
              <w:rPr>
                <w:color w:val="000000"/>
              </w:rPr>
              <w:t>​</w:t>
            </w:r>
          </w:p>
        </w:tc>
      </w:tr>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 xml:space="preserve">Expenses: </w:t>
            </w:r>
          </w:p>
        </w:tc>
        <w:tc>
          <w:tcPr>
            <w:tcW w:w="86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val="false"/>
                <w:color w:val="000000"/>
                <w:sz w:val="24"/>
              </w:rPr>
            </w:pPr>
            <w:r>
              <w:rPr>
                <w:rFonts w:ascii="Times New Roman;Times;serif" w:hAnsi="Times New Roman;Times;serif"/>
                <w:b w:val="false"/>
                <w:color w:val="000000"/>
                <w:sz w:val="24"/>
              </w:rPr>
              <w:t xml:space="preserve">Supplier and Distributor will be responsible for the payment of their respective expenses and professional fees incurred in connection with the negotiation and consummation of the acquisition. </w:t>
            </w:r>
          </w:p>
          <w:p>
            <w:pPr>
              <w:pStyle w:val="TableContents"/>
              <w:bidi w:val="0"/>
              <w:spacing w:lineRule="auto" w:line="285" w:before="0" w:after="0"/>
              <w:ind w:left="0" w:right="0" w:hanging="0"/>
              <w:jc w:val="left"/>
              <w:rPr>
                <w:color w:val="000000"/>
              </w:rPr>
            </w:pPr>
            <w:r>
              <w:rPr>
                <w:color w:val="000000"/>
              </w:rPr>
              <w:t>​</w:t>
            </w:r>
          </w:p>
        </w:tc>
      </w:tr>
      <w:tr>
        <w:trPr/>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b/>
                <w:color w:val="000000"/>
                <w:sz w:val="24"/>
              </w:rPr>
            </w:pPr>
            <w:r>
              <w:rPr>
                <w:rFonts w:ascii="Times New Roman;Times;serif" w:hAnsi="Times New Roman;Times;serif"/>
                <w:b/>
                <w:color w:val="000000"/>
                <w:sz w:val="24"/>
              </w:rPr>
              <w:t>Other:</w:t>
            </w:r>
          </w:p>
        </w:tc>
        <w:tc>
          <w:tcPr>
            <w:tcW w:w="864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jc w:val="left"/>
              <w:rPr/>
            </w:pPr>
            <w:r>
              <w:rPr/>
              <w:t>●</w:t>
            </w:r>
          </w:p>
          <w:p>
            <w:pPr>
              <w:pStyle w:val="TableContents"/>
              <w:bidi w:val="0"/>
              <w:spacing w:lineRule="auto" w:line="285"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Representations, warranties, indemnity, confidentiality, and closing conditions customary for a transaction of this nature will be included in the definitive documentation.</w:t>
            </w:r>
          </w:p>
          <w:p>
            <w:pPr>
              <w:pStyle w:val="TableContents"/>
              <w:bidi w:val="0"/>
              <w:spacing w:lineRule="auto" w:line="285" w:before="0" w:after="0"/>
              <w:jc w:val="left"/>
              <w:rPr/>
            </w:pPr>
            <w:r>
              <w:rPr/>
              <w:t>●</w:t>
            </w:r>
          </w:p>
          <w:p>
            <w:pPr>
              <w:pStyle w:val="TableContents"/>
              <w:bidi w:val="0"/>
              <w:spacing w:lineRule="auto" w:line="285" w:before="0" w:after="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Supplier would agree to indemnify Distributor for losses arising out of breaches of representations, warranties and covenants, pre-closing liabilities of Supplier subject to other customary indemnification terms (such as a basket, cap, and sunset period), all of which will be finalized in connection with the negotiation of the asset purchase agreement.</w:t>
            </w:r>
          </w:p>
          <w:p>
            <w:pPr>
              <w:pStyle w:val="TableContents"/>
              <w:bidi w:val="0"/>
              <w:spacing w:lineRule="auto" w:line="285" w:before="0" w:after="0"/>
              <w:ind w:left="0" w:right="0" w:hanging="0"/>
              <w:jc w:val="left"/>
              <w:rPr>
                <w:color w:val="000000"/>
              </w:rPr>
            </w:pPr>
            <w:r>
              <w:rPr>
                <w:color w:val="00000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Exhibit B</w:t>
      </w:r>
    </w:p>
    <w:p>
      <w:pPr>
        <w:pStyle w:val="TextBody"/>
        <w:pBdr/>
        <w:bidi w:val="0"/>
        <w:spacing w:lineRule="auto" w:line="285" w:before="0" w:after="0"/>
        <w:ind w:left="0" w:right="0" w:hanging="720"/>
        <w:jc w:val="both"/>
        <w:rPr>
          <w:color w:val="000000"/>
        </w:rPr>
      </w:pPr>
      <w:r>
        <w:rPr>
          <w:color w:val="000000"/>
        </w:rPr>
        <w:t>​</w:t>
      </w:r>
    </w:p>
    <w:p>
      <w:pPr>
        <w:pStyle w:val="TextBody"/>
        <w:pBdr/>
        <w:bidi w:val="0"/>
        <w:spacing w:lineRule="auto" w:line="285" w:before="0" w:after="0"/>
        <w:ind w:left="0" w:right="0" w:hanging="720"/>
        <w:jc w:val="center"/>
        <w:rPr>
          <w:rFonts w:ascii="Times New Roman;Times;serif" w:hAnsi="Times New Roman;Times;serif"/>
          <w:b/>
          <w:color w:val="000000"/>
          <w:sz w:val="24"/>
        </w:rPr>
      </w:pPr>
      <w:r>
        <w:rPr>
          <w:rFonts w:ascii="Times New Roman;Times;serif" w:hAnsi="Times New Roman;Times;serif"/>
          <w:b/>
          <w:color w:val="000000"/>
          <w:sz w:val="24"/>
        </w:rPr>
        <w:t>PRODUCTS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w:hAnsi="Times"/>
          <w:sz w:val="24"/>
        </w:rPr>
      </w:pPr>
      <w:r>
        <w:rPr>
          <w:rFonts w:ascii="Times New Roman;Times;serif" w:hAnsi="Times New Roman;Times;serif"/>
          <w:b/>
          <w:i w:val="false"/>
          <w:caps w:val="false"/>
          <w:smallCaps w:val="false"/>
          <w:sz w:val="24"/>
        </w:rPr>
        <w:t>1.</w:t>
      </w:r>
      <w:r>
        <w:rPr>
          <w:rFonts w:ascii="Times New Roman;Times;serif" w:hAnsi="Times New Roman;Times;serif"/>
          <w:b/>
          <w:sz w:val="24"/>
        </w:rPr>
        <w:t>ProxiCor for Pericardial Closure Product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w:hAnsi="Times"/>
          <w:sz w:val="24"/>
        </w:rPr>
      </w:pPr>
      <w:r>
        <w:rPr>
          <w:rFonts w:ascii="Times New Roman;Times;serif" w:hAnsi="Times New Roman;Times;serif"/>
          <w:b/>
          <w:i w:val="false"/>
          <w:caps w:val="false"/>
          <w:smallCaps w:val="false"/>
          <w:sz w:val="24"/>
        </w:rPr>
        <w:t>2.</w:t>
      </w:r>
      <w:r>
        <w:rPr>
          <w:rFonts w:ascii="Times New Roman;Times;serif" w:hAnsi="Times New Roman;Times;serif"/>
          <w:b/>
          <w:sz w:val="24"/>
        </w:rPr>
        <w:t>ProxiCor for Cardiac Tissue Repair Product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w:hAnsi="Times"/>
          <w:sz w:val="24"/>
        </w:rPr>
      </w:pPr>
      <w:r>
        <w:rPr>
          <w:rFonts w:ascii="Times New Roman;Times;serif" w:hAnsi="Times New Roman;Times;serif"/>
          <w:b/>
          <w:i w:val="false"/>
          <w:caps w:val="false"/>
          <w:smallCaps w:val="false"/>
          <w:sz w:val="24"/>
        </w:rPr>
        <w:t xml:space="preserve">3. </w:t>
      </w:r>
      <w:r>
        <w:rPr>
          <w:rFonts w:ascii="Times New Roman;Times;serif" w:hAnsi="Times New Roman;Times;serif"/>
          <w:b/>
          <w:sz w:val="24"/>
        </w:rPr>
        <w:t>Tyke Product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w:hAnsi="Times"/>
          <w:sz w:val="24"/>
        </w:rPr>
      </w:pPr>
      <w:r>
        <w:rPr>
          <w:rFonts w:ascii="Times New Roman;Times;serif" w:hAnsi="Times New Roman;Times;serif"/>
          <w:b/>
          <w:i w:val="false"/>
          <w:caps w:val="false"/>
          <w:smallCaps w:val="false"/>
          <w:sz w:val="24"/>
        </w:rPr>
        <w:t>4.</w:t>
      </w:r>
      <w:r>
        <w:rPr>
          <w:rFonts w:ascii="Times New Roman;Times;serif" w:hAnsi="Times New Roman;Times;serif"/>
          <w:b/>
          <w:sz w:val="24"/>
        </w:rPr>
        <w:t>VasCure for Vascular Repair Product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Exhibit 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PURCHASE PRICE</w:t>
      </w:r>
    </w:p>
    <w:p>
      <w:pPr>
        <w:pStyle w:val="TextBody"/>
        <w:bidi w:val="0"/>
        <w:spacing w:lineRule="auto" w:line="285"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130"/>
        <w:gridCol w:w="1264"/>
        <w:gridCol w:w="4179"/>
        <w:gridCol w:w="1781"/>
        <w:gridCol w:w="1851"/>
      </w:tblGrid>
      <w:tr>
        <w:trPr/>
        <w:tc>
          <w:tcPr>
            <w:tcW w:w="1130" w:type="dxa"/>
            <w:tcBorders/>
            <w:vAlign w:val="center"/>
          </w:tcPr>
          <w:p>
            <w:pPr>
              <w:pStyle w:val="TableContents"/>
              <w:bidi w:val="0"/>
              <w:spacing w:before="0" w:after="283"/>
              <w:ind w:left="0" w:right="0" w:hanging="0"/>
              <w:jc w:val="left"/>
              <w:rPr>
                <w:sz w:val="4"/>
                <w:szCs w:val="4"/>
              </w:rPr>
            </w:pPr>
            <w:r>
              <w:rPr>
                <w:sz w:val="4"/>
                <w:szCs w:val="4"/>
              </w:rPr>
            </w:r>
          </w:p>
        </w:tc>
        <w:tc>
          <w:tcPr>
            <w:tcW w:w="1264" w:type="dxa"/>
            <w:tcBorders/>
            <w:vAlign w:val="center"/>
          </w:tcPr>
          <w:p>
            <w:pPr>
              <w:pStyle w:val="TableContents"/>
              <w:bidi w:val="0"/>
              <w:spacing w:before="0" w:after="283"/>
              <w:ind w:left="0" w:right="0" w:hanging="0"/>
              <w:jc w:val="left"/>
              <w:rPr>
                <w:sz w:val="4"/>
                <w:szCs w:val="4"/>
              </w:rPr>
            </w:pPr>
            <w:r>
              <w:rPr>
                <w:sz w:val="4"/>
                <w:szCs w:val="4"/>
              </w:rPr>
            </w:r>
          </w:p>
        </w:tc>
        <w:tc>
          <w:tcPr>
            <w:tcW w:w="4179" w:type="dxa"/>
            <w:tcBorders/>
            <w:vAlign w:val="center"/>
          </w:tcPr>
          <w:p>
            <w:pPr>
              <w:pStyle w:val="TableContents"/>
              <w:bidi w:val="0"/>
              <w:spacing w:before="0" w:after="283"/>
              <w:ind w:left="0" w:right="0" w:hanging="0"/>
              <w:jc w:val="left"/>
              <w:rPr>
                <w:sz w:val="4"/>
                <w:szCs w:val="4"/>
              </w:rPr>
            </w:pPr>
            <w:r>
              <w:rPr>
                <w:sz w:val="4"/>
                <w:szCs w:val="4"/>
              </w:rPr>
            </w:r>
          </w:p>
        </w:tc>
        <w:tc>
          <w:tcPr>
            <w:tcW w:w="1781" w:type="dxa"/>
            <w:tcBorders/>
            <w:vAlign w:val="center"/>
          </w:tcPr>
          <w:p>
            <w:pPr>
              <w:pStyle w:val="TableContents"/>
              <w:bidi w:val="0"/>
              <w:spacing w:before="0" w:after="283"/>
              <w:ind w:left="0" w:right="0" w:hanging="0"/>
              <w:jc w:val="left"/>
              <w:rPr>
                <w:sz w:val="4"/>
                <w:szCs w:val="4"/>
              </w:rPr>
            </w:pPr>
            <w:r>
              <w:rPr>
                <w:sz w:val="4"/>
                <w:szCs w:val="4"/>
              </w:rPr>
            </w:r>
          </w:p>
        </w:tc>
        <w:tc>
          <w:tcPr>
            <w:tcW w:w="1851" w:type="dxa"/>
            <w:tcBorders/>
            <w:vAlign w:val="center"/>
          </w:tcPr>
          <w:p>
            <w:pPr>
              <w:pStyle w:val="TableContents"/>
              <w:bidi w:val="0"/>
              <w:spacing w:before="0" w:after="283"/>
              <w:ind w:left="0" w:right="0" w:hanging="0"/>
              <w:jc w:val="left"/>
              <w:rPr>
                <w:sz w:val="4"/>
                <w:szCs w:val="4"/>
              </w:rPr>
            </w:pPr>
            <w:r>
              <w:rPr>
                <w:sz w:val="4"/>
                <w:szCs w:val="4"/>
              </w:rPr>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Product ID</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w:hAnsi="Times"/>
                <w:b/>
                <w:sz w:val="20"/>
              </w:rPr>
            </w:pPr>
            <w:r>
              <w:rPr>
                <w:rFonts w:ascii="Times" w:hAnsi="Times"/>
                <w:b/>
                <w:sz w:val="20"/>
              </w:rPr>
              <w:t>Model #</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Transfer Price per unit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Transfer Price per pack</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FP-20054-10 </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CMCV-060-402</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Pericardial Closure, Single Pack, 7 x 15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FP-20055-02</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CMCV-003-402</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Pericardial Closure, Five Pack, 7 x 15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pPr>
            <w:r>
              <w:rPr/>
              <w:t> </w:t>
            </w:r>
            <w:r>
              <w:rPr>
                <w:rFonts w:ascii="Times New Roman;Times;serif" w:hAnsi="Times New Roman;Times;serif"/>
                <w:sz w:val="20"/>
              </w:rPr>
              <w:t>FP-20054-09</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CMCV-059-401</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Pericardial Closure, Single Pack, 7 x 10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FP-20055-01</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CMCV-003-401</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Pericardial Closure, Five Pack, 7 x 10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FP-20060-11</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CMCV-064-401</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Cardiac Tissue Repair, Single Pack, 7 x 10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FP-20061-01 </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CMCV-004-401</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Cardiac Tissue Repair, Five Pack, 7 x 10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FP-20060-12</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CMCV-067-404</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Cardiac Tissue Repair, Single Packs, 4 x 7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FP-20061-04</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CMCV-004-404</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ProxiCor for Cardiac Tissue Repair, Five Pack, 4 x 7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FP-20436-09</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CMCV-013-609</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VasCure for Vascular Repair, Single Pack, 1 x 10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FP-20437-09 </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CMCV-014-609</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VasCure for Vascular Repair, Five Pack, 1 x 10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FP-20436-06 </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CMCV-011-606</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VasCure for Vascular Repair, Single Pack, 2 x 10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FP-20437-06</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CMCV-012-606</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VasCure for Vascular Repair, Five Pack, 2 x 10 cm</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FP-20513-01</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CMCV-098-204</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Tyke®, Single Pack, 4 x 7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r>
        <w:trPr/>
        <w:tc>
          <w:tcPr>
            <w:tcW w:w="113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FP-20513-02</w:t>
            </w:r>
          </w:p>
        </w:tc>
        <w:tc>
          <w:tcPr>
            <w:tcW w:w="1264"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w:hAnsi="Times"/>
                <w:sz w:val="20"/>
              </w:rPr>
            </w:pPr>
            <w:r>
              <w:rPr>
                <w:rFonts w:ascii="Times" w:hAnsi="Times"/>
                <w:sz w:val="20"/>
              </w:rPr>
              <w:t>CMCV-099-204</w:t>
            </w:r>
          </w:p>
        </w:tc>
        <w:tc>
          <w:tcPr>
            <w:tcW w:w="417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Tyke®, Five Pack, 4 x 7 cm                                  </w:t>
            </w:r>
          </w:p>
        </w:tc>
        <w:tc>
          <w:tcPr>
            <w:tcW w:w="17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c>
          <w:tcPr>
            <w:tcW w:w="18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INITIAL PURCHASE ORDER QUANTITIES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Exhibit 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FORM OF PURCHASE ORDER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tbl>
      <w:tblPr>
        <w:tblW w:w="8300" w:type="dxa"/>
        <w:jc w:val="left"/>
        <w:tblInd w:w="0" w:type="dxa"/>
        <w:tblLayout w:type="fixed"/>
        <w:tblCellMar>
          <w:top w:w="0" w:type="dxa"/>
          <w:left w:w="0" w:type="dxa"/>
          <w:bottom w:w="0" w:type="dxa"/>
          <w:right w:w="0" w:type="dxa"/>
        </w:tblCellMar>
      </w:tblPr>
      <w:tblGrid>
        <w:gridCol w:w="1021"/>
        <w:gridCol w:w="1651"/>
        <w:gridCol w:w="1434"/>
        <w:gridCol w:w="261"/>
        <w:gridCol w:w="1471"/>
        <w:gridCol w:w="1516"/>
        <w:gridCol w:w="946"/>
      </w:tblGrid>
      <w:tr>
        <w:trPr/>
        <w:tc>
          <w:tcPr>
            <w:tcW w:w="1021"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left"/>
              <w:rPr/>
            </w:pPr>
            <w:r>
              <w:rPr/>
              <w:t>​</w:t>
            </w:r>
          </w:p>
        </w:tc>
        <w:tc>
          <w:tcPr>
            <w:tcW w:w="1434" w:type="dxa"/>
            <w:tcBorders/>
            <w:vAlign w:val="center"/>
          </w:tcPr>
          <w:p>
            <w:pPr>
              <w:pStyle w:val="TableContents"/>
              <w:bidi w:val="0"/>
              <w:spacing w:lineRule="auto" w:line="285" w:before="0" w:after="0"/>
              <w:ind w:left="0" w:right="0" w:hanging="0"/>
              <w:jc w:val="left"/>
              <w:rPr/>
            </w:pPr>
            <w:r>
              <w:rPr/>
              <w:t>​</w:t>
            </w:r>
          </w:p>
        </w:tc>
        <w:tc>
          <w:tcPr>
            <w:tcW w:w="261" w:type="dxa"/>
            <w:tcBorders/>
            <w:vAlign w:val="center"/>
          </w:tcPr>
          <w:p>
            <w:pPr>
              <w:pStyle w:val="TableContents"/>
              <w:bidi w:val="0"/>
              <w:spacing w:lineRule="auto" w:line="285" w:before="0" w:after="0"/>
              <w:ind w:left="0" w:right="0" w:hanging="0"/>
              <w:jc w:val="left"/>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before="0" w:after="283"/>
              <w:ind w:left="0" w:right="0" w:hanging="0"/>
              <w:jc w:val="left"/>
              <w:rPr>
                <w:sz w:val="4"/>
                <w:szCs w:val="4"/>
              </w:rPr>
            </w:pPr>
            <w:r>
              <w:rPr>
                <w:sz w:val="4"/>
                <w:szCs w:val="4"/>
              </w:rPr>
            </w:r>
          </w:p>
        </w:tc>
        <w:tc>
          <w:tcPr>
            <w:tcW w:w="946" w:type="dxa"/>
            <w:tcBorders/>
            <w:vAlign w:val="center"/>
          </w:tcPr>
          <w:p>
            <w:pPr>
              <w:pStyle w:val="TableContents"/>
              <w:bidi w:val="0"/>
              <w:spacing w:lineRule="auto" w:line="285" w:before="0" w:after="0"/>
              <w:ind w:left="0" w:right="0" w:hanging="0"/>
              <w:jc w:val="left"/>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PO#</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Vendor ID:</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Company:</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Address:</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City,</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State,</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Zip:</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Tel: </w:t>
            </w:r>
          </w:p>
        </w:tc>
        <w:tc>
          <w:tcPr>
            <w:tcW w:w="1434"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Fax:</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Tel: 781-425-1690</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Fax: 781-425-6295</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Date: </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Terms:</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Line #</w:t>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Catalog # /Vendor #</w:t>
            </w:r>
          </w:p>
        </w:tc>
        <w:tc>
          <w:tcPr>
            <w:tcW w:w="169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Product Description </w:t>
            </w:r>
          </w:p>
        </w:tc>
        <w:tc>
          <w:tcPr>
            <w:tcW w:w="147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Qty</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Unit Price </w:t>
            </w:r>
          </w:p>
        </w:tc>
        <w:tc>
          <w:tcPr>
            <w:tcW w:w="94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Line Total</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434" w:type="dxa"/>
            <w:tcBorders/>
            <w:vAlign w:val="center"/>
          </w:tcPr>
          <w:p>
            <w:pPr>
              <w:pStyle w:val="TableContents"/>
              <w:bidi w:val="0"/>
              <w:spacing w:lineRule="auto" w:line="285" w:before="0" w:after="0"/>
              <w:ind w:left="0" w:right="0" w:hanging="0"/>
              <w:jc w:val="center"/>
              <w:rPr/>
            </w:pPr>
            <w:r>
              <w:rPr/>
              <w:t>​</w:t>
            </w:r>
          </w:p>
        </w:tc>
        <w:tc>
          <w:tcPr>
            <w:tcW w:w="261" w:type="dxa"/>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center"/>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Requested by:</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Promised by:</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Comments:</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Subtotal</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Trade Discount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Miscellaneous</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Tax</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pPr>
            <w:r>
              <w:rPr/>
              <w:t>​</w:t>
            </w:r>
          </w:p>
        </w:tc>
        <w:tc>
          <w:tcPr>
            <w:tcW w:w="946" w:type="dxa"/>
            <w:tcBorders/>
            <w:vAlign w:val="center"/>
          </w:tcPr>
          <w:p>
            <w:pPr>
              <w:pStyle w:val="TableContents"/>
              <w:bidi w:val="0"/>
              <w:spacing w:lineRule="auto" w:line="285" w:before="0" w:after="0"/>
              <w:ind w:left="0" w:right="0" w:hanging="0"/>
              <w:jc w:val="center"/>
              <w:rPr/>
            </w:pPr>
            <w:r>
              <w:rPr/>
              <w:t>​</w:t>
            </w:r>
          </w:p>
        </w:tc>
      </w:tr>
      <w:tr>
        <w:trPr/>
        <w:tc>
          <w:tcPr>
            <w:tcW w:w="1021" w:type="dxa"/>
            <w:tcBorders/>
            <w:vAlign w:val="center"/>
          </w:tcPr>
          <w:p>
            <w:pPr>
              <w:pStyle w:val="TableContents"/>
              <w:bidi w:val="0"/>
              <w:spacing w:lineRule="auto" w:line="285" w:before="0" w:after="0"/>
              <w:ind w:left="0" w:right="0" w:hanging="0"/>
              <w:jc w:val="center"/>
              <w:rPr/>
            </w:pPr>
            <w:r>
              <w:rPr/>
              <w:t>​</w:t>
            </w:r>
          </w:p>
        </w:tc>
        <w:tc>
          <w:tcPr>
            <w:tcW w:w="1651" w:type="dxa"/>
            <w:tcBorders/>
            <w:vAlign w:val="center"/>
          </w:tcPr>
          <w:p>
            <w:pPr>
              <w:pStyle w:val="TableContents"/>
              <w:bidi w:val="0"/>
              <w:spacing w:lineRule="auto" w:line="285" w:before="0" w:after="0"/>
              <w:ind w:left="0" w:right="0" w:hanging="0"/>
              <w:jc w:val="center"/>
              <w:rPr/>
            </w:pPr>
            <w:r>
              <w:rPr/>
              <w:t>​</w:t>
            </w:r>
          </w:p>
        </w:tc>
        <w:tc>
          <w:tcPr>
            <w:tcW w:w="1695" w:type="dxa"/>
            <w:gridSpan w:val="2"/>
            <w:tcBorders/>
            <w:vAlign w:val="center"/>
          </w:tcPr>
          <w:p>
            <w:pPr>
              <w:pStyle w:val="TableContents"/>
              <w:bidi w:val="0"/>
              <w:spacing w:lineRule="auto" w:line="285" w:before="0" w:after="0"/>
              <w:ind w:left="0" w:right="0" w:hanging="0"/>
              <w:jc w:val="center"/>
              <w:rPr/>
            </w:pPr>
            <w:r>
              <w:rPr/>
              <w:t>​</w:t>
            </w:r>
          </w:p>
        </w:tc>
        <w:tc>
          <w:tcPr>
            <w:tcW w:w="1471" w:type="dxa"/>
            <w:tcBorders/>
            <w:vAlign w:val="center"/>
          </w:tcPr>
          <w:p>
            <w:pPr>
              <w:pStyle w:val="TableContents"/>
              <w:bidi w:val="0"/>
              <w:spacing w:lineRule="auto" w:line="285" w:before="0" w:after="0"/>
              <w:ind w:left="0" w:right="0" w:hanging="0"/>
              <w:jc w:val="left"/>
              <w:rPr/>
            </w:pPr>
            <w:r>
              <w:rPr/>
              <w:t>​</w:t>
            </w:r>
          </w:p>
        </w:tc>
        <w:tc>
          <w:tcPr>
            <w:tcW w:w="1516" w:type="dxa"/>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Total</w:t>
            </w:r>
          </w:p>
        </w:tc>
        <w:tc>
          <w:tcPr>
            <w:tcW w:w="946"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Exhibit E</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SUPPLIER QUALITY AGREEMENT </w:t>
      </w:r>
    </w:p>
    <w:p>
      <w:pPr>
        <w:pStyle w:val="TextBody"/>
        <w:bidi w:val="0"/>
        <w:spacing w:lineRule="auto" w:line="285" w:before="0" w:after="0"/>
        <w:ind w:left="0" w:right="0" w:hanging="0"/>
        <w:jc w:val="center"/>
        <w:rPr/>
      </w:pPr>
      <w:r>
        <w:rPr/>
        <w:t>​</w:t>
      </w:r>
    </w:p>
    <w:p>
      <w:pPr>
        <w:pStyle w:val="TextBody"/>
        <w:bidi w:val="0"/>
        <w:spacing w:lineRule="auto" w:line="285" w:before="224" w:after="0"/>
        <w:ind w:left="121" w:right="142" w:hanging="0"/>
        <w:jc w:val="both"/>
        <w:rPr>
          <w:rFonts w:ascii="Arial;Helvetica;sans-serif" w:hAnsi="Arial;Helvetica;sans-serif"/>
          <w:sz w:val="18"/>
        </w:rPr>
      </w:pPr>
      <w:r>
        <w:rPr>
          <w:rFonts w:ascii="Times New Roman;Times;serif" w:hAnsi="Times New Roman;Times;serif"/>
          <w:sz w:val="24"/>
        </w:rPr>
        <w:t>This Supplier Quality Agreement (this “</w:t>
      </w:r>
      <w:r>
        <w:rPr>
          <w:rFonts w:ascii="Times New Roman;Times;serif" w:hAnsi="Times New Roman;Times;serif"/>
          <w:sz w:val="24"/>
          <w:u w:val="single"/>
        </w:rPr>
        <w:t>Agreement</w:t>
      </w:r>
      <w:r>
        <w:rPr>
          <w:rFonts w:ascii="Arial;Helvetica;sans-serif" w:hAnsi="Arial;Helvetica;sans-serif"/>
          <w:sz w:val="18"/>
        </w:rPr>
        <w:t>”</w:t>
      </w:r>
      <w:r>
        <w:rPr>
          <w:rFonts w:ascii="Times New Roman;Times;serif" w:hAnsi="Times New Roman;Times;serif"/>
          <w:sz w:val="24"/>
        </w:rPr>
        <w:t>) is made and entered into this 20</w:t>
      </w:r>
      <w:r>
        <w:rPr>
          <w:rFonts w:ascii="Times New Roman;Times;serif" w:hAnsi="Times New Roman;Times;serif"/>
          <w:sz w:val="18"/>
        </w:rPr>
        <w:t>th</w:t>
      </w:r>
      <w:r>
        <w:rPr>
          <w:rFonts w:ascii="Arial;Helvetica;sans-serif" w:hAnsi="Arial;Helvetica;sans-serif"/>
          <w:sz w:val="18"/>
        </w:rPr>
        <w:t xml:space="preserve"> </w:t>
      </w:r>
      <w:r>
        <w:rPr>
          <w:rFonts w:ascii="Times New Roman;Times;serif" w:hAnsi="Times New Roman;Times;serif"/>
          <w:sz w:val="24"/>
        </w:rPr>
        <w:t>day of April, 2023</w:t>
      </w:r>
      <w:r>
        <w:rPr>
          <w:rFonts w:ascii="Arial;Helvetica;sans-serif" w:hAnsi="Arial;Helvetica;sans-serif"/>
          <w:spacing w:val="-3"/>
          <w:sz w:val="18"/>
        </w:rPr>
        <w:t xml:space="preserve"> </w:t>
      </w:r>
      <w:r>
        <w:rPr>
          <w:rFonts w:ascii="Times New Roman;Times;serif" w:hAnsi="Times New Roman;Times;serif"/>
          <w:sz w:val="24"/>
        </w:rPr>
        <w:t>(the</w:t>
      </w:r>
      <w:r>
        <w:rPr>
          <w:rFonts w:ascii="Arial;Helvetica;sans-serif" w:hAnsi="Arial;Helvetica;sans-serif"/>
          <w:spacing w:val="-4"/>
          <w:sz w:val="18"/>
        </w:rPr>
        <w:t xml:space="preserve"> </w:t>
      </w:r>
      <w:r>
        <w:rPr>
          <w:rFonts w:ascii="Arial;Helvetica;sans-serif" w:hAnsi="Arial;Helvetica;sans-serif"/>
          <w:sz w:val="18"/>
        </w:rPr>
        <w:t>“</w:t>
      </w:r>
      <w:r>
        <w:rPr>
          <w:rFonts w:ascii="Times New Roman;Times;serif" w:hAnsi="Times New Roman;Times;serif"/>
          <w:sz w:val="24"/>
        </w:rPr>
        <w:t>Effective</w:t>
      </w:r>
      <w:r>
        <w:rPr>
          <w:rFonts w:ascii="Arial;Helvetica;sans-serif" w:hAnsi="Arial;Helvetica;sans-serif"/>
          <w:spacing w:val="-4"/>
          <w:sz w:val="18"/>
        </w:rPr>
        <w:t xml:space="preserve"> </w:t>
      </w:r>
      <w:r>
        <w:rPr>
          <w:rFonts w:ascii="Times New Roman;Times;serif" w:hAnsi="Times New Roman;Times;serif"/>
          <w:sz w:val="24"/>
        </w:rPr>
        <w:t>Date”)</w:t>
      </w:r>
      <w:r>
        <w:rPr>
          <w:rFonts w:ascii="Arial;Helvetica;sans-serif" w:hAnsi="Arial;Helvetica;sans-serif"/>
          <w:spacing w:val="-3"/>
          <w:sz w:val="18"/>
        </w:rPr>
        <w:t xml:space="preserve"> </w:t>
      </w:r>
      <w:r>
        <w:rPr>
          <w:rFonts w:ascii="Times New Roman;Times;serif" w:hAnsi="Times New Roman;Times;serif"/>
          <w:sz w:val="24"/>
        </w:rPr>
        <w:t>by</w:t>
      </w:r>
      <w:r>
        <w:rPr>
          <w:rFonts w:ascii="Arial;Helvetica;sans-serif" w:hAnsi="Arial;Helvetica;sans-serif"/>
          <w:spacing w:val="-3"/>
          <w:sz w:val="18"/>
        </w:rPr>
        <w:t xml:space="preserve"> </w:t>
      </w:r>
      <w:r>
        <w:rPr>
          <w:rFonts w:ascii="Times New Roman;Times;serif" w:hAnsi="Times New Roman;Times;serif"/>
          <w:sz w:val="24"/>
        </w:rPr>
        <w:t>and</w:t>
      </w:r>
      <w:r>
        <w:rPr>
          <w:rFonts w:ascii="Arial;Helvetica;sans-serif" w:hAnsi="Arial;Helvetica;sans-serif"/>
          <w:spacing w:val="-3"/>
          <w:sz w:val="18"/>
        </w:rPr>
        <w:t xml:space="preserve"> </w:t>
      </w:r>
      <w:r>
        <w:rPr>
          <w:rFonts w:ascii="Times New Roman;Times;serif" w:hAnsi="Times New Roman;Times;serif"/>
          <w:sz w:val="24"/>
        </w:rPr>
        <w:t>between</w:t>
      </w:r>
      <w:r>
        <w:rPr>
          <w:rFonts w:ascii="Arial;Helvetica;sans-serif" w:hAnsi="Arial;Helvetica;sans-serif"/>
          <w:spacing w:val="-4"/>
          <w:sz w:val="18"/>
        </w:rPr>
        <w:t xml:space="preserve"> </w:t>
      </w:r>
      <w:r>
        <w:rPr>
          <w:rFonts w:ascii="Times New Roman;Times;serif" w:hAnsi="Times New Roman;Times;serif"/>
          <w:b/>
          <w:sz w:val="24"/>
        </w:rPr>
        <w:t>Aziyo</w:t>
      </w:r>
      <w:r>
        <w:rPr>
          <w:rFonts w:ascii="Arial;Helvetica;sans-serif" w:hAnsi="Arial;Helvetica;sans-serif"/>
          <w:spacing w:val="-3"/>
          <w:sz w:val="18"/>
        </w:rPr>
        <w:t xml:space="preserve"> </w:t>
      </w:r>
      <w:r>
        <w:rPr>
          <w:rFonts w:ascii="Times New Roman;Times;serif" w:hAnsi="Times New Roman;Times;serif"/>
          <w:b/>
          <w:sz w:val="24"/>
        </w:rPr>
        <w:t>Biologics,</w:t>
      </w:r>
      <w:r>
        <w:rPr>
          <w:rFonts w:ascii="Arial;Helvetica;sans-serif" w:hAnsi="Arial;Helvetica;sans-serif"/>
          <w:spacing w:val="-3"/>
          <w:sz w:val="18"/>
        </w:rPr>
        <w:t xml:space="preserve"> </w:t>
      </w:r>
      <w:r>
        <w:rPr>
          <w:rFonts w:ascii="Times New Roman;Times;serif" w:hAnsi="Times New Roman;Times;serif"/>
          <w:b/>
          <w:sz w:val="24"/>
        </w:rPr>
        <w:t>Inc.</w:t>
      </w:r>
      <w:r>
        <w:rPr>
          <w:rFonts w:ascii="Times New Roman;Times;serif" w:hAnsi="Times New Roman;Times;serif"/>
          <w:sz w:val="24"/>
        </w:rPr>
        <w:t>,</w:t>
      </w:r>
      <w:r>
        <w:rPr>
          <w:rFonts w:ascii="Arial;Helvetica;sans-serif" w:hAnsi="Arial;Helvetica;sans-serif"/>
          <w:spacing w:val="-3"/>
          <w:sz w:val="18"/>
        </w:rPr>
        <w:t xml:space="preserve"> </w:t>
      </w:r>
      <w:r>
        <w:rPr>
          <w:rFonts w:ascii="Times New Roman;Times;serif" w:hAnsi="Times New Roman;Times;serif"/>
          <w:sz w:val="24"/>
        </w:rPr>
        <w:t>a</w:t>
      </w:r>
      <w:r>
        <w:rPr>
          <w:rFonts w:ascii="Arial;Helvetica;sans-serif" w:hAnsi="Arial;Helvetica;sans-serif"/>
          <w:spacing w:val="-4"/>
          <w:sz w:val="18"/>
        </w:rPr>
        <w:t xml:space="preserve"> </w:t>
      </w:r>
      <w:r>
        <w:rPr>
          <w:rFonts w:ascii="Times New Roman;Times;serif" w:hAnsi="Times New Roman;Times;serif"/>
          <w:sz w:val="24"/>
        </w:rPr>
        <w:t>company organized</w:t>
      </w:r>
      <w:r>
        <w:rPr>
          <w:rFonts w:ascii="Arial;Helvetica;sans-serif" w:hAnsi="Arial;Helvetica;sans-serif"/>
          <w:spacing w:val="-3"/>
          <w:sz w:val="18"/>
        </w:rPr>
        <w:t xml:space="preserve"> </w:t>
      </w:r>
      <w:r>
        <w:rPr>
          <w:rFonts w:ascii="Times New Roman;Times;serif" w:hAnsi="Times New Roman;Times;serif"/>
          <w:sz w:val="24"/>
        </w:rPr>
        <w:t>and</w:t>
      </w:r>
      <w:r>
        <w:rPr>
          <w:rFonts w:ascii="Arial;Helvetica;sans-serif" w:hAnsi="Arial;Helvetica;sans-serif"/>
          <w:spacing w:val="-3"/>
          <w:sz w:val="18"/>
        </w:rPr>
        <w:t xml:space="preserve"> </w:t>
      </w:r>
      <w:r>
        <w:rPr>
          <w:rFonts w:ascii="Times New Roman;Times;serif" w:hAnsi="Times New Roman;Times;serif"/>
          <w:sz w:val="24"/>
        </w:rPr>
        <w:t xml:space="preserve">existing under the laws of </w:t>
      </w:r>
      <w:r>
        <w:rPr>
          <w:rFonts w:ascii="Times New Roman;Times;serif" w:hAnsi="Times New Roman;Times;serif"/>
          <w:sz w:val="24"/>
          <w:u w:val="single"/>
        </w:rPr>
        <w:t>Maryland</w:t>
      </w:r>
      <w:r>
        <w:rPr>
          <w:rFonts w:ascii="Arial;Helvetica;sans-serif" w:hAnsi="Arial;Helvetica;sans-serif"/>
          <w:sz w:val="18"/>
        </w:rPr>
        <w:t xml:space="preserve"> </w:t>
      </w:r>
      <w:r>
        <w:rPr>
          <w:rFonts w:ascii="Times New Roman;Times;serif" w:hAnsi="Times New Roman;Times;serif"/>
          <w:sz w:val="24"/>
        </w:rPr>
        <w:t>with offices located at 12510 Prosperity Drive, Suite 370, Silver Spring, MD 20904 (“</w:t>
      </w:r>
      <w:r>
        <w:rPr>
          <w:rFonts w:ascii="Times New Roman;Times;serif" w:hAnsi="Times New Roman;Times;serif"/>
          <w:b/>
          <w:sz w:val="24"/>
        </w:rPr>
        <w:t>Aziyo</w:t>
      </w:r>
      <w:r>
        <w:rPr>
          <w:rFonts w:ascii="Arial;Helvetica;sans-serif" w:hAnsi="Arial;Helvetica;sans-serif"/>
          <w:sz w:val="18"/>
        </w:rPr>
        <w:t>”</w:t>
      </w:r>
      <w:r>
        <w:rPr>
          <w:rFonts w:ascii="Times New Roman;Times;serif" w:hAnsi="Times New Roman;Times;serif"/>
          <w:sz w:val="24"/>
        </w:rPr>
        <w:t xml:space="preserve">) and </w:t>
      </w:r>
      <w:r>
        <w:rPr>
          <w:rFonts w:ascii="Times New Roman;Times;serif" w:hAnsi="Times New Roman;Times;serif"/>
          <w:b/>
          <w:sz w:val="24"/>
        </w:rPr>
        <w:t>LeMaitre Vascular, Inc.</w:t>
      </w:r>
      <w:r>
        <w:rPr>
          <w:rFonts w:ascii="Times New Roman;Times;serif" w:hAnsi="Times New Roman;Times;serif"/>
          <w:sz w:val="24"/>
        </w:rPr>
        <w:t>, a Delaware corporation with offices located at 63 Second Avenue, Burlington, MA 01803 (“</w:t>
      </w:r>
      <w:r>
        <w:rPr>
          <w:rFonts w:ascii="Times New Roman;Times;serif" w:hAnsi="Times New Roman;Times;serif"/>
          <w:b/>
          <w:sz w:val="24"/>
        </w:rPr>
        <w:t>Company</w:t>
      </w:r>
      <w:r>
        <w:rPr>
          <w:rFonts w:ascii="Arial;Helvetica;sans-serif" w:hAnsi="Arial;Helvetica;sans-serif"/>
          <w:sz w:val="18"/>
        </w:rPr>
        <w:t>”</w:t>
      </w:r>
      <w:r>
        <w:rPr>
          <w:rFonts w:ascii="Times New Roman;Times;serif" w:hAnsi="Times New Roman;Times;serif"/>
          <w:sz w:val="24"/>
        </w:rPr>
        <w:t>).</w:t>
      </w:r>
      <w:r>
        <w:rPr>
          <w:rFonts w:ascii="Arial;Helvetica;sans-serif" w:hAnsi="Arial;Helvetica;sans-serif"/>
          <w:spacing w:val="40"/>
          <w:sz w:val="18"/>
        </w:rPr>
        <w:t xml:space="preserve"> </w:t>
      </w:r>
      <w:r>
        <w:rPr>
          <w:rFonts w:ascii="Times New Roman;Times;serif" w:hAnsi="Times New Roman;Times;serif"/>
          <w:sz w:val="24"/>
        </w:rPr>
        <w:t>Each of Aziyo and Company is a “Party” and together, “Parties” to this Agreement.</w:t>
      </w:r>
      <w:r>
        <w:rPr>
          <w:rFonts w:ascii="Arial;Helvetica;sans-serif" w:hAnsi="Arial;Helvetica;sans-serif"/>
          <w:spacing w:val="40"/>
          <w:sz w:val="18"/>
        </w:rPr>
        <w:t xml:space="preserve"> </w:t>
      </w:r>
      <w:r>
        <w:rPr>
          <w:rFonts w:ascii="Times New Roman;Times;serif" w:hAnsi="Times New Roman;Times;serif"/>
          <w:sz w:val="24"/>
        </w:rPr>
        <w:t>For issues not addressed in this document, refer to the Distribution Agreement (“DA”) between Aziyo and Company dated 20</w:t>
      </w:r>
      <w:r>
        <w:rPr>
          <w:rFonts w:ascii="Times New Roman;Times;serif" w:hAnsi="Times New Roman;Times;serif"/>
          <w:sz w:val="18"/>
        </w:rPr>
        <w:t>th</w:t>
      </w:r>
      <w:r>
        <w:rPr>
          <w:rFonts w:ascii="Arial;Helvetica;sans-serif" w:hAnsi="Arial;Helvetica;sans-serif"/>
          <w:sz w:val="18"/>
        </w:rPr>
        <w:t xml:space="preserve"> </w:t>
      </w:r>
      <w:r>
        <w:rPr>
          <w:rFonts w:ascii="Times New Roman;Times;serif" w:hAnsi="Times New Roman;Times;serif"/>
          <w:sz w:val="24"/>
        </w:rPr>
        <w:t>April 2023.</w:t>
      </w:r>
      <w:r>
        <w:rPr>
          <w:rFonts w:ascii="Arial;Helvetica;sans-serif" w:hAnsi="Arial;Helvetica;sans-serif"/>
          <w:spacing w:val="40"/>
          <w:sz w:val="18"/>
        </w:rPr>
        <w:t xml:space="preserve"> </w:t>
      </w:r>
      <w:r>
        <w:rPr>
          <w:rFonts w:ascii="Times New Roman;Times;serif" w:hAnsi="Times New Roman;Times;serif"/>
          <w:sz w:val="24"/>
        </w:rPr>
        <w:t>To the extent that the terms of this Quality Agreement conflict with the terms otherwise provided in the DA, the terms of the DA shall supersede those terms in this Quality Agreement.</w:t>
      </w:r>
    </w:p>
    <w:p>
      <w:pPr>
        <w:pStyle w:val="TextBody"/>
        <w:bidi w:val="0"/>
        <w:spacing w:lineRule="auto" w:line="244" w:before="210" w:after="0"/>
        <w:ind w:left="121" w:right="142" w:hanging="0"/>
        <w:jc w:val="left"/>
        <w:rPr>
          <w:rFonts w:ascii="Times" w:hAnsi="Times"/>
          <w:sz w:val="24"/>
        </w:rPr>
      </w:pPr>
      <w:r>
        <w:rPr>
          <w:rFonts w:ascii="Times New Roman;Times;serif" w:hAnsi="Times New Roman;Times;serif"/>
          <w:b/>
          <w:sz w:val="24"/>
        </w:rPr>
        <w:t xml:space="preserve">WHEREAS, </w:t>
      </w:r>
      <w:r>
        <w:rPr>
          <w:rFonts w:ascii="Times New Roman;Times;serif" w:hAnsi="Times New Roman;Times;serif"/>
          <w:sz w:val="24"/>
        </w:rPr>
        <w:t xml:space="preserve">Aziyo manufactures, packages and sells </w:t>
      </w:r>
      <w:r>
        <w:rPr>
          <w:rFonts w:ascii="Times New Roman;Times;serif" w:hAnsi="Times New Roman;Times;serif"/>
          <w:b/>
          <w:sz w:val="24"/>
        </w:rPr>
        <w:t>Biological Patches (Product)</w:t>
      </w:r>
      <w:r>
        <w:rPr>
          <w:rFonts w:ascii="Times New Roman;Times;serif" w:hAnsi="Times New Roman;Times;serif"/>
          <w:sz w:val="24"/>
        </w:rPr>
        <w:t>, as described in the DA, to Company for sale by Company to third parties; and</w:t>
      </w:r>
    </w:p>
    <w:p>
      <w:pPr>
        <w:pStyle w:val="TextBody"/>
        <w:bidi w:val="0"/>
        <w:spacing w:lineRule="auto" w:line="244" w:before="206" w:after="0"/>
        <w:ind w:left="121" w:right="0" w:hanging="0"/>
        <w:jc w:val="left"/>
        <w:rPr>
          <w:rFonts w:ascii="Arial;Helvetica;sans-serif" w:hAnsi="Arial;Helvetica;sans-serif"/>
          <w:sz w:val="18"/>
        </w:rPr>
      </w:pPr>
      <w:r>
        <w:rPr>
          <w:rFonts w:ascii="Times New Roman;Times;serif" w:hAnsi="Times New Roman;Times;serif"/>
          <w:b/>
          <w:sz w:val="24"/>
        </w:rPr>
        <w:t>WHEREAS,</w:t>
      </w:r>
      <w:r>
        <w:rPr>
          <w:rFonts w:ascii="Arial;Helvetica;sans-serif" w:hAnsi="Arial;Helvetica;sans-serif"/>
          <w:spacing w:val="26"/>
          <w:sz w:val="18"/>
        </w:rPr>
        <w:t xml:space="preserve"> </w:t>
      </w:r>
      <w:r>
        <w:rPr>
          <w:rFonts w:ascii="Times New Roman;Times;serif" w:hAnsi="Times New Roman;Times;serif"/>
          <w:sz w:val="24"/>
        </w:rPr>
        <w:t>Company</w:t>
      </w:r>
      <w:r>
        <w:rPr>
          <w:rFonts w:ascii="Arial;Helvetica;sans-serif" w:hAnsi="Arial;Helvetica;sans-serif"/>
          <w:spacing w:val="25"/>
          <w:sz w:val="18"/>
        </w:rPr>
        <w:t xml:space="preserve"> </w:t>
      </w:r>
      <w:r>
        <w:rPr>
          <w:rFonts w:ascii="Times New Roman;Times;serif" w:hAnsi="Times New Roman;Times;serif"/>
          <w:sz w:val="24"/>
        </w:rPr>
        <w:t>desires</w:t>
      </w:r>
      <w:r>
        <w:rPr>
          <w:rFonts w:ascii="Arial;Helvetica;sans-serif" w:hAnsi="Arial;Helvetica;sans-serif"/>
          <w:spacing w:val="26"/>
          <w:sz w:val="18"/>
        </w:rPr>
        <w:t xml:space="preserve"> </w:t>
      </w:r>
      <w:r>
        <w:rPr>
          <w:rFonts w:ascii="Times New Roman;Times;serif" w:hAnsi="Times New Roman;Times;serif"/>
          <w:sz w:val="24"/>
        </w:rPr>
        <w:t>to</w:t>
      </w:r>
      <w:r>
        <w:rPr>
          <w:rFonts w:ascii="Arial;Helvetica;sans-serif" w:hAnsi="Arial;Helvetica;sans-serif"/>
          <w:spacing w:val="25"/>
          <w:sz w:val="18"/>
        </w:rPr>
        <w:t xml:space="preserve"> </w:t>
      </w:r>
      <w:r>
        <w:rPr>
          <w:rFonts w:ascii="Times New Roman;Times;serif" w:hAnsi="Times New Roman;Times;serif"/>
          <w:sz w:val="24"/>
        </w:rPr>
        <w:t>purchase</w:t>
      </w:r>
      <w:r>
        <w:rPr>
          <w:rFonts w:ascii="Arial;Helvetica;sans-serif" w:hAnsi="Arial;Helvetica;sans-serif"/>
          <w:spacing w:val="25"/>
          <w:sz w:val="18"/>
        </w:rPr>
        <w:t xml:space="preserve"> </w:t>
      </w:r>
      <w:r>
        <w:rPr>
          <w:rFonts w:ascii="Times New Roman;Times;serif" w:hAnsi="Times New Roman;Times;serif"/>
          <w:sz w:val="24"/>
        </w:rPr>
        <w:t>such</w:t>
      </w:r>
      <w:r>
        <w:rPr>
          <w:rFonts w:ascii="Arial;Helvetica;sans-serif" w:hAnsi="Arial;Helvetica;sans-serif"/>
          <w:spacing w:val="25"/>
          <w:sz w:val="18"/>
        </w:rPr>
        <w:t xml:space="preserve"> </w:t>
      </w:r>
      <w:r>
        <w:rPr>
          <w:rFonts w:ascii="Times New Roman;Times;serif" w:hAnsi="Times New Roman;Times;serif"/>
          <w:sz w:val="24"/>
        </w:rPr>
        <w:t>Product</w:t>
      </w:r>
      <w:r>
        <w:rPr>
          <w:rFonts w:ascii="Arial;Helvetica;sans-serif" w:hAnsi="Arial;Helvetica;sans-serif"/>
          <w:spacing w:val="25"/>
          <w:sz w:val="18"/>
        </w:rPr>
        <w:t xml:space="preserve"> </w:t>
      </w:r>
      <w:r>
        <w:rPr>
          <w:rFonts w:ascii="Times New Roman;Times;serif" w:hAnsi="Times New Roman;Times;serif"/>
          <w:sz w:val="24"/>
        </w:rPr>
        <w:t>from</w:t>
      </w:r>
      <w:r>
        <w:rPr>
          <w:rFonts w:ascii="Arial;Helvetica;sans-serif" w:hAnsi="Arial;Helvetica;sans-serif"/>
          <w:spacing w:val="25"/>
          <w:sz w:val="18"/>
        </w:rPr>
        <w:t xml:space="preserve"> </w:t>
      </w:r>
      <w:r>
        <w:rPr>
          <w:rFonts w:ascii="Times New Roman;Times;serif" w:hAnsi="Times New Roman;Times;serif"/>
          <w:sz w:val="24"/>
        </w:rPr>
        <w:t>Aziyo</w:t>
      </w:r>
      <w:r>
        <w:rPr>
          <w:rFonts w:ascii="Arial;Helvetica;sans-serif" w:hAnsi="Arial;Helvetica;sans-serif"/>
          <w:spacing w:val="25"/>
          <w:sz w:val="18"/>
        </w:rPr>
        <w:t xml:space="preserve"> </w:t>
      </w:r>
      <w:r>
        <w:rPr>
          <w:rFonts w:ascii="Times New Roman;Times;serif" w:hAnsi="Times New Roman;Times;serif"/>
          <w:sz w:val="24"/>
        </w:rPr>
        <w:t>under</w:t>
      </w:r>
      <w:r>
        <w:rPr>
          <w:rFonts w:ascii="Arial;Helvetica;sans-serif" w:hAnsi="Arial;Helvetica;sans-serif"/>
          <w:spacing w:val="25"/>
          <w:sz w:val="18"/>
        </w:rPr>
        <w:t xml:space="preserve"> </w:t>
      </w:r>
      <w:r>
        <w:rPr>
          <w:rFonts w:ascii="Times New Roman;Times;serif" w:hAnsi="Times New Roman;Times;serif"/>
          <w:sz w:val="24"/>
        </w:rPr>
        <w:t>the</w:t>
      </w:r>
      <w:r>
        <w:rPr>
          <w:rFonts w:ascii="Arial;Helvetica;sans-serif" w:hAnsi="Arial;Helvetica;sans-serif"/>
          <w:spacing w:val="25"/>
          <w:sz w:val="18"/>
        </w:rPr>
        <w:t xml:space="preserve"> </w:t>
      </w:r>
      <w:r>
        <w:rPr>
          <w:rFonts w:ascii="Times New Roman;Times;serif" w:hAnsi="Times New Roman;Times;serif"/>
          <w:sz w:val="24"/>
        </w:rPr>
        <w:t>DA</w:t>
      </w:r>
      <w:r>
        <w:rPr>
          <w:rFonts w:ascii="Arial;Helvetica;sans-serif" w:hAnsi="Arial;Helvetica;sans-serif"/>
          <w:spacing w:val="25"/>
          <w:sz w:val="18"/>
        </w:rPr>
        <w:t xml:space="preserve"> </w:t>
      </w:r>
      <w:r>
        <w:rPr>
          <w:rFonts w:ascii="Times New Roman;Times;serif" w:hAnsi="Times New Roman;Times;serif"/>
          <w:sz w:val="24"/>
        </w:rPr>
        <w:t>and</w:t>
      </w:r>
      <w:r>
        <w:rPr>
          <w:rFonts w:ascii="Arial;Helvetica;sans-serif" w:hAnsi="Arial;Helvetica;sans-serif"/>
          <w:spacing w:val="25"/>
          <w:sz w:val="18"/>
        </w:rPr>
        <w:t xml:space="preserve"> </w:t>
      </w:r>
      <w:r>
        <w:rPr>
          <w:rFonts w:ascii="Times New Roman;Times;serif" w:hAnsi="Times New Roman;Times;serif"/>
          <w:sz w:val="24"/>
        </w:rPr>
        <w:t>terms</w:t>
      </w:r>
      <w:r>
        <w:rPr>
          <w:rFonts w:ascii="Arial;Helvetica;sans-serif" w:hAnsi="Arial;Helvetica;sans-serif"/>
          <w:spacing w:val="26"/>
          <w:sz w:val="18"/>
        </w:rPr>
        <w:t xml:space="preserve"> </w:t>
      </w:r>
      <w:r>
        <w:rPr>
          <w:rFonts w:ascii="Times New Roman;Times;serif" w:hAnsi="Times New Roman;Times;serif"/>
          <w:sz w:val="24"/>
        </w:rPr>
        <w:t>and conditions herein set forth.</w:t>
      </w:r>
    </w:p>
    <w:p>
      <w:pPr>
        <w:pStyle w:val="TextBody"/>
        <w:bidi w:val="0"/>
        <w:spacing w:lineRule="auto" w:line="244" w:before="206" w:after="0"/>
        <w:ind w:left="121" w:right="106" w:hanging="0"/>
        <w:jc w:val="both"/>
        <w:rPr>
          <w:rFonts w:ascii="Arial;Helvetica;sans-serif" w:hAnsi="Arial;Helvetica;sans-serif"/>
          <w:sz w:val="18"/>
        </w:rPr>
      </w:pPr>
      <w:r>
        <w:rPr>
          <w:rFonts w:ascii="Times New Roman;Times;serif" w:hAnsi="Times New Roman;Times;serif"/>
          <w:b/>
          <w:sz w:val="24"/>
        </w:rPr>
        <w:t xml:space="preserve">NOW, THEREFORE, </w:t>
      </w:r>
      <w:r>
        <w:rPr>
          <w:rFonts w:ascii="Times New Roman;Times;serif" w:hAnsi="Times New Roman;Times;serif"/>
          <w:sz w:val="24"/>
        </w:rPr>
        <w:t>in consideration of the mutual promises and covenants contained herein, and for</w:t>
      </w:r>
      <w:r>
        <w:rPr>
          <w:rFonts w:ascii="Arial;Helvetica;sans-serif" w:hAnsi="Arial;Helvetica;sans-serif"/>
          <w:spacing w:val="-15"/>
          <w:sz w:val="18"/>
        </w:rPr>
        <w:t xml:space="preserve"> </w:t>
      </w:r>
      <w:r>
        <w:rPr>
          <w:rFonts w:ascii="Times New Roman;Times;serif" w:hAnsi="Times New Roman;Times;serif"/>
          <w:sz w:val="24"/>
        </w:rPr>
        <w:t>other</w:t>
      </w:r>
      <w:r>
        <w:rPr>
          <w:rFonts w:ascii="Arial;Helvetica;sans-serif" w:hAnsi="Arial;Helvetica;sans-serif"/>
          <w:spacing w:val="-15"/>
          <w:sz w:val="18"/>
        </w:rPr>
        <w:t xml:space="preserve"> </w:t>
      </w:r>
      <w:r>
        <w:rPr>
          <w:rFonts w:ascii="Times New Roman;Times;serif" w:hAnsi="Times New Roman;Times;serif"/>
          <w:sz w:val="24"/>
        </w:rPr>
        <w:t>good</w:t>
      </w:r>
      <w:r>
        <w:rPr>
          <w:rFonts w:ascii="Arial;Helvetica;sans-serif" w:hAnsi="Arial;Helvetica;sans-serif"/>
          <w:spacing w:val="-15"/>
          <w:sz w:val="18"/>
        </w:rPr>
        <w:t xml:space="preserve"> </w:t>
      </w:r>
      <w:r>
        <w:rPr>
          <w:rFonts w:ascii="Times New Roman;Times;serif" w:hAnsi="Times New Roman;Times;serif"/>
          <w:sz w:val="24"/>
        </w:rPr>
        <w:t>and</w:t>
      </w:r>
      <w:r>
        <w:rPr>
          <w:rFonts w:ascii="Arial;Helvetica;sans-serif" w:hAnsi="Arial;Helvetica;sans-serif"/>
          <w:spacing w:val="-15"/>
          <w:sz w:val="18"/>
        </w:rPr>
        <w:t xml:space="preserve"> </w:t>
      </w:r>
      <w:r>
        <w:rPr>
          <w:rFonts w:ascii="Times New Roman;Times;serif" w:hAnsi="Times New Roman;Times;serif"/>
          <w:sz w:val="24"/>
        </w:rPr>
        <w:t>valuable</w:t>
      </w:r>
      <w:r>
        <w:rPr>
          <w:rFonts w:ascii="Arial;Helvetica;sans-serif" w:hAnsi="Arial;Helvetica;sans-serif"/>
          <w:spacing w:val="-15"/>
          <w:sz w:val="18"/>
        </w:rPr>
        <w:t xml:space="preserve"> </w:t>
      </w:r>
      <w:r>
        <w:rPr>
          <w:rFonts w:ascii="Times New Roman;Times;serif" w:hAnsi="Times New Roman;Times;serif"/>
          <w:sz w:val="24"/>
        </w:rPr>
        <w:t>consideration,</w:t>
      </w:r>
      <w:r>
        <w:rPr>
          <w:rFonts w:ascii="Arial;Helvetica;sans-serif" w:hAnsi="Arial;Helvetica;sans-serif"/>
          <w:spacing w:val="-15"/>
          <w:sz w:val="18"/>
        </w:rPr>
        <w:t xml:space="preserve"> </w:t>
      </w:r>
      <w:r>
        <w:rPr>
          <w:rFonts w:ascii="Times New Roman;Times;serif" w:hAnsi="Times New Roman;Times;serif"/>
          <w:sz w:val="24"/>
        </w:rPr>
        <w:t>the</w:t>
      </w:r>
      <w:r>
        <w:rPr>
          <w:rFonts w:ascii="Arial;Helvetica;sans-serif" w:hAnsi="Arial;Helvetica;sans-serif"/>
          <w:spacing w:val="-15"/>
          <w:sz w:val="18"/>
        </w:rPr>
        <w:t xml:space="preserve"> </w:t>
      </w:r>
      <w:r>
        <w:rPr>
          <w:rFonts w:ascii="Times New Roman;Times;serif" w:hAnsi="Times New Roman;Times;serif"/>
          <w:sz w:val="24"/>
        </w:rPr>
        <w:t>receipt</w:t>
      </w:r>
      <w:r>
        <w:rPr>
          <w:rFonts w:ascii="Arial;Helvetica;sans-serif" w:hAnsi="Arial;Helvetica;sans-serif"/>
          <w:spacing w:val="-15"/>
          <w:sz w:val="18"/>
        </w:rPr>
        <w:t xml:space="preserve"> </w:t>
      </w:r>
      <w:r>
        <w:rPr>
          <w:rFonts w:ascii="Times New Roman;Times;serif" w:hAnsi="Times New Roman;Times;serif"/>
          <w:sz w:val="24"/>
        </w:rPr>
        <w:t>and</w:t>
      </w:r>
      <w:r>
        <w:rPr>
          <w:rFonts w:ascii="Arial;Helvetica;sans-serif" w:hAnsi="Arial;Helvetica;sans-serif"/>
          <w:spacing w:val="-15"/>
          <w:sz w:val="18"/>
        </w:rPr>
        <w:t xml:space="preserve"> </w:t>
      </w:r>
      <w:r>
        <w:rPr>
          <w:rFonts w:ascii="Times New Roman;Times;serif" w:hAnsi="Times New Roman;Times;serif"/>
          <w:sz w:val="24"/>
        </w:rPr>
        <w:t>sufficiency</w:t>
      </w:r>
      <w:r>
        <w:rPr>
          <w:rFonts w:ascii="Arial;Helvetica;sans-serif" w:hAnsi="Arial;Helvetica;sans-serif"/>
          <w:spacing w:val="-15"/>
          <w:sz w:val="18"/>
        </w:rPr>
        <w:t xml:space="preserve"> </w:t>
      </w:r>
      <w:r>
        <w:rPr>
          <w:rFonts w:ascii="Times New Roman;Times;serif" w:hAnsi="Times New Roman;Times;serif"/>
          <w:sz w:val="24"/>
        </w:rPr>
        <w:t>of</w:t>
      </w:r>
      <w:r>
        <w:rPr>
          <w:rFonts w:ascii="Arial;Helvetica;sans-serif" w:hAnsi="Arial;Helvetica;sans-serif"/>
          <w:spacing w:val="-15"/>
          <w:sz w:val="18"/>
        </w:rPr>
        <w:t xml:space="preserve"> </w:t>
      </w:r>
      <w:r>
        <w:rPr>
          <w:rFonts w:ascii="Times New Roman;Times;serif" w:hAnsi="Times New Roman;Times;serif"/>
          <w:sz w:val="24"/>
        </w:rPr>
        <w:t>which</w:t>
      </w:r>
      <w:r>
        <w:rPr>
          <w:rFonts w:ascii="Arial;Helvetica;sans-serif" w:hAnsi="Arial;Helvetica;sans-serif"/>
          <w:spacing w:val="-15"/>
          <w:sz w:val="18"/>
        </w:rPr>
        <w:t xml:space="preserve"> </w:t>
      </w:r>
      <w:r>
        <w:rPr>
          <w:rFonts w:ascii="Times New Roman;Times;serif" w:hAnsi="Times New Roman;Times;serif"/>
          <w:sz w:val="24"/>
        </w:rPr>
        <w:t>is</w:t>
      </w:r>
      <w:r>
        <w:rPr>
          <w:rFonts w:ascii="Arial;Helvetica;sans-serif" w:hAnsi="Arial;Helvetica;sans-serif"/>
          <w:spacing w:val="-15"/>
          <w:sz w:val="18"/>
        </w:rPr>
        <w:t xml:space="preserve"> </w:t>
      </w:r>
      <w:r>
        <w:rPr>
          <w:rFonts w:ascii="Times New Roman;Times;serif" w:hAnsi="Times New Roman;Times;serif"/>
          <w:sz w:val="24"/>
        </w:rPr>
        <w:t>hereby</w:t>
      </w:r>
      <w:r>
        <w:rPr>
          <w:rFonts w:ascii="Arial;Helvetica;sans-serif" w:hAnsi="Arial;Helvetica;sans-serif"/>
          <w:spacing w:val="-15"/>
          <w:sz w:val="18"/>
        </w:rPr>
        <w:t xml:space="preserve"> </w:t>
      </w:r>
      <w:r>
        <w:rPr>
          <w:rFonts w:ascii="Times New Roman;Times;serif" w:hAnsi="Times New Roman;Times;serif"/>
          <w:sz w:val="24"/>
        </w:rPr>
        <w:t>acknowledged, the parties hereto agree as follows:</w:t>
      </w:r>
    </w:p>
    <w:p>
      <w:pPr>
        <w:pStyle w:val="TextBody"/>
        <w:bidi w:val="0"/>
        <w:spacing w:lineRule="auto" w:line="285" w:before="6" w:after="0"/>
        <w:ind w:left="0" w:right="0" w:hanging="0"/>
        <w:jc w:val="left"/>
        <w:rPr/>
      </w:pPr>
      <w:r>
        <w:rPr/>
        <w:t>​</w:t>
      </w:r>
    </w:p>
    <w:tbl>
      <w:tblPr>
        <w:tblW w:w="906" w:type="dxa"/>
        <w:jc w:val="left"/>
        <w:tblInd w:w="0" w:type="dxa"/>
        <w:tblLayout w:type="fixed"/>
        <w:tblCellMar>
          <w:top w:w="0" w:type="dxa"/>
          <w:left w:w="0" w:type="dxa"/>
          <w:bottom w:w="0" w:type="dxa"/>
          <w:right w:w="0" w:type="dxa"/>
        </w:tblCellMar>
      </w:tblPr>
      <w:tblGrid>
        <w:gridCol w:w="23"/>
        <w:gridCol w:w="200"/>
        <w:gridCol w:w="68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w:t>
            </w:r>
          </w:p>
        </w:tc>
        <w:tc>
          <w:tcPr>
            <w:tcW w:w="683"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4"/>
                <w:sz w:val="24"/>
                <w:u w:val="single"/>
              </w:rPr>
            </w:pPr>
            <w:r>
              <w:rPr>
                <w:rFonts w:ascii="Times New Roman;Times;serif" w:hAnsi="Times New Roman;Times;serif"/>
                <w:b w:val="false"/>
                <w:i w:val="false"/>
                <w:caps w:val="false"/>
                <w:smallCaps w:val="false"/>
                <w:spacing w:val="-4"/>
                <w:sz w:val="24"/>
                <w:u w:val="single"/>
              </w:rPr>
              <w:t>TERM</w:t>
            </w:r>
          </w:p>
        </w:tc>
      </w:tr>
    </w:tbl>
    <w:tbl>
      <w:tblPr>
        <w:tblW w:w="7673" w:type="dxa"/>
        <w:jc w:val="left"/>
        <w:tblInd w:w="0" w:type="dxa"/>
        <w:tblLayout w:type="fixed"/>
        <w:tblCellMar>
          <w:top w:w="0" w:type="dxa"/>
          <w:left w:w="0" w:type="dxa"/>
          <w:bottom w:w="0" w:type="dxa"/>
          <w:right w:w="0" w:type="dxa"/>
        </w:tblCellMar>
      </w:tblPr>
      <w:tblGrid>
        <w:gridCol w:w="23"/>
        <w:gridCol w:w="320"/>
        <w:gridCol w:w="733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1.1</w:t>
            </w:r>
          </w:p>
        </w:tc>
        <w:tc>
          <w:tcPr>
            <w:tcW w:w="733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This</w:t>
            </w:r>
            <w:r>
              <w:rPr>
                <w:caps w:val="false"/>
                <w:smallCaps w:val="false"/>
                <w:spacing w:val="-1"/>
              </w:rPr>
              <w:t xml:space="preserve"> </w:t>
            </w:r>
            <w:r>
              <w:rPr>
                <w:rFonts w:ascii="Times New Roman;Times;serif" w:hAnsi="Times New Roman;Times;serif"/>
                <w:b w:val="false"/>
                <w:i w:val="false"/>
                <w:caps w:val="false"/>
                <w:smallCaps w:val="false"/>
                <w:sz w:val="24"/>
              </w:rPr>
              <w:t>Quality</w:t>
            </w:r>
            <w:r>
              <w:rPr>
                <w:caps w:val="false"/>
                <w:smallCaps w:val="false"/>
                <w:spacing w:val="-1"/>
              </w:rPr>
              <w:t xml:space="preserve"> </w:t>
            </w:r>
            <w:r>
              <w:rPr>
                <w:rFonts w:ascii="Times New Roman;Times;serif" w:hAnsi="Times New Roman;Times;serif"/>
                <w:b w:val="false"/>
                <w:i w:val="false"/>
                <w:caps w:val="false"/>
                <w:smallCaps w:val="false"/>
                <w:sz w:val="24"/>
              </w:rPr>
              <w:t>Agreement</w:t>
            </w:r>
            <w:r>
              <w:rPr>
                <w:caps w:val="false"/>
                <w:smallCaps w:val="false"/>
                <w:spacing w:val="-1"/>
              </w:rPr>
              <w:t xml:space="preserve"> </w:t>
            </w:r>
            <w:r>
              <w:rPr>
                <w:rFonts w:ascii="Times New Roman;Times;serif" w:hAnsi="Times New Roman;Times;serif"/>
                <w:b w:val="false"/>
                <w:i w:val="false"/>
                <w:caps w:val="false"/>
                <w:smallCaps w:val="false"/>
                <w:sz w:val="24"/>
              </w:rPr>
              <w:t>shall</w:t>
            </w:r>
            <w:r>
              <w:rPr>
                <w:caps w:val="false"/>
                <w:smallCaps w:val="false"/>
                <w:spacing w:val="-1"/>
              </w:rPr>
              <w:t xml:space="preserve"> </w:t>
            </w:r>
            <w:r>
              <w:rPr>
                <w:rFonts w:ascii="Times New Roman;Times;serif" w:hAnsi="Times New Roman;Times;serif"/>
                <w:b w:val="false"/>
                <w:i w:val="false"/>
                <w:caps w:val="false"/>
                <w:smallCaps w:val="false"/>
                <w:sz w:val="24"/>
              </w:rPr>
              <w:t>remain</w:t>
            </w:r>
            <w:r>
              <w:rPr>
                <w:caps w:val="false"/>
                <w:smallCaps w:val="false"/>
                <w:spacing w:val="-1"/>
              </w:rPr>
              <w:t xml:space="preserve"> </w:t>
            </w:r>
            <w:r>
              <w:rPr>
                <w:rFonts w:ascii="Times New Roman;Times;serif" w:hAnsi="Times New Roman;Times;serif"/>
                <w:b w:val="false"/>
                <w:i w:val="false"/>
                <w:caps w:val="false"/>
                <w:smallCaps w:val="false"/>
                <w:sz w:val="24"/>
              </w:rPr>
              <w:t>in</w:t>
            </w:r>
            <w:r>
              <w:rPr>
                <w:caps w:val="false"/>
                <w:smallCaps w:val="false"/>
                <w:spacing w:val="-1"/>
              </w:rPr>
              <w:t xml:space="preserve"> </w:t>
            </w:r>
            <w:r>
              <w:rPr>
                <w:rFonts w:ascii="Times New Roman;Times;serif" w:hAnsi="Times New Roman;Times;serif"/>
                <w:b w:val="false"/>
                <w:i w:val="false"/>
                <w:caps w:val="false"/>
                <w:smallCaps w:val="false"/>
                <w:sz w:val="24"/>
              </w:rPr>
              <w:t>place</w:t>
            </w:r>
            <w:r>
              <w:rPr>
                <w:caps w:val="false"/>
                <w:smallCaps w:val="false"/>
                <w:spacing w:val="-2"/>
              </w:rPr>
              <w:t xml:space="preserve"> </w:t>
            </w:r>
            <w:r>
              <w:rPr>
                <w:rFonts w:ascii="Times New Roman;Times;serif" w:hAnsi="Times New Roman;Times;serif"/>
                <w:b w:val="false"/>
                <w:i w:val="false"/>
                <w:caps w:val="false"/>
                <w:smallCaps w:val="false"/>
                <w:sz w:val="24"/>
              </w:rPr>
              <w:t>until</w:t>
            </w:r>
            <w:r>
              <w:rPr>
                <w:caps w:val="false"/>
                <w:smallCaps w:val="false"/>
                <w:spacing w:val="-1"/>
              </w:rPr>
              <w:t xml:space="preserve"> </w:t>
            </w: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z w:val="24"/>
              </w:rPr>
              <w:t>termination</w:t>
            </w:r>
            <w:r>
              <w:rPr>
                <w:caps w:val="false"/>
                <w:smallCaps w:val="false"/>
                <w:spacing w:val="-1"/>
              </w:rPr>
              <w:t xml:space="preserve"> </w:t>
            </w:r>
            <w:r>
              <w:rPr>
                <w:rFonts w:ascii="Times New Roman;Times;serif" w:hAnsi="Times New Roman;Times;serif"/>
                <w:b w:val="false"/>
                <w:i w:val="false"/>
                <w:caps w:val="false"/>
                <w:smallCaps w:val="false"/>
                <w:sz w:val="24"/>
              </w:rPr>
              <w:t>of</w:t>
            </w:r>
            <w:r>
              <w:rPr>
                <w:caps w:val="false"/>
                <w:smallCaps w:val="false"/>
                <w:spacing w:val="-1"/>
              </w:rPr>
              <w:t xml:space="preserve"> </w:t>
            </w:r>
            <w:r>
              <w:rPr>
                <w:rFonts w:ascii="Times New Roman;Times;serif" w:hAnsi="Times New Roman;Times;serif"/>
                <w:b w:val="false"/>
                <w:i w:val="false"/>
                <w:caps w:val="false"/>
                <w:smallCaps w:val="false"/>
                <w:sz w:val="24"/>
              </w:rPr>
              <w:t>the</w:t>
            </w:r>
            <w:r>
              <w:rPr>
                <w:caps w:val="false"/>
                <w:smallCaps w:val="false"/>
                <w:spacing w:val="-1"/>
              </w:rPr>
              <w:t xml:space="preserve"> </w:t>
            </w:r>
            <w:r>
              <w:rPr>
                <w:rFonts w:ascii="Times New Roman;Times;serif" w:hAnsi="Times New Roman;Times;serif"/>
                <w:b w:val="false"/>
                <w:i w:val="false"/>
                <w:caps w:val="false"/>
                <w:smallCaps w:val="false"/>
                <w:spacing w:val="-5"/>
                <w:sz w:val="24"/>
              </w:rPr>
              <w:t>DA.</w:t>
            </w:r>
          </w:p>
        </w:tc>
      </w:tr>
    </w:tbl>
    <w:p>
      <w:pPr>
        <w:pStyle w:val="TextBody"/>
        <w:bidi w:val="0"/>
        <w:spacing w:lineRule="auto" w:line="285" w:before="8" w:after="0"/>
        <w:ind w:left="0" w:right="0" w:hanging="0"/>
        <w:jc w:val="left"/>
        <w:rPr/>
      </w:pPr>
      <w:r>
        <w:rPr/>
        <w:t>​</w:t>
      </w:r>
    </w:p>
    <w:tbl>
      <w:tblPr>
        <w:tblW w:w="3607" w:type="dxa"/>
        <w:jc w:val="left"/>
        <w:tblInd w:w="0" w:type="dxa"/>
        <w:tblLayout w:type="fixed"/>
        <w:tblCellMar>
          <w:top w:w="0" w:type="dxa"/>
          <w:left w:w="0" w:type="dxa"/>
          <w:bottom w:w="0" w:type="dxa"/>
          <w:right w:w="0" w:type="dxa"/>
        </w:tblCellMar>
      </w:tblPr>
      <w:tblGrid>
        <w:gridCol w:w="23"/>
        <w:gridCol w:w="200"/>
        <w:gridCol w:w="3384"/>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2.</w:t>
            </w:r>
          </w:p>
        </w:tc>
        <w:tc>
          <w:tcPr>
            <w:tcW w:w="338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TECHNICAL</w:t>
            </w:r>
            <w:r>
              <w:rPr>
                <w:caps w:val="false"/>
                <w:smallCaps w:val="false"/>
                <w:spacing w:val="-2"/>
                <w:u w:val="single"/>
              </w:rPr>
              <w:t xml:space="preserve"> </w:t>
            </w:r>
            <w:r>
              <w:rPr>
                <w:rFonts w:ascii="Times New Roman;Times;serif" w:hAnsi="Times New Roman;Times;serif"/>
                <w:b w:val="false"/>
                <w:i w:val="false"/>
                <w:caps w:val="false"/>
                <w:smallCaps w:val="false"/>
                <w:spacing w:val="-2"/>
                <w:sz w:val="24"/>
                <w:u w:val="single"/>
              </w:rPr>
              <w:t>SPECIFICATIONS</w:t>
            </w:r>
          </w:p>
        </w:tc>
      </w:tr>
    </w:tbl>
    <w:tbl>
      <w:tblPr>
        <w:tblW w:w="8030" w:type="dxa"/>
        <w:jc w:val="left"/>
        <w:tblInd w:w="0" w:type="dxa"/>
        <w:tblLayout w:type="fixed"/>
        <w:tblCellMar>
          <w:top w:w="0" w:type="dxa"/>
          <w:left w:w="0" w:type="dxa"/>
          <w:bottom w:w="0" w:type="dxa"/>
          <w:right w:w="0" w:type="dxa"/>
        </w:tblCellMar>
      </w:tblPr>
      <w:tblGrid>
        <w:gridCol w:w="23"/>
        <w:gridCol w:w="380"/>
        <w:gridCol w:w="7627"/>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w:t>
            </w:r>
          </w:p>
        </w:tc>
        <w:tc>
          <w:tcPr>
            <w:tcW w:w="7627"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Design</w:t>
            </w:r>
            <w:r>
              <w:rPr>
                <w:caps w:val="false"/>
                <w:smallCaps w:val="false"/>
                <w:spacing w:val="-2"/>
              </w:rPr>
              <w:t xml:space="preserve"> </w:t>
            </w:r>
            <w:r>
              <w:rPr>
                <w:rFonts w:ascii="Times New Roman;Times;serif" w:hAnsi="Times New Roman;Times;serif"/>
                <w:b/>
                <w:i w:val="false"/>
                <w:caps w:val="false"/>
                <w:smallCaps w:val="false"/>
                <w:sz w:val="24"/>
              </w:rPr>
              <w:t>Specifications</w:t>
            </w:r>
            <w:r>
              <w:rPr>
                <w:rFonts w:ascii="Times New Roman;Times;serif" w:hAnsi="Times New Roman;Times;serif"/>
                <w:b w:val="false"/>
                <w:i w:val="false"/>
                <w:caps w:val="false"/>
                <w:smallCaps w:val="false"/>
                <w:sz w:val="24"/>
              </w:rPr>
              <w:t>:</w:t>
            </w:r>
            <w:r>
              <w:rPr>
                <w:caps w:val="false"/>
                <w:smallCaps w:val="false"/>
                <w:spacing w:val="-2"/>
              </w:rPr>
              <w:t xml:space="preserve"> </w:t>
            </w:r>
            <w:r>
              <w:rPr>
                <w:rFonts w:ascii="Times New Roman;Times;serif" w:hAnsi="Times New Roman;Times;serif"/>
                <w:b w:val="false"/>
                <w:i w:val="false"/>
                <w:caps w:val="false"/>
                <w:smallCaps w:val="false"/>
                <w:sz w:val="24"/>
              </w:rPr>
              <w:t>Aziyo</w:t>
            </w:r>
            <w:r>
              <w:rPr>
                <w:caps w:val="false"/>
                <w:smallCaps w:val="false"/>
                <w:spacing w:val="-1"/>
              </w:rPr>
              <w:t xml:space="preserve"> </w:t>
            </w:r>
            <w:r>
              <w:rPr>
                <w:rFonts w:ascii="Times New Roman;Times;serif" w:hAnsi="Times New Roman;Times;serif"/>
                <w:b w:val="false"/>
                <w:i w:val="false"/>
                <w:caps w:val="false"/>
                <w:smallCaps w:val="false"/>
                <w:sz w:val="24"/>
              </w:rPr>
              <w:t>is</w:t>
            </w:r>
            <w:r>
              <w:rPr>
                <w:caps w:val="false"/>
                <w:smallCaps w:val="false"/>
                <w:spacing w:val="-2"/>
              </w:rPr>
              <w:t xml:space="preserve"> </w:t>
            </w:r>
            <w:r>
              <w:rPr>
                <w:rFonts w:ascii="Times New Roman;Times;serif" w:hAnsi="Times New Roman;Times;serif"/>
                <w:b w:val="false"/>
                <w:i w:val="false"/>
                <w:caps w:val="false"/>
                <w:smallCaps w:val="false"/>
                <w:sz w:val="24"/>
              </w:rPr>
              <w:t>responsible</w:t>
            </w:r>
            <w:r>
              <w:rPr>
                <w:caps w:val="false"/>
                <w:smallCaps w:val="false"/>
                <w:spacing w:val="-3"/>
              </w:rPr>
              <w:t xml:space="preserve"> </w:t>
            </w:r>
            <w:r>
              <w:rPr>
                <w:rFonts w:ascii="Times New Roman;Times;serif" w:hAnsi="Times New Roman;Times;serif"/>
                <w:b w:val="false"/>
                <w:i w:val="false"/>
                <w:caps w:val="false"/>
                <w:smallCaps w:val="false"/>
                <w:sz w:val="24"/>
              </w:rPr>
              <w:t>for</w:t>
            </w:r>
            <w:r>
              <w:rPr>
                <w:caps w:val="false"/>
                <w:smallCaps w:val="false"/>
                <w:spacing w:val="-1"/>
              </w:rPr>
              <w:t xml:space="preserve"> </w:t>
            </w:r>
            <w:r>
              <w:rPr>
                <w:rFonts w:ascii="Times New Roman;Times;serif" w:hAnsi="Times New Roman;Times;serif"/>
                <w:b w:val="false"/>
                <w:i w:val="false"/>
                <w:caps w:val="false"/>
                <w:smallCaps w:val="false"/>
                <w:sz w:val="24"/>
              </w:rPr>
              <w:t>all</w:t>
            </w:r>
            <w:r>
              <w:rPr>
                <w:caps w:val="false"/>
                <w:smallCaps w:val="false"/>
                <w:spacing w:val="-2"/>
              </w:rPr>
              <w:t xml:space="preserve"> </w:t>
            </w:r>
            <w:r>
              <w:rPr>
                <w:rFonts w:ascii="Times New Roman;Times;serif" w:hAnsi="Times New Roman;Times;serif"/>
                <w:b w:val="false"/>
                <w:i w:val="false"/>
                <w:caps w:val="false"/>
                <w:smallCaps w:val="false"/>
                <w:sz w:val="24"/>
              </w:rPr>
              <w:t>product</w:t>
            </w:r>
            <w:r>
              <w:rPr>
                <w:caps w:val="false"/>
                <w:smallCaps w:val="false"/>
                <w:spacing w:val="-2"/>
              </w:rPr>
              <w:t xml:space="preserve"> </w:t>
            </w:r>
            <w:r>
              <w:rPr>
                <w:rFonts w:ascii="Times New Roman;Times;serif" w:hAnsi="Times New Roman;Times;serif"/>
                <w:b w:val="false"/>
                <w:i w:val="false"/>
                <w:caps w:val="false"/>
                <w:smallCaps w:val="false"/>
                <w:sz w:val="24"/>
              </w:rPr>
              <w:t>design</w:t>
            </w:r>
            <w:r>
              <w:rPr>
                <w:caps w:val="false"/>
                <w:smallCaps w:val="false"/>
                <w:spacing w:val="-1"/>
              </w:rPr>
              <w:t xml:space="preserve"> </w:t>
            </w:r>
            <w:r>
              <w:rPr>
                <w:rFonts w:ascii="Times New Roman;Times;serif" w:hAnsi="Times New Roman;Times;serif"/>
                <w:b w:val="false"/>
                <w:i w:val="false"/>
                <w:caps w:val="false"/>
                <w:smallCaps w:val="false"/>
                <w:spacing w:val="-2"/>
                <w:sz w:val="24"/>
              </w:rPr>
              <w:t>specifications.</w:t>
            </w:r>
          </w:p>
        </w:tc>
      </w:tr>
    </w:tbl>
    <w:tbl>
      <w:tblPr>
        <w:tblW w:w="10205" w:type="dxa"/>
        <w:jc w:val="left"/>
        <w:tblInd w:w="0" w:type="dxa"/>
        <w:tblLayout w:type="fixed"/>
        <w:tblCellMar>
          <w:top w:w="0" w:type="dxa"/>
          <w:left w:w="0" w:type="dxa"/>
          <w:bottom w:w="0" w:type="dxa"/>
          <w:right w:w="0" w:type="dxa"/>
        </w:tblCellMar>
      </w:tblPr>
      <w:tblGrid>
        <w:gridCol w:w="23"/>
        <w:gridCol w:w="364"/>
        <w:gridCol w:w="979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2.2.</w:t>
            </w:r>
          </w:p>
        </w:tc>
        <w:tc>
          <w:tcPr>
            <w:tcW w:w="9794"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Product Labeling</w:t>
            </w:r>
            <w:r>
              <w:rPr>
                <w:rFonts w:ascii="Times New Roman;Times;serif" w:hAnsi="Times New Roman;Times;serif"/>
                <w:b w:val="false"/>
                <w:i w:val="false"/>
                <w:caps w:val="false"/>
                <w:smallCaps w:val="false"/>
                <w:sz w:val="24"/>
              </w:rPr>
              <w:t>: Aziyo is responsible for design and manufacture of all product labeling (product affixed, packaging labeling, IFU’s).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8" w:after="0"/>
        <w:ind w:left="0" w:right="0" w:hanging="0"/>
        <w:jc w:val="left"/>
        <w:rPr/>
      </w:pPr>
      <w:r>
        <w:rPr/>
        <w:t>​</w:t>
      </w:r>
    </w:p>
    <w:tbl>
      <w:tblPr>
        <w:tblW w:w="1948" w:type="dxa"/>
        <w:jc w:val="left"/>
        <w:tblInd w:w="0" w:type="dxa"/>
        <w:tblLayout w:type="fixed"/>
        <w:tblCellMar>
          <w:top w:w="0" w:type="dxa"/>
          <w:left w:w="0" w:type="dxa"/>
          <w:bottom w:w="0" w:type="dxa"/>
          <w:right w:w="0" w:type="dxa"/>
        </w:tblCellMar>
      </w:tblPr>
      <w:tblGrid>
        <w:gridCol w:w="23"/>
        <w:gridCol w:w="200"/>
        <w:gridCol w:w="17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3.</w:t>
            </w:r>
          </w:p>
        </w:tc>
        <w:tc>
          <w:tcPr>
            <w:tcW w:w="1725"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4"/>
                <w:u w:val="single"/>
              </w:rPr>
            </w:pPr>
            <w:r>
              <w:rPr>
                <w:rFonts w:ascii="Times New Roman;Times;serif" w:hAnsi="Times New Roman;Times;serif"/>
                <w:b w:val="false"/>
                <w:i w:val="false"/>
                <w:caps w:val="false"/>
                <w:smallCaps w:val="false"/>
                <w:spacing w:val="-2"/>
                <w:sz w:val="24"/>
                <w:u w:val="single"/>
              </w:rPr>
              <w:t>REGULATIONS</w:t>
            </w:r>
          </w:p>
        </w:tc>
      </w:tr>
    </w:tbl>
    <w:tbl>
      <w:tblPr>
        <w:tblW w:w="10205" w:type="dxa"/>
        <w:jc w:val="left"/>
        <w:tblInd w:w="0" w:type="dxa"/>
        <w:tblLayout w:type="fixed"/>
        <w:tblCellMar>
          <w:top w:w="0" w:type="dxa"/>
          <w:left w:w="0" w:type="dxa"/>
          <w:bottom w:w="0" w:type="dxa"/>
          <w:right w:w="0" w:type="dxa"/>
        </w:tblCellMar>
      </w:tblPr>
      <w:tblGrid>
        <w:gridCol w:w="23"/>
        <w:gridCol w:w="326"/>
        <w:gridCol w:w="983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3.1.</w:t>
            </w:r>
          </w:p>
        </w:tc>
        <w:tc>
          <w:tcPr>
            <w:tcW w:w="983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Regulatory</w:t>
            </w:r>
            <w:r>
              <w:rPr>
                <w:rFonts w:ascii="Times New Roman;Times;serif" w:hAnsi="Times New Roman;Times;serif"/>
                <w:b w:val="false"/>
                <w:i w:val="false"/>
                <w:caps w:val="false"/>
                <w:smallCaps w:val="false"/>
                <w:sz w:val="24"/>
              </w:rPr>
              <w:t>:</w:t>
            </w:r>
            <w:r>
              <w:rPr>
                <w:caps w:val="false"/>
                <w:smallCaps w:val="false"/>
                <w:spacing w:val="-3"/>
              </w:rPr>
              <w:t xml:space="preserve"> </w:t>
            </w:r>
            <w:r>
              <w:rPr>
                <w:rFonts w:ascii="Times New Roman;Times;serif" w:hAnsi="Times New Roman;Times;serif"/>
                <w:b w:val="false"/>
                <w:i w:val="false"/>
                <w:caps w:val="false"/>
                <w:smallCaps w:val="false"/>
                <w:sz w:val="24"/>
              </w:rPr>
              <w:t>Aziyo</w:t>
            </w:r>
            <w:r>
              <w:rPr>
                <w:caps w:val="false"/>
                <w:smallCaps w:val="false"/>
                <w:spacing w:val="-3"/>
              </w:rPr>
              <w:t xml:space="preserve"> </w:t>
            </w:r>
            <w:r>
              <w:rPr>
                <w:rFonts w:ascii="Times New Roman;Times;serif" w:hAnsi="Times New Roman;Times;serif"/>
                <w:b w:val="false"/>
                <w:i w:val="false"/>
                <w:caps w:val="false"/>
                <w:smallCaps w:val="false"/>
                <w:sz w:val="24"/>
              </w:rPr>
              <w:t>shall</w:t>
            </w:r>
            <w:r>
              <w:rPr>
                <w:caps w:val="false"/>
                <w:smallCaps w:val="false"/>
                <w:spacing w:val="-3"/>
              </w:rPr>
              <w:t xml:space="preserve"> </w:t>
            </w:r>
            <w:r>
              <w:rPr>
                <w:rFonts w:ascii="Times New Roman;Times;serif" w:hAnsi="Times New Roman;Times;serif"/>
                <w:b w:val="false"/>
                <w:i w:val="false"/>
                <w:caps w:val="false"/>
                <w:smallCaps w:val="false"/>
                <w:sz w:val="24"/>
              </w:rPr>
              <w:t>maintain</w:t>
            </w:r>
            <w:r>
              <w:rPr>
                <w:caps w:val="false"/>
                <w:smallCaps w:val="false"/>
                <w:spacing w:val="-3"/>
              </w:rPr>
              <w:t xml:space="preserve"> </w:t>
            </w:r>
            <w:r>
              <w:rPr>
                <w:rFonts w:ascii="Times New Roman;Times;serif" w:hAnsi="Times New Roman;Times;serif"/>
                <w:b w:val="false"/>
                <w:i w:val="false"/>
                <w:caps w:val="false"/>
                <w:smallCaps w:val="false"/>
                <w:sz w:val="24"/>
              </w:rPr>
              <w:t>throughout</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term</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3"/>
              </w:rPr>
              <w:t xml:space="preserve"> </w:t>
            </w:r>
            <w:r>
              <w:rPr>
                <w:rFonts w:ascii="Times New Roman;Times;serif" w:hAnsi="Times New Roman;Times;serif"/>
                <w:b w:val="false"/>
                <w:i w:val="false"/>
                <w:caps w:val="false"/>
                <w:smallCaps w:val="false"/>
                <w:sz w:val="24"/>
              </w:rPr>
              <w:t>this</w:t>
            </w:r>
            <w:r>
              <w:rPr>
                <w:caps w:val="false"/>
                <w:smallCaps w:val="false"/>
                <w:spacing w:val="-3"/>
              </w:rPr>
              <w:t xml:space="preserve"> </w:t>
            </w:r>
            <w:r>
              <w:rPr>
                <w:rFonts w:ascii="Times New Roman;Times;serif" w:hAnsi="Times New Roman;Times;serif"/>
                <w:b w:val="false"/>
                <w:i w:val="false"/>
                <w:caps w:val="false"/>
                <w:smallCaps w:val="false"/>
                <w:sz w:val="24"/>
              </w:rPr>
              <w:t>Quality</w:t>
            </w:r>
            <w:r>
              <w:rPr>
                <w:caps w:val="false"/>
                <w:smallCaps w:val="false"/>
                <w:spacing w:val="-3"/>
              </w:rPr>
              <w:t xml:space="preserve"> </w:t>
            </w:r>
            <w:r>
              <w:rPr>
                <w:rFonts w:ascii="Times New Roman;Times;serif" w:hAnsi="Times New Roman;Times;serif"/>
                <w:b w:val="false"/>
                <w:i w:val="false"/>
                <w:caps w:val="false"/>
                <w:smallCaps w:val="false"/>
                <w:sz w:val="24"/>
              </w:rPr>
              <w:t>Agreement</w:t>
            </w:r>
            <w:r>
              <w:rPr>
                <w:caps w:val="false"/>
                <w:smallCaps w:val="false"/>
                <w:spacing w:val="-3"/>
              </w:rPr>
              <w:t xml:space="preserve"> </w:t>
            </w:r>
            <w:r>
              <w:rPr>
                <w:rFonts w:ascii="Times New Roman;Times;serif" w:hAnsi="Times New Roman;Times;serif"/>
                <w:b w:val="false"/>
                <w:i w:val="false"/>
                <w:caps w:val="false"/>
                <w:smallCaps w:val="false"/>
                <w:sz w:val="24"/>
              </w:rPr>
              <w:t>all</w:t>
            </w:r>
            <w:r>
              <w:rPr>
                <w:caps w:val="false"/>
                <w:smallCaps w:val="false"/>
                <w:spacing w:val="-3"/>
              </w:rPr>
              <w:t xml:space="preserve"> </w:t>
            </w:r>
            <w:r>
              <w:rPr>
                <w:rFonts w:ascii="Times New Roman;Times;serif" w:hAnsi="Times New Roman;Times;serif"/>
                <w:b w:val="false"/>
                <w:i w:val="false"/>
                <w:caps w:val="false"/>
                <w:smallCaps w:val="false"/>
                <w:sz w:val="24"/>
              </w:rPr>
              <w:t>permits, registrations, approvals, and authorizations as may be required to manufacture, promote, market, distribute, and sell Products in accordance with the terms of the DA. Company shall respond in a timely and efficient manner with all reasonable requests from Aziyo for documentation or other support needed for Aziyo to comply with this Section 3.1. During the term</w:t>
            </w:r>
            <w:r>
              <w:rPr>
                <w:caps w:val="false"/>
                <w:smallCaps w:val="false"/>
                <w:spacing w:val="-14"/>
              </w:rPr>
              <w:t xml:space="preserve"> </w:t>
            </w:r>
            <w:r>
              <w:rPr>
                <w:rFonts w:ascii="Times New Roman;Times;serif" w:hAnsi="Times New Roman;Times;serif"/>
                <w:b w:val="false"/>
                <w:i w:val="false"/>
                <w:caps w:val="false"/>
                <w:smallCaps w:val="false"/>
                <w:sz w:val="24"/>
              </w:rPr>
              <w:t>hereof,</w:t>
            </w:r>
            <w:r>
              <w:rPr>
                <w:caps w:val="false"/>
                <w:smallCaps w:val="false"/>
                <w:spacing w:val="-15"/>
              </w:rPr>
              <w:t xml:space="preserve"> </w:t>
            </w:r>
            <w:r>
              <w:rPr>
                <w:rFonts w:ascii="Times New Roman;Times;serif" w:hAnsi="Times New Roman;Times;serif"/>
                <w:b w:val="false"/>
                <w:i w:val="false"/>
                <w:caps w:val="false"/>
                <w:smallCaps w:val="false"/>
                <w:sz w:val="24"/>
              </w:rPr>
              <w:t>Aziyo</w:t>
            </w:r>
            <w:r>
              <w:rPr>
                <w:caps w:val="false"/>
                <w:smallCaps w:val="false"/>
                <w:spacing w:val="-14"/>
              </w:rPr>
              <w:t xml:space="preserve"> </w:t>
            </w:r>
            <w:r>
              <w:rPr>
                <w:rFonts w:ascii="Times New Roman;Times;serif" w:hAnsi="Times New Roman;Times;serif"/>
                <w:b w:val="false"/>
                <w:i w:val="false"/>
                <w:caps w:val="false"/>
                <w:smallCaps w:val="false"/>
                <w:sz w:val="24"/>
              </w:rPr>
              <w:t>will</w:t>
            </w:r>
            <w:r>
              <w:rPr>
                <w:caps w:val="false"/>
                <w:smallCaps w:val="false"/>
                <w:spacing w:val="-14"/>
              </w:rPr>
              <w:t xml:space="preserve"> </w:t>
            </w:r>
            <w:r>
              <w:rPr>
                <w:rFonts w:ascii="Times New Roman;Times;serif" w:hAnsi="Times New Roman;Times;serif"/>
                <w:b w:val="false"/>
                <w:i w:val="false"/>
                <w:caps w:val="false"/>
                <w:smallCaps w:val="false"/>
                <w:sz w:val="24"/>
              </w:rPr>
              <w:t>maintain</w:t>
            </w:r>
            <w:r>
              <w:rPr>
                <w:caps w:val="false"/>
                <w:smallCaps w:val="false"/>
                <w:spacing w:val="-14"/>
              </w:rPr>
              <w:t xml:space="preserve"> </w:t>
            </w:r>
            <w:r>
              <w:rPr>
                <w:rFonts w:ascii="Times New Roman;Times;serif" w:hAnsi="Times New Roman;Times;serif"/>
                <w:b w:val="false"/>
                <w:i w:val="false"/>
                <w:caps w:val="false"/>
                <w:smallCaps w:val="false"/>
                <w:sz w:val="24"/>
              </w:rPr>
              <w:t>or</w:t>
            </w:r>
            <w:r>
              <w:rPr>
                <w:caps w:val="false"/>
                <w:smallCaps w:val="false"/>
                <w:spacing w:val="-14"/>
              </w:rPr>
              <w:t xml:space="preserve"> </w:t>
            </w:r>
            <w:r>
              <w:rPr>
                <w:rFonts w:ascii="Times New Roman;Times;serif" w:hAnsi="Times New Roman;Times;serif"/>
                <w:b w:val="false"/>
                <w:i w:val="false"/>
                <w:caps w:val="false"/>
                <w:smallCaps w:val="false"/>
                <w:sz w:val="24"/>
              </w:rPr>
              <w:t>cause</w:t>
            </w:r>
            <w:r>
              <w:rPr>
                <w:caps w:val="false"/>
                <w:smallCaps w:val="false"/>
                <w:spacing w:val="-14"/>
              </w:rPr>
              <w:t xml:space="preserve"> </w:t>
            </w:r>
            <w:r>
              <w:rPr>
                <w:rFonts w:ascii="Times New Roman;Times;serif" w:hAnsi="Times New Roman;Times;serif"/>
                <w:b w:val="false"/>
                <w:i w:val="false"/>
                <w:caps w:val="false"/>
                <w:smallCaps w:val="false"/>
                <w:sz w:val="24"/>
              </w:rPr>
              <w:t>to</w:t>
            </w:r>
            <w:r>
              <w:rPr>
                <w:caps w:val="false"/>
                <w:smallCaps w:val="false"/>
                <w:spacing w:val="-14"/>
              </w:rPr>
              <w:t xml:space="preserve"> </w:t>
            </w:r>
            <w:r>
              <w:rPr>
                <w:rFonts w:ascii="Times New Roman;Times;serif" w:hAnsi="Times New Roman;Times;serif"/>
                <w:b w:val="false"/>
                <w:i w:val="false"/>
                <w:caps w:val="false"/>
                <w:smallCaps w:val="false"/>
                <w:sz w:val="24"/>
              </w:rPr>
              <w:t>be</w:t>
            </w:r>
            <w:r>
              <w:rPr>
                <w:caps w:val="false"/>
                <w:smallCaps w:val="false"/>
                <w:spacing w:val="-14"/>
              </w:rPr>
              <w:t xml:space="preserve"> </w:t>
            </w:r>
            <w:r>
              <w:rPr>
                <w:rFonts w:ascii="Times New Roman;Times;serif" w:hAnsi="Times New Roman;Times;serif"/>
                <w:b w:val="false"/>
                <w:i w:val="false"/>
                <w:caps w:val="false"/>
                <w:smallCaps w:val="false"/>
                <w:sz w:val="24"/>
              </w:rPr>
              <w:t>maintained</w:t>
            </w:r>
            <w:r>
              <w:rPr>
                <w:caps w:val="false"/>
                <w:smallCaps w:val="false"/>
                <w:spacing w:val="-14"/>
              </w:rPr>
              <w:t xml:space="preserve"> </w:t>
            </w:r>
            <w:r>
              <w:rPr>
                <w:rFonts w:ascii="Times New Roman;Times;serif" w:hAnsi="Times New Roman;Times;serif"/>
                <w:b w:val="false"/>
                <w:i w:val="false"/>
                <w:caps w:val="false"/>
                <w:smallCaps w:val="false"/>
                <w:sz w:val="24"/>
              </w:rPr>
              <w:t>the</w:t>
            </w:r>
            <w:r>
              <w:rPr>
                <w:caps w:val="false"/>
                <w:smallCaps w:val="false"/>
                <w:spacing w:val="-14"/>
              </w:rPr>
              <w:t xml:space="preserve"> </w:t>
            </w:r>
            <w:r>
              <w:rPr>
                <w:rFonts w:ascii="Times New Roman;Times;serif" w:hAnsi="Times New Roman;Times;serif"/>
                <w:b w:val="false"/>
                <w:i w:val="false"/>
                <w:caps w:val="false"/>
                <w:smallCaps w:val="false"/>
                <w:sz w:val="24"/>
              </w:rPr>
              <w:t>Product</w:t>
            </w:r>
            <w:r>
              <w:rPr>
                <w:caps w:val="false"/>
                <w:smallCaps w:val="false"/>
                <w:spacing w:val="-14"/>
              </w:rPr>
              <w:t xml:space="preserve"> </w:t>
            </w:r>
            <w:r>
              <w:rPr>
                <w:rFonts w:ascii="Times New Roman;Times;serif" w:hAnsi="Times New Roman;Times;serif"/>
                <w:b w:val="false"/>
                <w:i w:val="false"/>
                <w:caps w:val="false"/>
                <w:smallCaps w:val="false"/>
                <w:sz w:val="24"/>
              </w:rPr>
              <w:t>manufacturing</w:t>
            </w:r>
            <w:r>
              <w:rPr>
                <w:caps w:val="false"/>
                <w:smallCaps w:val="false"/>
                <w:spacing w:val="-14"/>
              </w:rPr>
              <w:t xml:space="preserve"> </w:t>
            </w:r>
            <w:r>
              <w:rPr>
                <w:rFonts w:ascii="Times New Roman;Times;serif" w:hAnsi="Times New Roman;Times;serif"/>
                <w:b w:val="false"/>
                <w:i w:val="false"/>
                <w:caps w:val="false"/>
                <w:smallCaps w:val="false"/>
                <w:sz w:val="24"/>
              </w:rPr>
              <w:t>facility's registration with the FDA and other regulatory agencies, as applicable, as a medical device manufacturing</w:t>
            </w:r>
            <w:r>
              <w:rPr>
                <w:caps w:val="false"/>
                <w:smallCaps w:val="false"/>
                <w:spacing w:val="-15"/>
              </w:rPr>
              <w:t xml:space="preserve"> </w:t>
            </w:r>
            <w:r>
              <w:rPr>
                <w:rFonts w:ascii="Times New Roman;Times;serif" w:hAnsi="Times New Roman;Times;serif"/>
                <w:b w:val="false"/>
                <w:i w:val="false"/>
                <w:caps w:val="false"/>
                <w:smallCaps w:val="false"/>
                <w:sz w:val="24"/>
              </w:rPr>
              <w:t>facility</w:t>
            </w:r>
            <w:r>
              <w:rPr>
                <w:caps w:val="false"/>
                <w:smallCaps w:val="false"/>
                <w:spacing w:val="-15"/>
              </w:rPr>
              <w:t xml:space="preserve"> </w:t>
            </w:r>
            <w:r>
              <w:rPr>
                <w:rFonts w:ascii="Times New Roman;Times;serif" w:hAnsi="Times New Roman;Times;serif"/>
                <w:b w:val="false"/>
                <w:i w:val="false"/>
                <w:caps w:val="false"/>
                <w:smallCaps w:val="false"/>
                <w:sz w:val="24"/>
              </w:rPr>
              <w:t>and</w:t>
            </w:r>
            <w:r>
              <w:rPr>
                <w:caps w:val="false"/>
                <w:smallCaps w:val="false"/>
                <w:spacing w:val="-15"/>
              </w:rPr>
              <w:t xml:space="preserve"> </w:t>
            </w:r>
            <w:r>
              <w:rPr>
                <w:rFonts w:ascii="Times New Roman;Times;serif" w:hAnsi="Times New Roman;Times;serif"/>
                <w:b w:val="false"/>
                <w:i w:val="false"/>
                <w:caps w:val="false"/>
                <w:smallCaps w:val="false"/>
                <w:sz w:val="24"/>
              </w:rPr>
              <w:t>will</w:t>
            </w:r>
            <w:r>
              <w:rPr>
                <w:caps w:val="false"/>
                <w:smallCaps w:val="false"/>
                <w:spacing w:val="-15"/>
              </w:rPr>
              <w:t xml:space="preserve"> </w:t>
            </w:r>
            <w:r>
              <w:rPr>
                <w:rFonts w:ascii="Times New Roman;Times;serif" w:hAnsi="Times New Roman;Times;serif"/>
                <w:b w:val="false"/>
                <w:i w:val="false"/>
                <w:caps w:val="false"/>
                <w:smallCaps w:val="false"/>
                <w:sz w:val="24"/>
              </w:rPr>
              <w:t>maintain</w:t>
            </w:r>
            <w:r>
              <w:rPr>
                <w:caps w:val="false"/>
                <w:smallCaps w:val="false"/>
                <w:spacing w:val="-15"/>
              </w:rPr>
              <w:t xml:space="preserve"> </w:t>
            </w:r>
            <w:r>
              <w:rPr>
                <w:rFonts w:ascii="Times New Roman;Times;serif" w:hAnsi="Times New Roman;Times;serif"/>
                <w:b w:val="false"/>
                <w:i w:val="false"/>
                <w:caps w:val="false"/>
                <w:smallCaps w:val="false"/>
                <w:sz w:val="24"/>
              </w:rPr>
              <w:t>such</w:t>
            </w:r>
            <w:r>
              <w:rPr>
                <w:caps w:val="false"/>
                <w:smallCaps w:val="false"/>
                <w:spacing w:val="-15"/>
              </w:rPr>
              <w:t xml:space="preserve"> </w:t>
            </w:r>
            <w:r>
              <w:rPr>
                <w:rFonts w:ascii="Times New Roman;Times;serif" w:hAnsi="Times New Roman;Times;serif"/>
                <w:b w:val="false"/>
                <w:i w:val="false"/>
                <w:caps w:val="false"/>
                <w:smallCaps w:val="false"/>
                <w:sz w:val="24"/>
              </w:rPr>
              <w:t>facility</w:t>
            </w:r>
            <w:r>
              <w:rPr>
                <w:caps w:val="false"/>
                <w:smallCaps w:val="false"/>
                <w:spacing w:val="-15"/>
              </w:rPr>
              <w:t xml:space="preserve"> </w:t>
            </w:r>
            <w:r>
              <w:rPr>
                <w:rFonts w:ascii="Times New Roman;Times;serif" w:hAnsi="Times New Roman;Times;serif"/>
                <w:b w:val="false"/>
                <w:i w:val="false"/>
                <w:caps w:val="false"/>
                <w:smallCaps w:val="false"/>
                <w:sz w:val="24"/>
              </w:rPr>
              <w:t>registration</w:t>
            </w:r>
            <w:r>
              <w:rPr>
                <w:caps w:val="false"/>
                <w:smallCaps w:val="false"/>
                <w:spacing w:val="-15"/>
              </w:rPr>
              <w:t xml:space="preserve"> </w:t>
            </w:r>
            <w:r>
              <w:rPr>
                <w:rFonts w:ascii="Times New Roman;Times;serif" w:hAnsi="Times New Roman;Times;serif"/>
                <w:b w:val="false"/>
                <w:i w:val="false"/>
                <w:caps w:val="false"/>
                <w:smallCaps w:val="false"/>
                <w:sz w:val="24"/>
              </w:rPr>
              <w:t>with</w:t>
            </w:r>
            <w:r>
              <w:rPr>
                <w:caps w:val="false"/>
                <w:smallCaps w:val="false"/>
                <w:spacing w:val="-15"/>
              </w:rPr>
              <w:t xml:space="preserve"> </w:t>
            </w:r>
            <w:r>
              <w:rPr>
                <w:rFonts w:ascii="Times New Roman;Times;serif" w:hAnsi="Times New Roman;Times;serif"/>
                <w:b w:val="false"/>
                <w:i w:val="false"/>
                <w:caps w:val="false"/>
                <w:smallCaps w:val="false"/>
                <w:sz w:val="24"/>
              </w:rPr>
              <w:t>all</w:t>
            </w:r>
            <w:r>
              <w:rPr>
                <w:caps w:val="false"/>
                <w:smallCaps w:val="false"/>
                <w:spacing w:val="-15"/>
              </w:rPr>
              <w:t xml:space="preserve"> </w:t>
            </w:r>
            <w:r>
              <w:rPr>
                <w:rFonts w:ascii="Times New Roman;Times;serif" w:hAnsi="Times New Roman;Times;serif"/>
                <w:b w:val="false"/>
                <w:i w:val="false"/>
                <w:caps w:val="false"/>
                <w:smallCaps w:val="false"/>
                <w:sz w:val="24"/>
              </w:rPr>
              <w:t>applicable</w:t>
            </w:r>
            <w:r>
              <w:rPr>
                <w:caps w:val="false"/>
                <w:smallCaps w:val="false"/>
                <w:spacing w:val="-15"/>
              </w:rPr>
              <w:t xml:space="preserve"> </w:t>
            </w:r>
            <w:r>
              <w:rPr>
                <w:rFonts w:ascii="Times New Roman;Times;serif" w:hAnsi="Times New Roman;Times;serif"/>
                <w:b w:val="false"/>
                <w:i w:val="false"/>
                <w:caps w:val="false"/>
                <w:smallCaps w:val="false"/>
                <w:sz w:val="24"/>
              </w:rPr>
              <w:t>regulatory authorities</w:t>
            </w:r>
            <w:r>
              <w:rPr>
                <w:caps w:val="false"/>
                <w:smallCaps w:val="false"/>
                <w:spacing w:val="-12"/>
              </w:rPr>
              <w:t xml:space="preserve"> </w:t>
            </w:r>
            <w:r>
              <w:rPr>
                <w:rFonts w:ascii="Times New Roman;Times;serif" w:hAnsi="Times New Roman;Times;serif"/>
                <w:b w:val="false"/>
                <w:i w:val="false"/>
                <w:caps w:val="false"/>
                <w:smallCaps w:val="false"/>
                <w:sz w:val="24"/>
              </w:rPr>
              <w:t>or</w:t>
            </w:r>
            <w:r>
              <w:rPr>
                <w:caps w:val="false"/>
                <w:smallCaps w:val="false"/>
                <w:spacing w:val="-12"/>
              </w:rPr>
              <w:t xml:space="preserve"> </w:t>
            </w:r>
            <w:r>
              <w:rPr>
                <w:rFonts w:ascii="Times New Roman;Times;serif" w:hAnsi="Times New Roman;Times;serif"/>
                <w:b w:val="false"/>
                <w:i w:val="false"/>
                <w:caps w:val="false"/>
                <w:smallCaps w:val="false"/>
                <w:sz w:val="24"/>
              </w:rPr>
              <w:t>cause</w:t>
            </w:r>
            <w:r>
              <w:rPr>
                <w:caps w:val="false"/>
                <w:smallCaps w:val="false"/>
                <w:spacing w:val="-12"/>
              </w:rPr>
              <w:t xml:space="preserve"> </w:t>
            </w:r>
            <w:r>
              <w:rPr>
                <w:rFonts w:ascii="Times New Roman;Times;serif" w:hAnsi="Times New Roman;Times;serif"/>
                <w:b w:val="false"/>
                <w:i w:val="false"/>
                <w:caps w:val="false"/>
                <w:smallCaps w:val="false"/>
                <w:sz w:val="24"/>
              </w:rPr>
              <w:t>such</w:t>
            </w:r>
            <w:r>
              <w:rPr>
                <w:caps w:val="false"/>
                <w:smallCaps w:val="false"/>
                <w:spacing w:val="-12"/>
              </w:rPr>
              <w:t xml:space="preserve"> </w:t>
            </w:r>
            <w:r>
              <w:rPr>
                <w:rFonts w:ascii="Times New Roman;Times;serif" w:hAnsi="Times New Roman;Times;serif"/>
                <w:b w:val="false"/>
                <w:i w:val="false"/>
                <w:caps w:val="false"/>
                <w:smallCaps w:val="false"/>
                <w:sz w:val="24"/>
              </w:rPr>
              <w:t>facility</w:t>
            </w:r>
            <w:r>
              <w:rPr>
                <w:caps w:val="false"/>
                <w:smallCaps w:val="false"/>
                <w:spacing w:val="-12"/>
              </w:rPr>
              <w:t xml:space="preserve"> </w:t>
            </w:r>
            <w:r>
              <w:rPr>
                <w:rFonts w:ascii="Times New Roman;Times;serif" w:hAnsi="Times New Roman;Times;serif"/>
                <w:b w:val="false"/>
                <w:i w:val="false"/>
                <w:caps w:val="false"/>
                <w:smallCaps w:val="false"/>
                <w:sz w:val="24"/>
              </w:rPr>
              <w:t>to</w:t>
            </w:r>
            <w:r>
              <w:rPr>
                <w:caps w:val="false"/>
                <w:smallCaps w:val="false"/>
                <w:spacing w:val="-12"/>
              </w:rPr>
              <w:t xml:space="preserve"> </w:t>
            </w:r>
            <w:r>
              <w:rPr>
                <w:rFonts w:ascii="Times New Roman;Times;serif" w:hAnsi="Times New Roman;Times;serif"/>
                <w:b w:val="false"/>
                <w:i w:val="false"/>
                <w:caps w:val="false"/>
                <w:smallCaps w:val="false"/>
                <w:sz w:val="24"/>
              </w:rPr>
              <w:t>be</w:t>
            </w:r>
            <w:r>
              <w:rPr>
                <w:caps w:val="false"/>
                <w:smallCaps w:val="false"/>
                <w:spacing w:val="-12"/>
              </w:rPr>
              <w:t xml:space="preserve"> </w:t>
            </w:r>
            <w:r>
              <w:rPr>
                <w:rFonts w:ascii="Times New Roman;Times;serif" w:hAnsi="Times New Roman;Times;serif"/>
                <w:b w:val="false"/>
                <w:i w:val="false"/>
                <w:caps w:val="false"/>
                <w:smallCaps w:val="false"/>
                <w:sz w:val="24"/>
              </w:rPr>
              <w:t>maintained</w:t>
            </w:r>
            <w:r>
              <w:rPr>
                <w:caps w:val="false"/>
                <w:smallCaps w:val="false"/>
                <w:spacing w:val="-12"/>
              </w:rPr>
              <w:t xml:space="preserve"> </w:t>
            </w:r>
            <w:r>
              <w:rPr>
                <w:rFonts w:ascii="Times New Roman;Times;serif" w:hAnsi="Times New Roman;Times;serif"/>
                <w:b w:val="false"/>
                <w:i w:val="false"/>
                <w:caps w:val="false"/>
                <w:smallCaps w:val="false"/>
                <w:sz w:val="24"/>
              </w:rPr>
              <w:t>such</w:t>
            </w:r>
            <w:r>
              <w:rPr>
                <w:caps w:val="false"/>
                <w:smallCaps w:val="false"/>
                <w:spacing w:val="-12"/>
              </w:rPr>
              <w:t xml:space="preserve"> </w:t>
            </w:r>
            <w:r>
              <w:rPr>
                <w:rFonts w:ascii="Times New Roman;Times;serif" w:hAnsi="Times New Roman;Times;serif"/>
                <w:b w:val="false"/>
                <w:i w:val="false"/>
                <w:caps w:val="false"/>
                <w:smallCaps w:val="false"/>
                <w:sz w:val="24"/>
              </w:rPr>
              <w:t>that</w:t>
            </w:r>
            <w:r>
              <w:rPr>
                <w:caps w:val="false"/>
                <w:smallCaps w:val="false"/>
                <w:spacing w:val="-12"/>
              </w:rPr>
              <w:t xml:space="preserve"> </w:t>
            </w:r>
            <w:r>
              <w:rPr>
                <w:rFonts w:ascii="Times New Roman;Times;serif" w:hAnsi="Times New Roman;Times;serif"/>
                <w:b w:val="false"/>
                <w:i w:val="false"/>
                <w:caps w:val="false"/>
                <w:smallCaps w:val="false"/>
                <w:sz w:val="24"/>
              </w:rPr>
              <w:t>the</w:t>
            </w:r>
            <w:r>
              <w:rPr>
                <w:caps w:val="false"/>
                <w:smallCaps w:val="false"/>
                <w:spacing w:val="-12"/>
              </w:rPr>
              <w:t xml:space="preserve"> </w:t>
            </w:r>
            <w:r>
              <w:rPr>
                <w:rFonts w:ascii="Times New Roman;Times;serif" w:hAnsi="Times New Roman;Times;serif"/>
                <w:b w:val="false"/>
                <w:i w:val="false"/>
                <w:caps w:val="false"/>
                <w:smallCaps w:val="false"/>
                <w:sz w:val="24"/>
              </w:rPr>
              <w:t>facility</w:t>
            </w:r>
            <w:r>
              <w:rPr>
                <w:caps w:val="false"/>
                <w:smallCaps w:val="false"/>
                <w:spacing w:val="-12"/>
              </w:rPr>
              <w:t xml:space="preserve"> </w:t>
            </w:r>
            <w:r>
              <w:rPr>
                <w:rFonts w:ascii="Times New Roman;Times;serif" w:hAnsi="Times New Roman;Times;serif"/>
                <w:b w:val="false"/>
                <w:i w:val="false"/>
                <w:caps w:val="false"/>
                <w:smallCaps w:val="false"/>
                <w:sz w:val="24"/>
              </w:rPr>
              <w:t>would</w:t>
            </w:r>
            <w:r>
              <w:rPr>
                <w:caps w:val="false"/>
                <w:smallCaps w:val="false"/>
                <w:spacing w:val="-12"/>
              </w:rPr>
              <w:t xml:space="preserve"> </w:t>
            </w:r>
            <w:r>
              <w:rPr>
                <w:rFonts w:ascii="Times New Roman;Times;serif" w:hAnsi="Times New Roman;Times;serif"/>
                <w:b w:val="false"/>
                <w:i w:val="false"/>
                <w:caps w:val="false"/>
                <w:smallCaps w:val="false"/>
                <w:sz w:val="24"/>
              </w:rPr>
              <w:t>pass</w:t>
            </w:r>
            <w:r>
              <w:rPr>
                <w:caps w:val="false"/>
                <w:smallCaps w:val="false"/>
                <w:spacing w:val="-12"/>
              </w:rPr>
              <w:t xml:space="preserve"> </w:t>
            </w:r>
            <w:r>
              <w:rPr>
                <w:rFonts w:ascii="Times New Roman;Times;serif" w:hAnsi="Times New Roman;Times;serif"/>
                <w:b w:val="false"/>
                <w:i w:val="false"/>
                <w:caps w:val="false"/>
                <w:smallCaps w:val="false"/>
                <w:sz w:val="24"/>
              </w:rPr>
              <w:t>a</w:t>
            </w:r>
            <w:r>
              <w:rPr>
                <w:caps w:val="false"/>
                <w:smallCaps w:val="false"/>
                <w:spacing w:val="-12"/>
              </w:rPr>
              <w:t xml:space="preserve"> </w:t>
            </w:r>
            <w:r>
              <w:rPr>
                <w:rFonts w:ascii="Times New Roman;Times;serif" w:hAnsi="Times New Roman;Times;serif"/>
                <w:b w:val="false"/>
                <w:i w:val="false"/>
                <w:caps w:val="false"/>
                <w:smallCaps w:val="false"/>
                <w:sz w:val="24"/>
              </w:rPr>
              <w:t>FDA</w:t>
            </w:r>
            <w:r>
              <w:rPr>
                <w:caps w:val="false"/>
                <w:smallCaps w:val="false"/>
                <w:spacing w:val="-12"/>
              </w:rPr>
              <w:t xml:space="preserve"> </w:t>
            </w:r>
            <w:r>
              <w:rPr>
                <w:rFonts w:ascii="Times New Roman;Times;serif" w:hAnsi="Times New Roman;Times;serif"/>
                <w:b w:val="false"/>
                <w:i w:val="false"/>
                <w:caps w:val="false"/>
                <w:smallCaps w:val="false"/>
                <w:sz w:val="24"/>
              </w:rPr>
              <w:t>audit for compliance with GMP and QSR.</w:t>
            </w:r>
          </w:p>
        </w:tc>
        <w:tc>
          <w:tcPr>
            <w:tcW w:w="24"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0" w:type="dxa"/>
          <w:left w:w="0" w:type="dxa"/>
          <w:bottom w:w="0" w:type="dxa"/>
          <w:right w:w="0" w:type="dxa"/>
        </w:tblCellMar>
      </w:tblPr>
      <w:tblGrid>
        <w:gridCol w:w="23"/>
        <w:gridCol w:w="380"/>
        <w:gridCol w:w="881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3.2.</w:t>
            </w:r>
          </w:p>
        </w:tc>
        <w:tc>
          <w:tcPr>
            <w:tcW w:w="881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Reporting</w:t>
            </w:r>
            <w:r>
              <w:rPr>
                <w:rFonts w:ascii="Times New Roman;Times;serif" w:hAnsi="Times New Roman;Times;serif"/>
                <w:b w:val="false"/>
                <w:i w:val="false"/>
                <w:caps w:val="false"/>
                <w:smallCaps w:val="false"/>
                <w:sz w:val="24"/>
              </w:rPr>
              <w:t xml:space="preserve">: Each Party shall notify the other Party in writing within five (5) business days of </w:t>
            </w:r>
          </w:p>
        </w:tc>
        <w:tc>
          <w:tcPr>
            <w:tcW w:w="2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notice</w:t>
            </w:r>
            <w:r>
              <w:rPr>
                <w:caps w:val="false"/>
                <w:smallCaps w:val="false"/>
                <w:spacing w:val="-4"/>
              </w:rPr>
              <w:t xml:space="preserve"> </w:t>
            </w:r>
            <w:r>
              <w:rPr>
                <w:rFonts w:ascii="Times New Roman;Times;serif" w:hAnsi="Times New Roman;Times;serif"/>
                <w:b w:val="false"/>
                <w:i w:val="false"/>
                <w:caps w:val="false"/>
                <w:smallCaps w:val="false"/>
                <w:sz w:val="24"/>
              </w:rPr>
              <w:t>of</w:t>
            </w:r>
            <w:r>
              <w:rPr>
                <w:caps w:val="false"/>
                <w:smallCaps w:val="false"/>
                <w:spacing w:val="-4"/>
              </w:rPr>
              <w:t xml:space="preserve"> </w:t>
            </w:r>
            <w:r>
              <w:rPr>
                <w:rFonts w:ascii="Times New Roman;Times;serif" w:hAnsi="Times New Roman;Times;serif"/>
                <w:b w:val="false"/>
                <w:i w:val="false"/>
                <w:caps w:val="false"/>
                <w:smallCaps w:val="false"/>
                <w:sz w:val="24"/>
              </w:rPr>
              <w:t>any</w:t>
            </w:r>
            <w:r>
              <w:rPr>
                <w:caps w:val="false"/>
                <w:smallCaps w:val="false"/>
                <w:spacing w:val="-4"/>
              </w:rPr>
              <w:t xml:space="preserve"> </w:t>
            </w:r>
            <w:r>
              <w:rPr>
                <w:rFonts w:ascii="Times New Roman;Times;serif" w:hAnsi="Times New Roman;Times;serif"/>
                <w:b w:val="false"/>
                <w:i w:val="false"/>
                <w:caps w:val="false"/>
                <w:smallCaps w:val="false"/>
                <w:sz w:val="24"/>
              </w:rPr>
              <w:t>Product</w:t>
            </w:r>
            <w:r>
              <w:rPr>
                <w:caps w:val="false"/>
                <w:smallCaps w:val="false"/>
                <w:spacing w:val="-4"/>
              </w:rPr>
              <w:t xml:space="preserve"> </w:t>
            </w:r>
            <w:r>
              <w:rPr>
                <w:rFonts w:ascii="Times New Roman;Times;serif" w:hAnsi="Times New Roman;Times;serif"/>
                <w:b w:val="false"/>
                <w:i w:val="false"/>
                <w:caps w:val="false"/>
                <w:smallCaps w:val="false"/>
                <w:sz w:val="24"/>
              </w:rPr>
              <w:t>issue</w:t>
            </w:r>
            <w:r>
              <w:rPr>
                <w:caps w:val="false"/>
                <w:smallCaps w:val="false"/>
                <w:spacing w:val="-4"/>
              </w:rPr>
              <w:t xml:space="preserve"> </w:t>
            </w:r>
            <w:r>
              <w:rPr>
                <w:rFonts w:ascii="Times New Roman;Times;serif" w:hAnsi="Times New Roman;Times;serif"/>
                <w:b w:val="false"/>
                <w:i w:val="false"/>
                <w:caps w:val="false"/>
                <w:smallCaps w:val="false"/>
                <w:sz w:val="24"/>
              </w:rPr>
              <w:t>or</w:t>
            </w:r>
            <w:r>
              <w:rPr>
                <w:caps w:val="false"/>
                <w:smallCaps w:val="false"/>
                <w:spacing w:val="-4"/>
              </w:rPr>
              <w:t xml:space="preserve"> </w:t>
            </w:r>
            <w:r>
              <w:rPr>
                <w:rFonts w:ascii="Times New Roman;Times;serif" w:hAnsi="Times New Roman;Times;serif"/>
                <w:b w:val="false"/>
                <w:i w:val="false"/>
                <w:caps w:val="false"/>
                <w:smallCaps w:val="false"/>
                <w:sz w:val="24"/>
              </w:rPr>
              <w:t>incident</w:t>
            </w:r>
            <w:r>
              <w:rPr>
                <w:caps w:val="false"/>
                <w:smallCaps w:val="false"/>
                <w:spacing w:val="-4"/>
              </w:rPr>
              <w:t xml:space="preserve"> </w:t>
            </w:r>
            <w:r>
              <w:rPr>
                <w:rFonts w:ascii="Times New Roman;Times;serif" w:hAnsi="Times New Roman;Times;serif"/>
                <w:b w:val="false"/>
                <w:i w:val="false"/>
                <w:caps w:val="false"/>
                <w:smallCaps w:val="false"/>
                <w:sz w:val="24"/>
              </w:rPr>
              <w:t>involving</w:t>
            </w:r>
            <w:r>
              <w:rPr>
                <w:caps w:val="false"/>
                <w:smallCaps w:val="false"/>
                <w:spacing w:val="-4"/>
              </w:rPr>
              <w:t xml:space="preserve"> </w:t>
            </w:r>
            <w:r>
              <w:rPr>
                <w:rFonts w:ascii="Times New Roman;Times;serif" w:hAnsi="Times New Roman;Times;serif"/>
                <w:b w:val="false"/>
                <w:i w:val="false"/>
                <w:caps w:val="false"/>
                <w:smallCaps w:val="false"/>
                <w:sz w:val="24"/>
              </w:rPr>
              <w:t>Product,</w:t>
            </w:r>
            <w:r>
              <w:rPr>
                <w:caps w:val="false"/>
                <w:smallCaps w:val="false"/>
                <w:spacing w:val="-4"/>
              </w:rPr>
              <w:t xml:space="preserve"> </w:t>
            </w:r>
            <w:r>
              <w:rPr>
                <w:rFonts w:ascii="Times New Roman;Times;serif" w:hAnsi="Times New Roman;Times;serif"/>
                <w:b w:val="false"/>
                <w:i w:val="false"/>
                <w:caps w:val="false"/>
                <w:smallCaps w:val="false"/>
                <w:sz w:val="24"/>
              </w:rPr>
              <w:t>including</w:t>
            </w:r>
            <w:r>
              <w:rPr>
                <w:caps w:val="false"/>
                <w:smallCaps w:val="false"/>
                <w:spacing w:val="-4"/>
              </w:rPr>
              <w:t xml:space="preserve"> </w:t>
            </w:r>
            <w:r>
              <w:rPr>
                <w:rFonts w:ascii="Times New Roman;Times;serif" w:hAnsi="Times New Roman;Times;serif"/>
                <w:b w:val="false"/>
                <w:i w:val="false"/>
                <w:caps w:val="false"/>
                <w:smallCaps w:val="false"/>
                <w:sz w:val="24"/>
              </w:rPr>
              <w:t>those</w:t>
            </w:r>
            <w:r>
              <w:rPr>
                <w:caps w:val="false"/>
                <w:smallCaps w:val="false"/>
                <w:spacing w:val="-4"/>
              </w:rPr>
              <w:t xml:space="preserve"> </w:t>
            </w:r>
            <w:r>
              <w:rPr>
                <w:rFonts w:ascii="Times New Roman;Times;serif" w:hAnsi="Times New Roman;Times;serif"/>
                <w:b w:val="false"/>
                <w:i w:val="false"/>
                <w:caps w:val="false"/>
                <w:smallCaps w:val="false"/>
                <w:sz w:val="24"/>
              </w:rPr>
              <w:t>which,</w:t>
            </w:r>
            <w:r>
              <w:rPr>
                <w:caps w:val="false"/>
                <w:smallCaps w:val="false"/>
                <w:spacing w:val="-4"/>
              </w:rPr>
              <w:t xml:space="preserve"> </w:t>
            </w:r>
            <w:r>
              <w:rPr>
                <w:rFonts w:ascii="Times New Roman;Times;serif" w:hAnsi="Times New Roman;Times;serif"/>
                <w:b w:val="false"/>
                <w:i w:val="false"/>
                <w:caps w:val="false"/>
                <w:smallCaps w:val="false"/>
                <w:sz w:val="24"/>
              </w:rPr>
              <w:t>according</w:t>
            </w:r>
            <w:r>
              <w:rPr>
                <w:caps w:val="false"/>
                <w:smallCaps w:val="false"/>
                <w:spacing w:val="-4"/>
              </w:rPr>
              <w:t xml:space="preserve"> </w:t>
            </w:r>
            <w:r>
              <w:rPr>
                <w:rFonts w:ascii="Times New Roman;Times;serif" w:hAnsi="Times New Roman;Times;serif"/>
                <w:b w:val="false"/>
                <w:i w:val="false"/>
                <w:caps w:val="false"/>
                <w:smallCaps w:val="false"/>
                <w:sz w:val="24"/>
              </w:rPr>
              <w:t>to any</w:t>
            </w:r>
            <w:r>
              <w:rPr>
                <w:caps w:val="false"/>
                <w:smallCaps w:val="false"/>
                <w:spacing w:val="40"/>
              </w:rPr>
              <w:t xml:space="preserve"> </w:t>
            </w:r>
            <w:r>
              <w:rPr>
                <w:rFonts w:ascii="Times New Roman;Times;serif" w:hAnsi="Times New Roman;Times;serif"/>
                <w:b w:val="false"/>
                <w:i w:val="false"/>
                <w:caps w:val="false"/>
                <w:smallCaps w:val="false"/>
                <w:sz w:val="24"/>
              </w:rPr>
              <w:t>applicable</w:t>
            </w:r>
            <w:r>
              <w:rPr>
                <w:caps w:val="false"/>
                <w:smallCaps w:val="false"/>
                <w:spacing w:val="40"/>
              </w:rPr>
              <w:t xml:space="preserve"> </w:t>
            </w:r>
            <w:r>
              <w:rPr>
                <w:rFonts w:ascii="Times New Roman;Times;serif" w:hAnsi="Times New Roman;Times;serif"/>
                <w:b w:val="false"/>
                <w:i w:val="false"/>
                <w:caps w:val="false"/>
                <w:smallCaps w:val="false"/>
                <w:sz w:val="24"/>
              </w:rPr>
              <w:t>regulatory</w:t>
            </w:r>
            <w:r>
              <w:rPr>
                <w:caps w:val="false"/>
                <w:smallCaps w:val="false"/>
                <w:spacing w:val="40"/>
              </w:rPr>
              <w:t xml:space="preserve"> </w:t>
            </w:r>
            <w:r>
              <w:rPr>
                <w:rFonts w:ascii="Times New Roman;Times;serif" w:hAnsi="Times New Roman;Times;serif"/>
                <w:b w:val="false"/>
                <w:i w:val="false"/>
                <w:caps w:val="false"/>
                <w:smallCaps w:val="false"/>
                <w:sz w:val="24"/>
              </w:rPr>
              <w:t>authority,</w:t>
            </w:r>
            <w:r>
              <w:rPr>
                <w:caps w:val="false"/>
                <w:smallCaps w:val="false"/>
                <w:spacing w:val="40"/>
              </w:rPr>
              <w:t xml:space="preserve"> </w:t>
            </w:r>
            <w:r>
              <w:rPr>
                <w:rFonts w:ascii="Times New Roman;Times;serif" w:hAnsi="Times New Roman;Times;serif"/>
                <w:b w:val="false"/>
                <w:i w:val="false"/>
                <w:caps w:val="false"/>
                <w:smallCaps w:val="false"/>
                <w:sz w:val="24"/>
              </w:rPr>
              <w:t>require</w:t>
            </w:r>
            <w:r>
              <w:rPr>
                <w:caps w:val="false"/>
                <w:smallCaps w:val="false"/>
                <w:spacing w:val="40"/>
              </w:rPr>
              <w:t xml:space="preserve"> </w:t>
            </w:r>
            <w:r>
              <w:rPr>
                <w:rFonts w:ascii="Times New Roman;Times;serif" w:hAnsi="Times New Roman;Times;serif"/>
                <w:b w:val="false"/>
                <w:i w:val="false"/>
                <w:caps w:val="false"/>
                <w:smallCaps w:val="false"/>
                <w:sz w:val="24"/>
              </w:rPr>
              <w:t>notification</w:t>
            </w:r>
            <w:r>
              <w:rPr>
                <w:caps w:val="false"/>
                <w:smallCaps w:val="false"/>
                <w:spacing w:val="40"/>
              </w:rPr>
              <w:t xml:space="preserve"> </w:t>
            </w:r>
            <w:r>
              <w:rPr>
                <w:rFonts w:ascii="Times New Roman;Times;serif" w:hAnsi="Times New Roman;Times;serif"/>
                <w:b w:val="false"/>
                <w:i w:val="false"/>
                <w:caps w:val="false"/>
                <w:smallCaps w:val="false"/>
                <w:sz w:val="24"/>
              </w:rPr>
              <w:t>of</w:t>
            </w:r>
            <w:r>
              <w:rPr>
                <w:caps w:val="false"/>
                <w:smallCaps w:val="false"/>
                <w:spacing w:val="40"/>
              </w:rPr>
              <w:t xml:space="preserve"> </w:t>
            </w:r>
            <w:r>
              <w:rPr>
                <w:rFonts w:ascii="Times New Roman;Times;serif" w:hAnsi="Times New Roman;Times;serif"/>
                <w:b w:val="false"/>
                <w:i w:val="false"/>
                <w:caps w:val="false"/>
                <w:smallCaps w:val="false"/>
                <w:sz w:val="24"/>
              </w:rPr>
              <w:t>such</w:t>
            </w:r>
            <w:r>
              <w:rPr>
                <w:caps w:val="false"/>
                <w:smallCaps w:val="false"/>
                <w:spacing w:val="40"/>
              </w:rPr>
              <w:t xml:space="preserve"> </w:t>
            </w:r>
            <w:r>
              <w:rPr>
                <w:rFonts w:ascii="Times New Roman;Times;serif" w:hAnsi="Times New Roman;Times;serif"/>
                <w:b w:val="false"/>
                <w:i w:val="false"/>
                <w:caps w:val="false"/>
                <w:smallCaps w:val="false"/>
                <w:sz w:val="24"/>
              </w:rPr>
              <w:t>issue</w:t>
            </w:r>
            <w:r>
              <w:rPr>
                <w:caps w:val="false"/>
                <w:smallCaps w:val="false"/>
                <w:spacing w:val="40"/>
              </w:rPr>
              <w:t xml:space="preserve"> </w:t>
            </w:r>
            <w:r>
              <w:rPr>
                <w:rFonts w:ascii="Times New Roman;Times;serif" w:hAnsi="Times New Roman;Times;serif"/>
                <w:b w:val="false"/>
                <w:i w:val="false"/>
                <w:caps w:val="false"/>
                <w:smallCaps w:val="false"/>
                <w:sz w:val="24"/>
              </w:rPr>
              <w:t>or</w:t>
            </w:r>
            <w:r>
              <w:rPr>
                <w:caps w:val="false"/>
                <w:smallCaps w:val="false"/>
                <w:spacing w:val="40"/>
              </w:rPr>
              <w:t xml:space="preserve"> </w:t>
            </w:r>
            <w:r>
              <w:rPr>
                <w:rFonts w:ascii="Times New Roman;Times;serif" w:hAnsi="Times New Roman;Times;serif"/>
                <w:b w:val="false"/>
                <w:i w:val="false"/>
                <w:caps w:val="false"/>
                <w:smallCaps w:val="false"/>
                <w:sz w:val="24"/>
              </w:rPr>
              <w:t>incident</w:t>
            </w:r>
            <w:r>
              <w:rPr>
                <w:caps w:val="false"/>
                <w:smallCaps w:val="false"/>
                <w:spacing w:val="40"/>
              </w:rPr>
              <w:t xml:space="preserve"> </w:t>
            </w:r>
            <w:r>
              <w:rPr>
                <w:rFonts w:ascii="Times New Roman;Times;serif" w:hAnsi="Times New Roman;Times;serif"/>
                <w:b w:val="false"/>
                <w:i w:val="false"/>
                <w:caps w:val="false"/>
                <w:smallCaps w:val="false"/>
                <w:sz w:val="24"/>
              </w:rPr>
              <w:t>to</w:t>
            </w:r>
            <w:r>
              <w:rPr>
                <w:caps w:val="false"/>
                <w:smallCaps w:val="false"/>
                <w:spacing w:val="40"/>
              </w:rPr>
              <w:t xml:space="preserve"> </w:t>
            </w:r>
            <w:r>
              <w:rPr>
                <w:rFonts w:ascii="Times New Roman;Times;serif" w:hAnsi="Times New Roman;Times;serif"/>
                <w:b w:val="false"/>
                <w:i w:val="false"/>
                <w:caps w:val="false"/>
                <w:smallCaps w:val="false"/>
                <w:sz w:val="24"/>
              </w:rPr>
              <w:t>said authority. If either Party receives a complaint, oral or written, regarding any of the Products from a third party, Aziyo will make a preliminary evaluation of such a complaint for reportability and (i) Company will be responsible facilitating all customer contact regarding the</w:t>
            </w:r>
            <w:r>
              <w:rPr>
                <w:caps w:val="false"/>
                <w:smallCaps w:val="false"/>
                <w:spacing w:val="-7"/>
              </w:rPr>
              <w:t xml:space="preserve"> </w:t>
            </w:r>
            <w:r>
              <w:rPr>
                <w:rFonts w:ascii="Times New Roman;Times;serif" w:hAnsi="Times New Roman;Times;serif"/>
                <w:b w:val="false"/>
                <w:i w:val="false"/>
                <w:caps w:val="false"/>
                <w:smallCaps w:val="false"/>
                <w:sz w:val="24"/>
              </w:rPr>
              <w:t>incident</w:t>
            </w:r>
            <w:r>
              <w:rPr>
                <w:caps w:val="false"/>
                <w:smallCaps w:val="false"/>
                <w:spacing w:val="-7"/>
              </w:rPr>
              <w:t xml:space="preserve"> </w:t>
            </w:r>
            <w:r>
              <w:rPr>
                <w:rFonts w:ascii="Times New Roman;Times;serif" w:hAnsi="Times New Roman;Times;serif"/>
                <w:b w:val="false"/>
                <w:i w:val="false"/>
                <w:caps w:val="false"/>
                <w:smallCaps w:val="false"/>
                <w:sz w:val="24"/>
              </w:rPr>
              <w:t>and</w:t>
            </w:r>
            <w:r>
              <w:rPr>
                <w:caps w:val="false"/>
                <w:smallCaps w:val="false"/>
                <w:spacing w:val="-7"/>
              </w:rPr>
              <w:t xml:space="preserve"> </w:t>
            </w:r>
            <w:r>
              <w:rPr>
                <w:rFonts w:ascii="Times New Roman;Times;serif" w:hAnsi="Times New Roman;Times;serif"/>
                <w:b w:val="false"/>
                <w:i w:val="false"/>
                <w:caps w:val="false"/>
                <w:smallCaps w:val="false"/>
                <w:sz w:val="24"/>
              </w:rPr>
              <w:t>(ii)</w:t>
            </w:r>
            <w:r>
              <w:rPr>
                <w:caps w:val="false"/>
                <w:smallCaps w:val="false"/>
                <w:spacing w:val="-7"/>
              </w:rPr>
              <w:t xml:space="preserve"> </w:t>
            </w:r>
            <w:r>
              <w:rPr>
                <w:rFonts w:ascii="Times New Roman;Times;serif" w:hAnsi="Times New Roman;Times;serif"/>
                <w:b w:val="false"/>
                <w:i w:val="false"/>
                <w:caps w:val="false"/>
                <w:smallCaps w:val="false"/>
                <w:sz w:val="24"/>
              </w:rPr>
              <w:t>Aziyo</w:t>
            </w:r>
            <w:r>
              <w:rPr>
                <w:caps w:val="false"/>
                <w:smallCaps w:val="false"/>
                <w:spacing w:val="-7"/>
              </w:rPr>
              <w:t xml:space="preserve"> </w:t>
            </w:r>
            <w:r>
              <w:rPr>
                <w:rFonts w:ascii="Times New Roman;Times;serif" w:hAnsi="Times New Roman;Times;serif"/>
                <w:b w:val="false"/>
                <w:i w:val="false"/>
                <w:caps w:val="false"/>
                <w:smallCaps w:val="false"/>
                <w:sz w:val="24"/>
              </w:rPr>
              <w:t>will</w:t>
            </w:r>
            <w:r>
              <w:rPr>
                <w:caps w:val="false"/>
                <w:smallCaps w:val="false"/>
                <w:spacing w:val="-7"/>
              </w:rPr>
              <w:t xml:space="preserve"> </w:t>
            </w:r>
            <w:r>
              <w:rPr>
                <w:rFonts w:ascii="Times New Roman;Times;serif" w:hAnsi="Times New Roman;Times;serif"/>
                <w:b w:val="false"/>
                <w:i w:val="false"/>
                <w:caps w:val="false"/>
                <w:smallCaps w:val="false"/>
                <w:sz w:val="24"/>
              </w:rPr>
              <w:t>be</w:t>
            </w:r>
            <w:r>
              <w:rPr>
                <w:caps w:val="false"/>
                <w:smallCaps w:val="false"/>
                <w:spacing w:val="-7"/>
              </w:rPr>
              <w:t xml:space="preserve"> </w:t>
            </w:r>
            <w:r>
              <w:rPr>
                <w:rFonts w:ascii="Times New Roman;Times;serif" w:hAnsi="Times New Roman;Times;serif"/>
                <w:b w:val="false"/>
                <w:i w:val="false"/>
                <w:caps w:val="false"/>
                <w:smallCaps w:val="false"/>
                <w:sz w:val="24"/>
              </w:rPr>
              <w:t>responsible</w:t>
            </w:r>
            <w:r>
              <w:rPr>
                <w:caps w:val="false"/>
                <w:smallCaps w:val="false"/>
                <w:spacing w:val="-7"/>
              </w:rPr>
              <w:t xml:space="preserve"> </w:t>
            </w:r>
            <w:r>
              <w:rPr>
                <w:rFonts w:ascii="Times New Roman;Times;serif" w:hAnsi="Times New Roman;Times;serif"/>
                <w:b w:val="false"/>
                <w:i w:val="false"/>
                <w:caps w:val="false"/>
                <w:smallCaps w:val="false"/>
                <w:sz w:val="24"/>
              </w:rPr>
              <w:t>for</w:t>
            </w:r>
            <w:r>
              <w:rPr>
                <w:caps w:val="false"/>
                <w:smallCaps w:val="false"/>
                <w:spacing w:val="-7"/>
              </w:rPr>
              <w:t xml:space="preserve"> </w:t>
            </w:r>
            <w:r>
              <w:rPr>
                <w:rFonts w:ascii="Times New Roman;Times;serif" w:hAnsi="Times New Roman;Times;serif"/>
                <w:b w:val="false"/>
                <w:i w:val="false"/>
                <w:caps w:val="false"/>
                <w:smallCaps w:val="false"/>
                <w:sz w:val="24"/>
              </w:rPr>
              <w:t>all</w:t>
            </w:r>
            <w:r>
              <w:rPr>
                <w:caps w:val="false"/>
                <w:smallCaps w:val="false"/>
                <w:spacing w:val="-7"/>
              </w:rPr>
              <w:t xml:space="preserve"> </w:t>
            </w:r>
            <w:r>
              <w:rPr>
                <w:rFonts w:ascii="Times New Roman;Times;serif" w:hAnsi="Times New Roman;Times;serif"/>
                <w:b w:val="false"/>
                <w:i w:val="false"/>
                <w:caps w:val="false"/>
                <w:smallCaps w:val="false"/>
                <w:sz w:val="24"/>
              </w:rPr>
              <w:t>regulatory</w:t>
            </w:r>
            <w:r>
              <w:rPr>
                <w:caps w:val="false"/>
                <w:smallCaps w:val="false"/>
                <w:spacing w:val="-7"/>
              </w:rPr>
              <w:t xml:space="preserve"> </w:t>
            </w:r>
            <w:r>
              <w:rPr>
                <w:rFonts w:ascii="Times New Roman;Times;serif" w:hAnsi="Times New Roman;Times;serif"/>
                <w:b w:val="false"/>
                <w:i w:val="false"/>
                <w:caps w:val="false"/>
                <w:smallCaps w:val="false"/>
                <w:sz w:val="24"/>
              </w:rPr>
              <w:t>contact</w:t>
            </w:r>
            <w:r>
              <w:rPr>
                <w:caps w:val="false"/>
                <w:smallCaps w:val="false"/>
                <w:spacing w:val="-7"/>
              </w:rPr>
              <w:t xml:space="preserve"> </w:t>
            </w:r>
            <w:r>
              <w:rPr>
                <w:rFonts w:ascii="Times New Roman;Times;serif" w:hAnsi="Times New Roman;Times;serif"/>
                <w:b w:val="false"/>
                <w:i w:val="false"/>
                <w:caps w:val="false"/>
                <w:smallCaps w:val="false"/>
                <w:sz w:val="24"/>
              </w:rPr>
              <w:t>regarding</w:t>
            </w:r>
            <w:r>
              <w:rPr>
                <w:caps w:val="false"/>
                <w:smallCaps w:val="false"/>
                <w:spacing w:val="-7"/>
              </w:rPr>
              <w:t xml:space="preserve"> </w:t>
            </w:r>
            <w:r>
              <w:rPr>
                <w:rFonts w:ascii="Times New Roman;Times;serif" w:hAnsi="Times New Roman;Times;serif"/>
                <w:b w:val="false"/>
                <w:i w:val="false"/>
                <w:caps w:val="false"/>
                <w:smallCaps w:val="false"/>
                <w:sz w:val="24"/>
              </w:rPr>
              <w:t>the</w:t>
            </w:r>
            <w:r>
              <w:rPr>
                <w:caps w:val="false"/>
                <w:smallCaps w:val="false"/>
                <w:spacing w:val="-7"/>
              </w:rPr>
              <w:t xml:space="preserve"> </w:t>
            </w:r>
            <w:r>
              <w:rPr>
                <w:rFonts w:ascii="Times New Roman;Times;serif" w:hAnsi="Times New Roman;Times;serif"/>
                <w:b w:val="false"/>
                <w:i w:val="false"/>
                <w:caps w:val="false"/>
                <w:smallCaps w:val="false"/>
                <w:sz w:val="24"/>
              </w:rPr>
              <w:t xml:space="preserve">incident. The Parties will communicate and coordinate with each other all known information surrounding the third-party report. Company will be responsible for all final reports to </w:t>
            </w:r>
            <w:r>
              <w:rPr>
                <w:rFonts w:ascii="Times New Roman;Times;serif" w:hAnsi="Times New Roman;Times;serif"/>
                <w:b w:val="false"/>
                <w:i w:val="false"/>
                <w:caps w:val="false"/>
                <w:smallCaps w:val="false"/>
                <w:spacing w:val="-2"/>
                <w:sz w:val="24"/>
              </w:rPr>
              <w:t xml:space="preserve">customer(s), arranging for Product returns, and follow-up communication with the customer(s), </w:t>
            </w:r>
            <w:r>
              <w:rPr>
                <w:rFonts w:ascii="Times New Roman;Times;serif" w:hAnsi="Times New Roman;Times;serif"/>
                <w:b w:val="false"/>
                <w:i w:val="false"/>
                <w:caps w:val="false"/>
                <w:smallCaps w:val="false"/>
                <w:sz w:val="24"/>
              </w:rPr>
              <w:t xml:space="preserve">and Aziyo will be responsible for conducting the complaint investigation and follow-up communication with the applicable regulatory agencies, as well as maintenance of complaint files in accordance with regulatory requirements. Company retains a right to review any final </w:t>
            </w:r>
            <w:r>
              <w:rPr>
                <w:rFonts w:ascii="Times New Roman;Times;serif" w:hAnsi="Times New Roman;Times;serif"/>
                <w:b w:val="false"/>
                <w:i w:val="false"/>
                <w:caps w:val="false"/>
                <w:smallCaps w:val="false"/>
                <w:spacing w:val="-2"/>
                <w:sz w:val="24"/>
              </w:rPr>
              <w:t>reports.</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335"/>
        <w:gridCol w:w="982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3.3.</w:t>
            </w:r>
          </w:p>
        </w:tc>
        <w:tc>
          <w:tcPr>
            <w:tcW w:w="9823"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Manufacturing</w:t>
            </w:r>
            <w:r>
              <w:rPr>
                <w:rFonts w:ascii="Times New Roman;Times;serif" w:hAnsi="Times New Roman;Times;serif"/>
                <w:b w:val="false"/>
                <w:i w:val="false"/>
                <w:caps w:val="false"/>
                <w:smallCaps w:val="false"/>
                <w:sz w:val="24"/>
              </w:rPr>
              <w:t>: Aziyo shall manufacture the Product in accordance with (i) the Specifications,</w:t>
            </w:r>
            <w:r>
              <w:rPr>
                <w:caps w:val="false"/>
                <w:smallCaps w:val="false"/>
                <w:spacing w:val="-15"/>
              </w:rPr>
              <w:t xml:space="preserve"> </w:t>
            </w:r>
            <w:r>
              <w:rPr>
                <w:rFonts w:ascii="Times New Roman;Times;serif" w:hAnsi="Times New Roman;Times;serif"/>
                <w:b w:val="false"/>
                <w:i w:val="false"/>
                <w:caps w:val="false"/>
                <w:smallCaps w:val="false"/>
                <w:sz w:val="24"/>
              </w:rPr>
              <w:t>(ii)</w:t>
            </w:r>
            <w:r>
              <w:rPr>
                <w:caps w:val="false"/>
                <w:smallCaps w:val="false"/>
                <w:spacing w:val="-15"/>
              </w:rPr>
              <w:t xml:space="preserve"> </w:t>
            </w:r>
            <w:r>
              <w:rPr>
                <w:rFonts w:ascii="Times New Roman;Times;serif" w:hAnsi="Times New Roman;Times;serif"/>
                <w:b w:val="false"/>
                <w:i w:val="false"/>
                <w:caps w:val="false"/>
                <w:smallCaps w:val="false"/>
                <w:sz w:val="24"/>
              </w:rPr>
              <w:t>applicable</w:t>
            </w:r>
            <w:r>
              <w:rPr>
                <w:caps w:val="false"/>
                <w:smallCaps w:val="false"/>
                <w:spacing w:val="-15"/>
              </w:rPr>
              <w:t xml:space="preserve"> </w:t>
            </w:r>
            <w:r>
              <w:rPr>
                <w:rFonts w:ascii="Times New Roman;Times;serif" w:hAnsi="Times New Roman;Times;serif"/>
                <w:b w:val="false"/>
                <w:i w:val="false"/>
                <w:caps w:val="false"/>
                <w:smallCaps w:val="false"/>
                <w:sz w:val="24"/>
              </w:rPr>
              <w:t>regulations</w:t>
            </w:r>
            <w:r>
              <w:rPr>
                <w:caps w:val="false"/>
                <w:smallCaps w:val="false"/>
                <w:spacing w:val="-15"/>
              </w:rPr>
              <w:t xml:space="preserve"> </w:t>
            </w:r>
            <w:r>
              <w:rPr>
                <w:rFonts w:ascii="Times New Roman;Times;serif" w:hAnsi="Times New Roman;Times;serif"/>
                <w:b w:val="false"/>
                <w:i w:val="false"/>
                <w:caps w:val="false"/>
                <w:smallCaps w:val="false"/>
                <w:sz w:val="24"/>
              </w:rPr>
              <w:t>relating</w:t>
            </w:r>
            <w:r>
              <w:rPr>
                <w:caps w:val="false"/>
                <w:smallCaps w:val="false"/>
                <w:spacing w:val="-15"/>
              </w:rPr>
              <w:t xml:space="preserve"> </w:t>
            </w:r>
            <w:r>
              <w:rPr>
                <w:rFonts w:ascii="Times New Roman;Times;serif" w:hAnsi="Times New Roman;Times;serif"/>
                <w:b w:val="false"/>
                <w:i w:val="false"/>
                <w:caps w:val="false"/>
                <w:smallCaps w:val="false"/>
                <w:sz w:val="24"/>
              </w:rPr>
              <w:t>to</w:t>
            </w:r>
            <w:r>
              <w:rPr>
                <w:caps w:val="false"/>
                <w:smallCaps w:val="false"/>
                <w:spacing w:val="-15"/>
              </w:rPr>
              <w:t xml:space="preserve"> </w:t>
            </w:r>
            <w:r>
              <w:rPr>
                <w:rFonts w:ascii="Times New Roman;Times;serif" w:hAnsi="Times New Roman;Times;serif"/>
                <w:b w:val="false"/>
                <w:i w:val="false"/>
                <w:caps w:val="false"/>
                <w:smallCaps w:val="false"/>
                <w:sz w:val="24"/>
              </w:rPr>
              <w:t>current</w:t>
            </w:r>
            <w:r>
              <w:rPr>
                <w:caps w:val="false"/>
                <w:smallCaps w:val="false"/>
                <w:spacing w:val="-15"/>
              </w:rPr>
              <w:t xml:space="preserve"> </w:t>
            </w:r>
            <w:r>
              <w:rPr>
                <w:rFonts w:ascii="Times New Roman;Times;serif" w:hAnsi="Times New Roman;Times;serif"/>
                <w:b w:val="false"/>
                <w:i w:val="false"/>
                <w:caps w:val="false"/>
                <w:smallCaps w:val="false"/>
                <w:sz w:val="24"/>
              </w:rPr>
              <w:t>Good</w:t>
            </w:r>
            <w:r>
              <w:rPr>
                <w:caps w:val="false"/>
                <w:smallCaps w:val="false"/>
                <w:spacing w:val="-15"/>
              </w:rPr>
              <w:t xml:space="preserve"> </w:t>
            </w:r>
            <w:r>
              <w:rPr>
                <w:rFonts w:ascii="Times New Roman;Times;serif" w:hAnsi="Times New Roman;Times;serif"/>
                <w:b w:val="false"/>
                <w:i w:val="false"/>
                <w:caps w:val="false"/>
                <w:smallCaps w:val="false"/>
                <w:sz w:val="24"/>
              </w:rPr>
              <w:t>Manufacturing</w:t>
            </w:r>
            <w:r>
              <w:rPr>
                <w:caps w:val="false"/>
                <w:smallCaps w:val="false"/>
                <w:spacing w:val="-15"/>
              </w:rPr>
              <w:t xml:space="preserve"> </w:t>
            </w:r>
            <w:r>
              <w:rPr>
                <w:rFonts w:ascii="Times New Roman;Times;serif" w:hAnsi="Times New Roman;Times;serif"/>
                <w:b w:val="false"/>
                <w:i w:val="false"/>
                <w:caps w:val="false"/>
                <w:smallCaps w:val="false"/>
                <w:sz w:val="24"/>
              </w:rPr>
              <w:t>Practices</w:t>
            </w:r>
            <w:r>
              <w:rPr>
                <w:caps w:val="false"/>
                <w:smallCaps w:val="false"/>
                <w:spacing w:val="-15"/>
              </w:rPr>
              <w:t xml:space="preserve"> </w:t>
            </w:r>
            <w:r>
              <w:rPr>
                <w:rFonts w:ascii="Times New Roman;Times;serif" w:hAnsi="Times New Roman;Times;serif"/>
                <w:b w:val="false"/>
                <w:i w:val="false"/>
                <w:caps w:val="false"/>
                <w:smallCaps w:val="false"/>
                <w:sz w:val="24"/>
              </w:rPr>
              <w:t>and similar protocols ("GMP"), quality system regulations of the FDA ("QSR"), including master device and lot history records, ISO 13485 requirements (including appropriate certification),</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900" w:right="106" w:hanging="0"/>
        <w:jc w:val="both"/>
        <w:rPr>
          <w:rFonts w:ascii="Arial;Helvetica;sans-serif" w:hAnsi="Arial;Helvetica;sans-serif"/>
          <w:sz w:val="18"/>
        </w:rPr>
      </w:pPr>
      <w:r>
        <w:rPr>
          <w:rFonts w:ascii="Times New Roman;Times;serif" w:hAnsi="Times New Roman;Times;serif"/>
          <w:sz w:val="24"/>
        </w:rPr>
        <w:t>(iii) other applicable rules and regulations of the FDA, and (iv) Aziyo's standard quality assurance</w:t>
      </w:r>
      <w:r>
        <w:rPr>
          <w:rFonts w:ascii="Arial;Helvetica;sans-serif" w:hAnsi="Arial;Helvetica;sans-serif"/>
          <w:spacing w:val="-6"/>
          <w:sz w:val="18"/>
        </w:rPr>
        <w:t xml:space="preserve"> </w:t>
      </w:r>
      <w:r>
        <w:rPr>
          <w:rFonts w:ascii="Times New Roman;Times;serif" w:hAnsi="Times New Roman;Times;serif"/>
          <w:sz w:val="24"/>
        </w:rPr>
        <w:t>policies.</w:t>
      </w:r>
      <w:r>
        <w:rPr>
          <w:rFonts w:ascii="Arial;Helvetica;sans-serif" w:hAnsi="Arial;Helvetica;sans-serif"/>
          <w:spacing w:val="-6"/>
          <w:sz w:val="18"/>
        </w:rPr>
        <w:t xml:space="preserve"> </w:t>
      </w:r>
      <w:r>
        <w:rPr>
          <w:rFonts w:ascii="Times New Roman;Times;serif" w:hAnsi="Times New Roman;Times;serif"/>
          <w:sz w:val="24"/>
        </w:rPr>
        <w:t>During</w:t>
      </w:r>
      <w:r>
        <w:rPr>
          <w:rFonts w:ascii="Arial;Helvetica;sans-serif" w:hAnsi="Arial;Helvetica;sans-serif"/>
          <w:spacing w:val="-6"/>
          <w:sz w:val="18"/>
        </w:rPr>
        <w:t xml:space="preserve"> </w:t>
      </w:r>
      <w:r>
        <w:rPr>
          <w:rFonts w:ascii="Times New Roman;Times;serif" w:hAnsi="Times New Roman;Times;serif"/>
          <w:sz w:val="24"/>
        </w:rPr>
        <w:t>the</w:t>
      </w:r>
      <w:r>
        <w:rPr>
          <w:rFonts w:ascii="Arial;Helvetica;sans-serif" w:hAnsi="Arial;Helvetica;sans-serif"/>
          <w:spacing w:val="-6"/>
          <w:sz w:val="18"/>
        </w:rPr>
        <w:t xml:space="preserve"> </w:t>
      </w:r>
      <w:r>
        <w:rPr>
          <w:rFonts w:ascii="Times New Roman;Times;serif" w:hAnsi="Times New Roman;Times;serif"/>
          <w:sz w:val="24"/>
        </w:rPr>
        <w:t>term</w:t>
      </w:r>
      <w:r>
        <w:rPr>
          <w:rFonts w:ascii="Arial;Helvetica;sans-serif" w:hAnsi="Arial;Helvetica;sans-serif"/>
          <w:spacing w:val="-6"/>
          <w:sz w:val="18"/>
        </w:rPr>
        <w:t xml:space="preserve"> </w:t>
      </w:r>
      <w:r>
        <w:rPr>
          <w:rFonts w:ascii="Times New Roman;Times;serif" w:hAnsi="Times New Roman;Times;serif"/>
          <w:sz w:val="24"/>
        </w:rPr>
        <w:t>hereof,</w:t>
      </w:r>
      <w:r>
        <w:rPr>
          <w:rFonts w:ascii="Arial;Helvetica;sans-serif" w:hAnsi="Arial;Helvetica;sans-serif"/>
          <w:spacing w:val="-6"/>
          <w:sz w:val="18"/>
        </w:rPr>
        <w:t xml:space="preserve"> </w:t>
      </w:r>
      <w:r>
        <w:rPr>
          <w:rFonts w:ascii="Times New Roman;Times;serif" w:hAnsi="Times New Roman;Times;serif"/>
          <w:sz w:val="24"/>
        </w:rPr>
        <w:t>Aziyo</w:t>
      </w:r>
      <w:r>
        <w:rPr>
          <w:rFonts w:ascii="Arial;Helvetica;sans-serif" w:hAnsi="Arial;Helvetica;sans-serif"/>
          <w:spacing w:val="-6"/>
          <w:sz w:val="18"/>
        </w:rPr>
        <w:t xml:space="preserve"> </w:t>
      </w:r>
      <w:r>
        <w:rPr>
          <w:rFonts w:ascii="Times New Roman;Times;serif" w:hAnsi="Times New Roman;Times;serif"/>
          <w:sz w:val="24"/>
        </w:rPr>
        <w:t>shall</w:t>
      </w:r>
      <w:r>
        <w:rPr>
          <w:rFonts w:ascii="Arial;Helvetica;sans-serif" w:hAnsi="Arial;Helvetica;sans-serif"/>
          <w:spacing w:val="-6"/>
          <w:sz w:val="18"/>
        </w:rPr>
        <w:t xml:space="preserve"> </w:t>
      </w:r>
      <w:r>
        <w:rPr>
          <w:rFonts w:ascii="Times New Roman;Times;serif" w:hAnsi="Times New Roman;Times;serif"/>
          <w:sz w:val="24"/>
        </w:rPr>
        <w:t>maintain</w:t>
      </w:r>
      <w:r>
        <w:rPr>
          <w:rFonts w:ascii="Arial;Helvetica;sans-serif" w:hAnsi="Arial;Helvetica;sans-serif"/>
          <w:spacing w:val="-6"/>
          <w:sz w:val="18"/>
        </w:rPr>
        <w:t xml:space="preserve"> </w:t>
      </w:r>
      <w:r>
        <w:rPr>
          <w:rFonts w:ascii="Times New Roman;Times;serif" w:hAnsi="Times New Roman;Times;serif"/>
          <w:sz w:val="24"/>
        </w:rPr>
        <w:t>all</w:t>
      </w:r>
      <w:r>
        <w:rPr>
          <w:rFonts w:ascii="Arial;Helvetica;sans-serif" w:hAnsi="Arial;Helvetica;sans-serif"/>
          <w:spacing w:val="-6"/>
          <w:sz w:val="18"/>
        </w:rPr>
        <w:t xml:space="preserve"> </w:t>
      </w:r>
      <w:r>
        <w:rPr>
          <w:rFonts w:ascii="Times New Roman;Times;serif" w:hAnsi="Times New Roman;Times;serif"/>
          <w:sz w:val="24"/>
        </w:rPr>
        <w:t>ongoing</w:t>
      </w:r>
      <w:r>
        <w:rPr>
          <w:rFonts w:ascii="Arial;Helvetica;sans-serif" w:hAnsi="Arial;Helvetica;sans-serif"/>
          <w:spacing w:val="-6"/>
          <w:sz w:val="18"/>
        </w:rPr>
        <w:t xml:space="preserve"> </w:t>
      </w:r>
      <w:r>
        <w:rPr>
          <w:rFonts w:ascii="Times New Roman;Times;serif" w:hAnsi="Times New Roman;Times;serif"/>
          <w:sz w:val="24"/>
        </w:rPr>
        <w:t>quality</w:t>
      </w:r>
      <w:r>
        <w:rPr>
          <w:rFonts w:ascii="Arial;Helvetica;sans-serif" w:hAnsi="Arial;Helvetica;sans-serif"/>
          <w:spacing w:val="-6"/>
          <w:sz w:val="18"/>
        </w:rPr>
        <w:t xml:space="preserve"> </w:t>
      </w:r>
      <w:r>
        <w:rPr>
          <w:rFonts w:ascii="Times New Roman;Times;serif" w:hAnsi="Times New Roman;Times;serif"/>
          <w:sz w:val="24"/>
        </w:rPr>
        <w:t>assurance and testing procedures required to comply with applicable regulatory requirements. For a period</w:t>
      </w:r>
      <w:r>
        <w:rPr>
          <w:rFonts w:ascii="Arial;Helvetica;sans-serif" w:hAnsi="Arial;Helvetica;sans-serif"/>
          <w:spacing w:val="-10"/>
          <w:sz w:val="18"/>
        </w:rPr>
        <w:t xml:space="preserve"> </w:t>
      </w:r>
      <w:r>
        <w:rPr>
          <w:rFonts w:ascii="Times New Roman;Times;serif" w:hAnsi="Times New Roman;Times;serif"/>
          <w:sz w:val="24"/>
        </w:rPr>
        <w:t>of</w:t>
      </w:r>
      <w:r>
        <w:rPr>
          <w:rFonts w:ascii="Arial;Helvetica;sans-serif" w:hAnsi="Arial;Helvetica;sans-serif"/>
          <w:spacing w:val="-10"/>
          <w:sz w:val="18"/>
        </w:rPr>
        <w:t xml:space="preserve"> </w:t>
      </w:r>
      <w:r>
        <w:rPr>
          <w:rFonts w:ascii="Times New Roman;Times;serif" w:hAnsi="Times New Roman;Times;serif"/>
          <w:sz w:val="24"/>
        </w:rPr>
        <w:t>the</w:t>
      </w:r>
      <w:r>
        <w:rPr>
          <w:rFonts w:ascii="Arial;Helvetica;sans-serif" w:hAnsi="Arial;Helvetica;sans-serif"/>
          <w:spacing w:val="-10"/>
          <w:sz w:val="18"/>
        </w:rPr>
        <w:t xml:space="preserve"> </w:t>
      </w:r>
      <w:r>
        <w:rPr>
          <w:rFonts w:ascii="Times New Roman;Times;serif" w:hAnsi="Times New Roman;Times;serif"/>
          <w:sz w:val="24"/>
        </w:rPr>
        <w:t>longer</w:t>
      </w:r>
      <w:r>
        <w:rPr>
          <w:rFonts w:ascii="Arial;Helvetica;sans-serif" w:hAnsi="Arial;Helvetica;sans-serif"/>
          <w:spacing w:val="-10"/>
          <w:sz w:val="18"/>
        </w:rPr>
        <w:t xml:space="preserve"> </w:t>
      </w:r>
      <w:r>
        <w:rPr>
          <w:rFonts w:ascii="Times New Roman;Times;serif" w:hAnsi="Times New Roman;Times;serif"/>
          <w:sz w:val="24"/>
        </w:rPr>
        <w:t>of</w:t>
      </w:r>
      <w:r>
        <w:rPr>
          <w:rFonts w:ascii="Arial;Helvetica;sans-serif" w:hAnsi="Arial;Helvetica;sans-serif"/>
          <w:spacing w:val="-10"/>
          <w:sz w:val="18"/>
        </w:rPr>
        <w:t xml:space="preserve"> </w:t>
      </w:r>
      <w:r>
        <w:rPr>
          <w:rFonts w:ascii="Times New Roman;Times;serif" w:hAnsi="Times New Roman;Times;serif"/>
          <w:sz w:val="24"/>
        </w:rPr>
        <w:t>five</w:t>
      </w:r>
      <w:r>
        <w:rPr>
          <w:rFonts w:ascii="Arial;Helvetica;sans-serif" w:hAnsi="Arial;Helvetica;sans-serif"/>
          <w:spacing w:val="-10"/>
          <w:sz w:val="18"/>
        </w:rPr>
        <w:t xml:space="preserve"> </w:t>
      </w:r>
      <w:r>
        <w:rPr>
          <w:rFonts w:ascii="Times New Roman;Times;serif" w:hAnsi="Times New Roman;Times;serif"/>
          <w:sz w:val="24"/>
        </w:rPr>
        <w:t>(5)</w:t>
      </w:r>
      <w:r>
        <w:rPr>
          <w:rFonts w:ascii="Arial;Helvetica;sans-serif" w:hAnsi="Arial;Helvetica;sans-serif"/>
          <w:spacing w:val="-10"/>
          <w:sz w:val="18"/>
        </w:rPr>
        <w:t xml:space="preserve"> </w:t>
      </w:r>
      <w:r>
        <w:rPr>
          <w:rFonts w:ascii="Times New Roman;Times;serif" w:hAnsi="Times New Roman;Times;serif"/>
          <w:sz w:val="24"/>
        </w:rPr>
        <w:t>years</w:t>
      </w:r>
      <w:r>
        <w:rPr>
          <w:rFonts w:ascii="Arial;Helvetica;sans-serif" w:hAnsi="Arial;Helvetica;sans-serif"/>
          <w:spacing w:val="-10"/>
          <w:sz w:val="18"/>
        </w:rPr>
        <w:t xml:space="preserve"> </w:t>
      </w:r>
      <w:r>
        <w:rPr>
          <w:rFonts w:ascii="Times New Roman;Times;serif" w:hAnsi="Times New Roman;Times;serif"/>
          <w:sz w:val="24"/>
        </w:rPr>
        <w:t>after</w:t>
      </w:r>
      <w:r>
        <w:rPr>
          <w:rFonts w:ascii="Arial;Helvetica;sans-serif" w:hAnsi="Arial;Helvetica;sans-serif"/>
          <w:spacing w:val="-10"/>
          <w:sz w:val="18"/>
        </w:rPr>
        <w:t xml:space="preserve"> </w:t>
      </w:r>
      <w:r>
        <w:rPr>
          <w:rFonts w:ascii="Times New Roman;Times;serif" w:hAnsi="Times New Roman;Times;serif"/>
          <w:sz w:val="24"/>
        </w:rPr>
        <w:t>delivery</w:t>
      </w:r>
      <w:r>
        <w:rPr>
          <w:rFonts w:ascii="Arial;Helvetica;sans-serif" w:hAnsi="Arial;Helvetica;sans-serif"/>
          <w:spacing w:val="-10"/>
          <w:sz w:val="18"/>
        </w:rPr>
        <w:t xml:space="preserve"> </w:t>
      </w:r>
      <w:r>
        <w:rPr>
          <w:rFonts w:ascii="Times New Roman;Times;serif" w:hAnsi="Times New Roman;Times;serif"/>
          <w:sz w:val="24"/>
        </w:rPr>
        <w:t>to</w:t>
      </w:r>
      <w:r>
        <w:rPr>
          <w:rFonts w:ascii="Arial;Helvetica;sans-serif" w:hAnsi="Arial;Helvetica;sans-serif"/>
          <w:spacing w:val="-10"/>
          <w:sz w:val="18"/>
        </w:rPr>
        <w:t xml:space="preserve"> </w:t>
      </w:r>
      <w:r>
        <w:rPr>
          <w:rFonts w:ascii="Times New Roman;Times;serif" w:hAnsi="Times New Roman;Times;serif"/>
          <w:sz w:val="24"/>
        </w:rPr>
        <w:t>Company</w:t>
      </w:r>
      <w:r>
        <w:rPr>
          <w:rFonts w:ascii="Arial;Helvetica;sans-serif" w:hAnsi="Arial;Helvetica;sans-serif"/>
          <w:spacing w:val="-10"/>
          <w:sz w:val="18"/>
        </w:rPr>
        <w:t xml:space="preserve"> </w:t>
      </w:r>
      <w:r>
        <w:rPr>
          <w:rFonts w:ascii="Times New Roman;Times;serif" w:hAnsi="Times New Roman;Times;serif"/>
          <w:sz w:val="24"/>
        </w:rPr>
        <w:t>of</w:t>
      </w:r>
      <w:r>
        <w:rPr>
          <w:rFonts w:ascii="Arial;Helvetica;sans-serif" w:hAnsi="Arial;Helvetica;sans-serif"/>
          <w:spacing w:val="-10"/>
          <w:sz w:val="18"/>
        </w:rPr>
        <w:t xml:space="preserve"> </w:t>
      </w:r>
      <w:r>
        <w:rPr>
          <w:rFonts w:ascii="Times New Roman;Times;serif" w:hAnsi="Times New Roman;Times;serif"/>
          <w:sz w:val="24"/>
        </w:rPr>
        <w:t>each</w:t>
      </w:r>
      <w:r>
        <w:rPr>
          <w:rFonts w:ascii="Arial;Helvetica;sans-serif" w:hAnsi="Arial;Helvetica;sans-serif"/>
          <w:spacing w:val="-10"/>
          <w:sz w:val="18"/>
        </w:rPr>
        <w:t xml:space="preserve"> </w:t>
      </w:r>
      <w:r>
        <w:rPr>
          <w:rFonts w:ascii="Times New Roman;Times;serif" w:hAnsi="Times New Roman;Times;serif"/>
          <w:sz w:val="24"/>
        </w:rPr>
        <w:t>Product,</w:t>
      </w:r>
      <w:r>
        <w:rPr>
          <w:rFonts w:ascii="Arial;Helvetica;sans-serif" w:hAnsi="Arial;Helvetica;sans-serif"/>
          <w:spacing w:val="-10"/>
          <w:sz w:val="18"/>
        </w:rPr>
        <w:t xml:space="preserve"> </w:t>
      </w:r>
      <w:r>
        <w:rPr>
          <w:rFonts w:ascii="Times New Roman;Times;serif" w:hAnsi="Times New Roman;Times;serif"/>
          <w:sz w:val="24"/>
        </w:rPr>
        <w:t>or</w:t>
      </w:r>
      <w:r>
        <w:rPr>
          <w:rFonts w:ascii="Arial;Helvetica;sans-serif" w:hAnsi="Arial;Helvetica;sans-serif"/>
          <w:spacing w:val="-10"/>
          <w:sz w:val="18"/>
        </w:rPr>
        <w:t xml:space="preserve"> </w:t>
      </w:r>
      <w:r>
        <w:rPr>
          <w:rFonts w:ascii="Times New Roman;Times;serif" w:hAnsi="Times New Roman;Times;serif"/>
          <w:sz w:val="24"/>
        </w:rPr>
        <w:t>such</w:t>
      </w:r>
      <w:r>
        <w:rPr>
          <w:rFonts w:ascii="Arial;Helvetica;sans-serif" w:hAnsi="Arial;Helvetica;sans-serif"/>
          <w:spacing w:val="-10"/>
          <w:sz w:val="18"/>
        </w:rPr>
        <w:t xml:space="preserve"> </w:t>
      </w:r>
      <w:r>
        <w:rPr>
          <w:rFonts w:ascii="Times New Roman;Times;serif" w:hAnsi="Times New Roman;Times;serif"/>
          <w:sz w:val="24"/>
        </w:rPr>
        <w:t>longer period</w:t>
      </w:r>
      <w:r>
        <w:rPr>
          <w:rFonts w:ascii="Arial;Helvetica;sans-serif" w:hAnsi="Arial;Helvetica;sans-serif"/>
          <w:spacing w:val="-12"/>
          <w:sz w:val="18"/>
        </w:rPr>
        <w:t xml:space="preserve"> </w:t>
      </w:r>
      <w:r>
        <w:rPr>
          <w:rFonts w:ascii="Times New Roman;Times;serif" w:hAnsi="Times New Roman;Times;serif"/>
          <w:sz w:val="24"/>
        </w:rPr>
        <w:t>as</w:t>
      </w:r>
      <w:r>
        <w:rPr>
          <w:rFonts w:ascii="Arial;Helvetica;sans-serif" w:hAnsi="Arial;Helvetica;sans-serif"/>
          <w:spacing w:val="-12"/>
          <w:sz w:val="18"/>
        </w:rPr>
        <w:t xml:space="preserve"> </w:t>
      </w:r>
      <w:r>
        <w:rPr>
          <w:rFonts w:ascii="Times New Roman;Times;serif" w:hAnsi="Times New Roman;Times;serif"/>
          <w:sz w:val="24"/>
        </w:rPr>
        <w:t>may</w:t>
      </w:r>
      <w:r>
        <w:rPr>
          <w:rFonts w:ascii="Arial;Helvetica;sans-serif" w:hAnsi="Arial;Helvetica;sans-serif"/>
          <w:spacing w:val="-12"/>
          <w:sz w:val="18"/>
        </w:rPr>
        <w:t xml:space="preserve"> </w:t>
      </w:r>
      <w:r>
        <w:rPr>
          <w:rFonts w:ascii="Times New Roman;Times;serif" w:hAnsi="Times New Roman;Times;serif"/>
          <w:sz w:val="24"/>
        </w:rPr>
        <w:t>be</w:t>
      </w:r>
      <w:r>
        <w:rPr>
          <w:rFonts w:ascii="Arial;Helvetica;sans-serif" w:hAnsi="Arial;Helvetica;sans-serif"/>
          <w:spacing w:val="-12"/>
          <w:sz w:val="18"/>
        </w:rPr>
        <w:t xml:space="preserve"> </w:t>
      </w:r>
      <w:r>
        <w:rPr>
          <w:rFonts w:ascii="Times New Roman;Times;serif" w:hAnsi="Times New Roman;Times;serif"/>
          <w:sz w:val="24"/>
        </w:rPr>
        <w:t>required</w:t>
      </w:r>
      <w:r>
        <w:rPr>
          <w:rFonts w:ascii="Arial;Helvetica;sans-serif" w:hAnsi="Arial;Helvetica;sans-serif"/>
          <w:spacing w:val="-12"/>
          <w:sz w:val="18"/>
        </w:rPr>
        <w:t xml:space="preserve"> </w:t>
      </w:r>
      <w:r>
        <w:rPr>
          <w:rFonts w:ascii="Times New Roman;Times;serif" w:hAnsi="Times New Roman;Times;serif"/>
          <w:sz w:val="24"/>
        </w:rPr>
        <w:t>by</w:t>
      </w:r>
      <w:r>
        <w:rPr>
          <w:rFonts w:ascii="Arial;Helvetica;sans-serif" w:hAnsi="Arial;Helvetica;sans-serif"/>
          <w:spacing w:val="-12"/>
          <w:sz w:val="18"/>
        </w:rPr>
        <w:t xml:space="preserve"> </w:t>
      </w:r>
      <w:r>
        <w:rPr>
          <w:rFonts w:ascii="Times New Roman;Times;serif" w:hAnsi="Times New Roman;Times;serif"/>
          <w:sz w:val="24"/>
        </w:rPr>
        <w:t>GMP</w:t>
      </w:r>
      <w:r>
        <w:rPr>
          <w:rFonts w:ascii="Arial;Helvetica;sans-serif" w:hAnsi="Arial;Helvetica;sans-serif"/>
          <w:spacing w:val="-12"/>
          <w:sz w:val="18"/>
        </w:rPr>
        <w:t xml:space="preserve"> </w:t>
      </w:r>
      <w:r>
        <w:rPr>
          <w:rFonts w:ascii="Times New Roman;Times;serif" w:hAnsi="Times New Roman;Times;serif"/>
          <w:sz w:val="24"/>
        </w:rPr>
        <w:t>and</w:t>
      </w:r>
      <w:r>
        <w:rPr>
          <w:rFonts w:ascii="Arial;Helvetica;sans-serif" w:hAnsi="Arial;Helvetica;sans-serif"/>
          <w:spacing w:val="-13"/>
          <w:sz w:val="18"/>
        </w:rPr>
        <w:t xml:space="preserve"> </w:t>
      </w:r>
      <w:r>
        <w:rPr>
          <w:rFonts w:ascii="Times New Roman;Times;serif" w:hAnsi="Times New Roman;Times;serif"/>
          <w:sz w:val="24"/>
        </w:rPr>
        <w:t>other</w:t>
      </w:r>
      <w:r>
        <w:rPr>
          <w:rFonts w:ascii="Arial;Helvetica;sans-serif" w:hAnsi="Arial;Helvetica;sans-serif"/>
          <w:spacing w:val="-12"/>
          <w:sz w:val="18"/>
        </w:rPr>
        <w:t xml:space="preserve"> </w:t>
      </w:r>
      <w:r>
        <w:rPr>
          <w:rFonts w:ascii="Times New Roman;Times;serif" w:hAnsi="Times New Roman;Times;serif"/>
          <w:sz w:val="24"/>
        </w:rPr>
        <w:t>applicable</w:t>
      </w:r>
      <w:r>
        <w:rPr>
          <w:rFonts w:ascii="Arial;Helvetica;sans-serif" w:hAnsi="Arial;Helvetica;sans-serif"/>
          <w:spacing w:val="-12"/>
          <w:sz w:val="18"/>
        </w:rPr>
        <w:t xml:space="preserve"> </w:t>
      </w:r>
      <w:r>
        <w:rPr>
          <w:rFonts w:ascii="Times New Roman;Times;serif" w:hAnsi="Times New Roman;Times;serif"/>
          <w:sz w:val="24"/>
        </w:rPr>
        <w:t>rules</w:t>
      </w:r>
      <w:r>
        <w:rPr>
          <w:rFonts w:ascii="Arial;Helvetica;sans-serif" w:hAnsi="Arial;Helvetica;sans-serif"/>
          <w:spacing w:val="-12"/>
          <w:sz w:val="18"/>
        </w:rPr>
        <w:t xml:space="preserve"> </w:t>
      </w:r>
      <w:r>
        <w:rPr>
          <w:rFonts w:ascii="Times New Roman;Times;serif" w:hAnsi="Times New Roman;Times;serif"/>
          <w:sz w:val="24"/>
        </w:rPr>
        <w:t>and</w:t>
      </w:r>
      <w:r>
        <w:rPr>
          <w:rFonts w:ascii="Arial;Helvetica;sans-serif" w:hAnsi="Arial;Helvetica;sans-serif"/>
          <w:spacing w:val="-12"/>
          <w:sz w:val="18"/>
        </w:rPr>
        <w:t xml:space="preserve"> </w:t>
      </w:r>
      <w:r>
        <w:rPr>
          <w:rFonts w:ascii="Times New Roman;Times;serif" w:hAnsi="Times New Roman;Times;serif"/>
          <w:sz w:val="24"/>
        </w:rPr>
        <w:t>regulations</w:t>
      </w:r>
      <w:r>
        <w:rPr>
          <w:rFonts w:ascii="Arial;Helvetica;sans-serif" w:hAnsi="Arial;Helvetica;sans-serif"/>
          <w:spacing w:val="-12"/>
          <w:sz w:val="18"/>
        </w:rPr>
        <w:t xml:space="preserve"> </w:t>
      </w:r>
      <w:r>
        <w:rPr>
          <w:rFonts w:ascii="Times New Roman;Times;serif" w:hAnsi="Times New Roman;Times;serif"/>
          <w:sz w:val="24"/>
        </w:rPr>
        <w:t>of</w:t>
      </w:r>
      <w:r>
        <w:rPr>
          <w:rFonts w:ascii="Arial;Helvetica;sans-serif" w:hAnsi="Arial;Helvetica;sans-serif"/>
          <w:spacing w:val="-12"/>
          <w:sz w:val="18"/>
        </w:rPr>
        <w:t xml:space="preserve"> </w:t>
      </w:r>
      <w:r>
        <w:rPr>
          <w:rFonts w:ascii="Times New Roman;Times;serif" w:hAnsi="Times New Roman;Times;serif"/>
          <w:sz w:val="24"/>
        </w:rPr>
        <w:t>any</w:t>
      </w:r>
      <w:r>
        <w:rPr>
          <w:rFonts w:ascii="Arial;Helvetica;sans-serif" w:hAnsi="Arial;Helvetica;sans-serif"/>
          <w:spacing w:val="-12"/>
          <w:sz w:val="18"/>
        </w:rPr>
        <w:t xml:space="preserve"> </w:t>
      </w:r>
      <w:r>
        <w:rPr>
          <w:rFonts w:ascii="Times New Roman;Times;serif" w:hAnsi="Times New Roman;Times;serif"/>
          <w:sz w:val="24"/>
        </w:rPr>
        <w:t>regulatory authority, Aziyo shall (x) maintain traceability for each Product including the manufacturing date</w:t>
      </w:r>
      <w:r>
        <w:rPr>
          <w:rFonts w:ascii="Arial;Helvetica;sans-serif" w:hAnsi="Arial;Helvetica;sans-serif"/>
          <w:spacing w:val="-8"/>
          <w:sz w:val="18"/>
        </w:rPr>
        <w:t xml:space="preserve"> </w:t>
      </w:r>
      <w:r>
        <w:rPr>
          <w:rFonts w:ascii="Times New Roman;Times;serif" w:hAnsi="Times New Roman;Times;serif"/>
          <w:sz w:val="24"/>
        </w:rPr>
        <w:t>and</w:t>
      </w:r>
      <w:r>
        <w:rPr>
          <w:rFonts w:ascii="Arial;Helvetica;sans-serif" w:hAnsi="Arial;Helvetica;sans-serif"/>
          <w:spacing w:val="-8"/>
          <w:sz w:val="18"/>
        </w:rPr>
        <w:t xml:space="preserve"> </w:t>
      </w:r>
      <w:r>
        <w:rPr>
          <w:rFonts w:ascii="Times New Roman;Times;serif" w:hAnsi="Times New Roman;Times;serif"/>
          <w:sz w:val="24"/>
        </w:rPr>
        <w:t>lot</w:t>
      </w:r>
      <w:r>
        <w:rPr>
          <w:rFonts w:ascii="Arial;Helvetica;sans-serif" w:hAnsi="Arial;Helvetica;sans-serif"/>
          <w:spacing w:val="-8"/>
          <w:sz w:val="18"/>
        </w:rPr>
        <w:t xml:space="preserve"> </w:t>
      </w:r>
      <w:r>
        <w:rPr>
          <w:rFonts w:ascii="Times New Roman;Times;serif" w:hAnsi="Times New Roman;Times;serif"/>
          <w:sz w:val="24"/>
        </w:rPr>
        <w:t>number</w:t>
      </w:r>
      <w:r>
        <w:rPr>
          <w:rFonts w:ascii="Arial;Helvetica;sans-serif" w:hAnsi="Arial;Helvetica;sans-serif"/>
          <w:spacing w:val="-8"/>
          <w:sz w:val="18"/>
        </w:rPr>
        <w:t xml:space="preserve"> </w:t>
      </w:r>
      <w:r>
        <w:rPr>
          <w:rFonts w:ascii="Times New Roman;Times;serif" w:hAnsi="Times New Roman;Times;serif"/>
          <w:sz w:val="24"/>
        </w:rPr>
        <w:t>of</w:t>
      </w:r>
      <w:r>
        <w:rPr>
          <w:rFonts w:ascii="Arial;Helvetica;sans-serif" w:hAnsi="Arial;Helvetica;sans-serif"/>
          <w:spacing w:val="-8"/>
          <w:sz w:val="18"/>
        </w:rPr>
        <w:t xml:space="preserve"> </w:t>
      </w:r>
      <w:r>
        <w:rPr>
          <w:rFonts w:ascii="Times New Roman;Times;serif" w:hAnsi="Times New Roman;Times;serif"/>
          <w:sz w:val="24"/>
        </w:rPr>
        <w:t>each</w:t>
      </w:r>
      <w:r>
        <w:rPr>
          <w:rFonts w:ascii="Arial;Helvetica;sans-serif" w:hAnsi="Arial;Helvetica;sans-serif"/>
          <w:spacing w:val="-8"/>
          <w:sz w:val="18"/>
        </w:rPr>
        <w:t xml:space="preserve"> </w:t>
      </w:r>
      <w:r>
        <w:rPr>
          <w:rFonts w:ascii="Times New Roman;Times;serif" w:hAnsi="Times New Roman;Times;serif"/>
          <w:sz w:val="24"/>
        </w:rPr>
        <w:t>unit</w:t>
      </w:r>
      <w:r>
        <w:rPr>
          <w:rFonts w:ascii="Arial;Helvetica;sans-serif" w:hAnsi="Arial;Helvetica;sans-serif"/>
          <w:spacing w:val="-8"/>
          <w:sz w:val="18"/>
        </w:rPr>
        <w:t xml:space="preserve"> </w:t>
      </w:r>
      <w:r>
        <w:rPr>
          <w:rFonts w:ascii="Times New Roman;Times;serif" w:hAnsi="Times New Roman;Times;serif"/>
          <w:sz w:val="24"/>
        </w:rPr>
        <w:t>of</w:t>
      </w:r>
      <w:r>
        <w:rPr>
          <w:rFonts w:ascii="Arial;Helvetica;sans-serif" w:hAnsi="Arial;Helvetica;sans-serif"/>
          <w:spacing w:val="-8"/>
          <w:sz w:val="18"/>
        </w:rPr>
        <w:t xml:space="preserve"> </w:t>
      </w:r>
      <w:r>
        <w:rPr>
          <w:rFonts w:ascii="Times New Roman;Times;serif" w:hAnsi="Times New Roman;Times;serif"/>
          <w:sz w:val="24"/>
        </w:rPr>
        <w:t>Product</w:t>
      </w:r>
      <w:r>
        <w:rPr>
          <w:rFonts w:ascii="Arial;Helvetica;sans-serif" w:hAnsi="Arial;Helvetica;sans-serif"/>
          <w:spacing w:val="-8"/>
          <w:sz w:val="18"/>
        </w:rPr>
        <w:t xml:space="preserve"> </w:t>
      </w:r>
      <w:r>
        <w:rPr>
          <w:rFonts w:ascii="Times New Roman;Times;serif" w:hAnsi="Times New Roman;Times;serif"/>
          <w:sz w:val="24"/>
        </w:rPr>
        <w:t>and</w:t>
      </w:r>
      <w:r>
        <w:rPr>
          <w:rFonts w:ascii="Arial;Helvetica;sans-serif" w:hAnsi="Arial;Helvetica;sans-serif"/>
          <w:spacing w:val="-8"/>
          <w:sz w:val="18"/>
        </w:rPr>
        <w:t xml:space="preserve"> </w:t>
      </w:r>
      <w:r>
        <w:rPr>
          <w:rFonts w:ascii="Times New Roman;Times;serif" w:hAnsi="Times New Roman;Times;serif"/>
          <w:sz w:val="24"/>
        </w:rPr>
        <w:t>each</w:t>
      </w:r>
      <w:r>
        <w:rPr>
          <w:rFonts w:ascii="Arial;Helvetica;sans-serif" w:hAnsi="Arial;Helvetica;sans-serif"/>
          <w:spacing w:val="-8"/>
          <w:sz w:val="18"/>
        </w:rPr>
        <w:t xml:space="preserve"> </w:t>
      </w:r>
      <w:r>
        <w:rPr>
          <w:rFonts w:ascii="Times New Roman;Times;serif" w:hAnsi="Times New Roman;Times;serif"/>
          <w:sz w:val="24"/>
        </w:rPr>
        <w:t>component</w:t>
      </w:r>
      <w:r>
        <w:rPr>
          <w:rFonts w:ascii="Arial;Helvetica;sans-serif" w:hAnsi="Arial;Helvetica;sans-serif"/>
          <w:spacing w:val="-8"/>
          <w:sz w:val="18"/>
        </w:rPr>
        <w:t xml:space="preserve"> </w:t>
      </w:r>
      <w:r>
        <w:rPr>
          <w:rFonts w:ascii="Times New Roman;Times;serif" w:hAnsi="Times New Roman;Times;serif"/>
          <w:sz w:val="24"/>
        </w:rPr>
        <w:t>and</w:t>
      </w:r>
      <w:r>
        <w:rPr>
          <w:rFonts w:ascii="Arial;Helvetica;sans-serif" w:hAnsi="Arial;Helvetica;sans-serif"/>
          <w:spacing w:val="-8"/>
          <w:sz w:val="18"/>
        </w:rPr>
        <w:t xml:space="preserve"> </w:t>
      </w:r>
      <w:r>
        <w:rPr>
          <w:rFonts w:ascii="Times New Roman;Times;serif" w:hAnsi="Times New Roman;Times;serif"/>
          <w:sz w:val="24"/>
        </w:rPr>
        <w:t>material</w:t>
      </w:r>
      <w:r>
        <w:rPr>
          <w:rFonts w:ascii="Arial;Helvetica;sans-serif" w:hAnsi="Arial;Helvetica;sans-serif"/>
          <w:spacing w:val="-8"/>
          <w:sz w:val="18"/>
        </w:rPr>
        <w:t xml:space="preserve"> </w:t>
      </w:r>
      <w:r>
        <w:rPr>
          <w:rFonts w:ascii="Times New Roman;Times;serif" w:hAnsi="Times New Roman;Times;serif"/>
          <w:sz w:val="24"/>
        </w:rPr>
        <w:t>comprising</w:t>
      </w:r>
      <w:r>
        <w:rPr>
          <w:rFonts w:ascii="Arial;Helvetica;sans-serif" w:hAnsi="Arial;Helvetica;sans-serif"/>
          <w:spacing w:val="-8"/>
          <w:sz w:val="18"/>
        </w:rPr>
        <w:t xml:space="preserve"> </w:t>
      </w:r>
      <w:r>
        <w:rPr>
          <w:rFonts w:ascii="Times New Roman;Times;serif" w:hAnsi="Times New Roman;Times;serif"/>
          <w:sz w:val="24"/>
        </w:rPr>
        <w:t>each Product, (y) provide to Company a copy of such records without charge upon Company's request</w:t>
      </w:r>
      <w:r>
        <w:rPr>
          <w:rFonts w:ascii="Arial;Helvetica;sans-serif" w:hAnsi="Arial;Helvetica;sans-serif"/>
          <w:spacing w:val="-4"/>
          <w:sz w:val="18"/>
        </w:rPr>
        <w:t xml:space="preserve"> </w:t>
      </w:r>
      <w:r>
        <w:rPr>
          <w:rFonts w:ascii="Times New Roman;Times;serif" w:hAnsi="Times New Roman;Times;serif"/>
          <w:sz w:val="24"/>
        </w:rPr>
        <w:t>and</w:t>
      </w:r>
      <w:r>
        <w:rPr>
          <w:rFonts w:ascii="Arial;Helvetica;sans-serif" w:hAnsi="Arial;Helvetica;sans-serif"/>
          <w:spacing w:val="-4"/>
          <w:sz w:val="18"/>
        </w:rPr>
        <w:t xml:space="preserve"> </w:t>
      </w:r>
      <w:r>
        <w:rPr>
          <w:rFonts w:ascii="Times New Roman;Times;serif" w:hAnsi="Times New Roman;Times;serif"/>
          <w:sz w:val="24"/>
        </w:rPr>
        <w:t>(z)</w:t>
      </w:r>
      <w:r>
        <w:rPr>
          <w:rFonts w:ascii="Arial;Helvetica;sans-serif" w:hAnsi="Arial;Helvetica;sans-serif"/>
          <w:spacing w:val="-4"/>
          <w:sz w:val="18"/>
        </w:rPr>
        <w:t xml:space="preserve"> </w:t>
      </w:r>
      <w:r>
        <w:rPr>
          <w:rFonts w:ascii="Times New Roman;Times;serif" w:hAnsi="Times New Roman;Times;serif"/>
          <w:sz w:val="24"/>
        </w:rPr>
        <w:t>maintain</w:t>
      </w:r>
      <w:r>
        <w:rPr>
          <w:rFonts w:ascii="Arial;Helvetica;sans-serif" w:hAnsi="Arial;Helvetica;sans-serif"/>
          <w:spacing w:val="-4"/>
          <w:sz w:val="18"/>
        </w:rPr>
        <w:t xml:space="preserve"> </w:t>
      </w:r>
      <w:r>
        <w:rPr>
          <w:rFonts w:ascii="Times New Roman;Times;serif" w:hAnsi="Times New Roman;Times;serif"/>
          <w:sz w:val="24"/>
        </w:rPr>
        <w:t>records</w:t>
      </w:r>
      <w:r>
        <w:rPr>
          <w:rFonts w:ascii="Arial;Helvetica;sans-serif" w:hAnsi="Arial;Helvetica;sans-serif"/>
          <w:spacing w:val="-4"/>
          <w:sz w:val="18"/>
        </w:rPr>
        <w:t xml:space="preserve"> </w:t>
      </w:r>
      <w:r>
        <w:rPr>
          <w:rFonts w:ascii="Times New Roman;Times;serif" w:hAnsi="Times New Roman;Times;serif"/>
          <w:sz w:val="24"/>
        </w:rPr>
        <w:t>subject</w:t>
      </w:r>
      <w:r>
        <w:rPr>
          <w:rFonts w:ascii="Arial;Helvetica;sans-serif" w:hAnsi="Arial;Helvetica;sans-serif"/>
          <w:spacing w:val="-4"/>
          <w:sz w:val="18"/>
        </w:rPr>
        <w:t xml:space="preserve"> </w:t>
      </w:r>
      <w:r>
        <w:rPr>
          <w:rFonts w:ascii="Times New Roman;Times;serif" w:hAnsi="Times New Roman;Times;serif"/>
          <w:sz w:val="24"/>
        </w:rPr>
        <w:t>to</w:t>
      </w:r>
      <w:r>
        <w:rPr>
          <w:rFonts w:ascii="Arial;Helvetica;sans-serif" w:hAnsi="Arial;Helvetica;sans-serif"/>
          <w:spacing w:val="-4"/>
          <w:sz w:val="18"/>
        </w:rPr>
        <w:t xml:space="preserve"> </w:t>
      </w:r>
      <w:r>
        <w:rPr>
          <w:rFonts w:ascii="Times New Roman;Times;serif" w:hAnsi="Times New Roman;Times;serif"/>
          <w:sz w:val="24"/>
        </w:rPr>
        <w:t>21</w:t>
      </w:r>
      <w:r>
        <w:rPr>
          <w:rFonts w:ascii="Arial;Helvetica;sans-serif" w:hAnsi="Arial;Helvetica;sans-serif"/>
          <w:spacing w:val="-4"/>
          <w:sz w:val="18"/>
        </w:rPr>
        <w:t xml:space="preserve"> </w:t>
      </w:r>
      <w:r>
        <w:rPr>
          <w:rFonts w:ascii="Times New Roman;Times;serif" w:hAnsi="Times New Roman;Times;serif"/>
          <w:sz w:val="24"/>
        </w:rPr>
        <w:t>CFR</w:t>
      </w:r>
      <w:r>
        <w:rPr>
          <w:rFonts w:ascii="Arial;Helvetica;sans-serif" w:hAnsi="Arial;Helvetica;sans-serif"/>
          <w:spacing w:val="-4"/>
          <w:sz w:val="18"/>
        </w:rPr>
        <w:t xml:space="preserve"> </w:t>
      </w:r>
      <w:r>
        <w:rPr>
          <w:rFonts w:ascii="Times New Roman;Times;serif" w:hAnsi="Times New Roman;Times;serif"/>
          <w:sz w:val="24"/>
        </w:rPr>
        <w:t>820</w:t>
      </w:r>
      <w:r>
        <w:rPr>
          <w:rFonts w:ascii="Arial;Helvetica;sans-serif" w:hAnsi="Arial;Helvetica;sans-serif"/>
          <w:spacing w:val="-4"/>
          <w:sz w:val="18"/>
        </w:rPr>
        <w:t xml:space="preserve"> </w:t>
      </w:r>
      <w:r>
        <w:rPr>
          <w:rFonts w:ascii="Times New Roman;Times;serif" w:hAnsi="Times New Roman;Times;serif"/>
          <w:sz w:val="24"/>
        </w:rPr>
        <w:t>Subpart</w:t>
      </w:r>
      <w:r>
        <w:rPr>
          <w:rFonts w:ascii="Arial;Helvetica;sans-serif" w:hAnsi="Arial;Helvetica;sans-serif"/>
          <w:spacing w:val="-4"/>
          <w:sz w:val="18"/>
        </w:rPr>
        <w:t xml:space="preserve"> </w:t>
      </w:r>
      <w:r>
        <w:rPr>
          <w:rFonts w:ascii="Times New Roman;Times;serif" w:hAnsi="Times New Roman;Times;serif"/>
          <w:sz w:val="24"/>
        </w:rPr>
        <w:t>M,</w:t>
      </w:r>
      <w:r>
        <w:rPr>
          <w:rFonts w:ascii="Arial;Helvetica;sans-serif" w:hAnsi="Arial;Helvetica;sans-serif"/>
          <w:spacing w:val="-4"/>
          <w:sz w:val="18"/>
        </w:rPr>
        <w:t xml:space="preserve"> </w:t>
      </w:r>
      <w:r>
        <w:rPr>
          <w:rFonts w:ascii="Times New Roman;Times;serif" w:hAnsi="Times New Roman;Times;serif"/>
          <w:sz w:val="24"/>
        </w:rPr>
        <w:t>such</w:t>
      </w:r>
      <w:r>
        <w:rPr>
          <w:rFonts w:ascii="Arial;Helvetica;sans-serif" w:hAnsi="Arial;Helvetica;sans-serif"/>
          <w:spacing w:val="-4"/>
          <w:sz w:val="18"/>
        </w:rPr>
        <w:t xml:space="preserve"> </w:t>
      </w:r>
      <w:r>
        <w:rPr>
          <w:rFonts w:ascii="Times New Roman;Times;serif" w:hAnsi="Times New Roman;Times;serif"/>
          <w:sz w:val="24"/>
        </w:rPr>
        <w:t>as</w:t>
      </w:r>
      <w:r>
        <w:rPr>
          <w:rFonts w:ascii="Arial;Helvetica;sans-serif" w:hAnsi="Arial;Helvetica;sans-serif"/>
          <w:spacing w:val="-4"/>
          <w:sz w:val="18"/>
        </w:rPr>
        <w:t xml:space="preserve"> </w:t>
      </w:r>
      <w:r>
        <w:rPr>
          <w:rFonts w:ascii="Times New Roman;Times;serif" w:hAnsi="Times New Roman;Times;serif"/>
          <w:sz w:val="24"/>
        </w:rPr>
        <w:t>the</w:t>
      </w:r>
      <w:r>
        <w:rPr>
          <w:rFonts w:ascii="Arial;Helvetica;sans-serif" w:hAnsi="Arial;Helvetica;sans-serif"/>
          <w:spacing w:val="-4"/>
          <w:sz w:val="18"/>
        </w:rPr>
        <w:t xml:space="preserve"> </w:t>
      </w:r>
      <w:r>
        <w:rPr>
          <w:rFonts w:ascii="Times New Roman;Times;serif" w:hAnsi="Times New Roman;Times;serif"/>
          <w:sz w:val="24"/>
        </w:rPr>
        <w:t>Device</w:t>
      </w:r>
      <w:r>
        <w:rPr>
          <w:rFonts w:ascii="Arial;Helvetica;sans-serif" w:hAnsi="Arial;Helvetica;sans-serif"/>
          <w:spacing w:val="-4"/>
          <w:sz w:val="18"/>
        </w:rPr>
        <w:t xml:space="preserve"> </w:t>
      </w:r>
      <w:r>
        <w:rPr>
          <w:rFonts w:ascii="Times New Roman;Times;serif" w:hAnsi="Times New Roman;Times;serif"/>
          <w:sz w:val="24"/>
        </w:rPr>
        <w:t>Master Record, quality system record, and complaint files. Aziyo shall include in each shipment of Product</w:t>
      </w:r>
      <w:r>
        <w:rPr>
          <w:rFonts w:ascii="Arial;Helvetica;sans-serif" w:hAnsi="Arial;Helvetica;sans-serif"/>
          <w:spacing w:val="-5"/>
          <w:sz w:val="18"/>
        </w:rPr>
        <w:t xml:space="preserve"> </w:t>
      </w:r>
      <w:r>
        <w:rPr>
          <w:rFonts w:ascii="Times New Roman;Times;serif" w:hAnsi="Times New Roman;Times;serif"/>
          <w:sz w:val="24"/>
        </w:rPr>
        <w:t>to</w:t>
      </w:r>
      <w:r>
        <w:rPr>
          <w:rFonts w:ascii="Arial;Helvetica;sans-serif" w:hAnsi="Arial;Helvetica;sans-serif"/>
          <w:spacing w:val="-5"/>
          <w:sz w:val="18"/>
        </w:rPr>
        <w:t xml:space="preserve"> </w:t>
      </w:r>
      <w:r>
        <w:rPr>
          <w:rFonts w:ascii="Times New Roman;Times;serif" w:hAnsi="Times New Roman;Times;serif"/>
          <w:sz w:val="24"/>
        </w:rPr>
        <w:t>Company</w:t>
      </w:r>
      <w:r>
        <w:rPr>
          <w:rFonts w:ascii="Arial;Helvetica;sans-serif" w:hAnsi="Arial;Helvetica;sans-serif"/>
          <w:spacing w:val="-5"/>
          <w:sz w:val="18"/>
        </w:rPr>
        <w:t xml:space="preserve"> </w:t>
      </w:r>
      <w:r>
        <w:rPr>
          <w:rFonts w:ascii="Times New Roman;Times;serif" w:hAnsi="Times New Roman;Times;serif"/>
          <w:sz w:val="24"/>
        </w:rPr>
        <w:t>a</w:t>
      </w:r>
      <w:r>
        <w:rPr>
          <w:rFonts w:ascii="Arial;Helvetica;sans-serif" w:hAnsi="Arial;Helvetica;sans-serif"/>
          <w:spacing w:val="-5"/>
          <w:sz w:val="18"/>
        </w:rPr>
        <w:t xml:space="preserve"> </w:t>
      </w:r>
      <w:r>
        <w:rPr>
          <w:rFonts w:ascii="Times New Roman;Times;serif" w:hAnsi="Times New Roman;Times;serif"/>
          <w:sz w:val="24"/>
        </w:rPr>
        <w:t>Certificate</w:t>
      </w:r>
      <w:r>
        <w:rPr>
          <w:rFonts w:ascii="Arial;Helvetica;sans-serif" w:hAnsi="Arial;Helvetica;sans-serif"/>
          <w:spacing w:val="-5"/>
          <w:sz w:val="18"/>
        </w:rPr>
        <w:t xml:space="preserve"> </w:t>
      </w:r>
      <w:r>
        <w:rPr>
          <w:rFonts w:ascii="Times New Roman;Times;serif" w:hAnsi="Times New Roman;Times;serif"/>
          <w:sz w:val="24"/>
        </w:rPr>
        <w:t>of</w:t>
      </w:r>
      <w:r>
        <w:rPr>
          <w:rFonts w:ascii="Arial;Helvetica;sans-serif" w:hAnsi="Arial;Helvetica;sans-serif"/>
          <w:spacing w:val="-5"/>
          <w:sz w:val="18"/>
        </w:rPr>
        <w:t xml:space="preserve"> </w:t>
      </w:r>
      <w:r>
        <w:rPr>
          <w:rFonts w:ascii="Times New Roman;Times;serif" w:hAnsi="Times New Roman;Times;serif"/>
          <w:sz w:val="24"/>
        </w:rPr>
        <w:t>Conformance</w:t>
      </w:r>
      <w:r>
        <w:rPr>
          <w:rFonts w:ascii="Arial;Helvetica;sans-serif" w:hAnsi="Arial;Helvetica;sans-serif"/>
          <w:spacing w:val="-5"/>
          <w:sz w:val="18"/>
        </w:rPr>
        <w:t xml:space="preserve"> </w:t>
      </w:r>
      <w:r>
        <w:rPr>
          <w:rFonts w:ascii="Times New Roman;Times;serif" w:hAnsi="Times New Roman;Times;serif"/>
          <w:sz w:val="24"/>
        </w:rPr>
        <w:t>(COC).</w:t>
      </w:r>
      <w:r>
        <w:rPr>
          <w:rFonts w:ascii="Arial;Helvetica;sans-serif" w:hAnsi="Arial;Helvetica;sans-serif"/>
          <w:spacing w:val="-5"/>
          <w:sz w:val="18"/>
        </w:rPr>
        <w:t xml:space="preserve"> </w:t>
      </w:r>
      <w:r>
        <w:rPr>
          <w:rFonts w:ascii="Times New Roman;Times;serif" w:hAnsi="Times New Roman;Times;serif"/>
          <w:sz w:val="24"/>
        </w:rPr>
        <w:t>Company</w:t>
      </w:r>
      <w:r>
        <w:rPr>
          <w:rFonts w:ascii="Arial;Helvetica;sans-serif" w:hAnsi="Arial;Helvetica;sans-serif"/>
          <w:spacing w:val="-5"/>
          <w:sz w:val="18"/>
        </w:rPr>
        <w:t xml:space="preserve"> </w:t>
      </w:r>
      <w:r>
        <w:rPr>
          <w:rFonts w:ascii="Times New Roman;Times;serif" w:hAnsi="Times New Roman;Times;serif"/>
          <w:sz w:val="24"/>
        </w:rPr>
        <w:t>shall</w:t>
      </w:r>
      <w:r>
        <w:rPr>
          <w:rFonts w:ascii="Arial;Helvetica;sans-serif" w:hAnsi="Arial;Helvetica;sans-serif"/>
          <w:spacing w:val="-5"/>
          <w:sz w:val="18"/>
        </w:rPr>
        <w:t xml:space="preserve"> </w:t>
      </w:r>
      <w:r>
        <w:rPr>
          <w:rFonts w:ascii="Times New Roman;Times;serif" w:hAnsi="Times New Roman;Times;serif"/>
          <w:sz w:val="24"/>
        </w:rPr>
        <w:t>respond</w:t>
      </w:r>
      <w:r>
        <w:rPr>
          <w:rFonts w:ascii="Arial;Helvetica;sans-serif" w:hAnsi="Arial;Helvetica;sans-serif"/>
          <w:spacing w:val="-5"/>
          <w:sz w:val="18"/>
        </w:rPr>
        <w:t xml:space="preserve"> </w:t>
      </w:r>
      <w:r>
        <w:rPr>
          <w:rFonts w:ascii="Times New Roman;Times;serif" w:hAnsi="Times New Roman;Times;serif"/>
          <w:sz w:val="24"/>
        </w:rPr>
        <w:t>in</w:t>
      </w:r>
      <w:r>
        <w:rPr>
          <w:rFonts w:ascii="Arial;Helvetica;sans-serif" w:hAnsi="Arial;Helvetica;sans-serif"/>
          <w:spacing w:val="-5"/>
          <w:sz w:val="18"/>
        </w:rPr>
        <w:t xml:space="preserve"> </w:t>
      </w:r>
      <w:r>
        <w:rPr>
          <w:rFonts w:ascii="Times New Roman;Times;serif" w:hAnsi="Times New Roman;Times;serif"/>
          <w:sz w:val="24"/>
        </w:rPr>
        <w:t>a</w:t>
      </w:r>
      <w:r>
        <w:rPr>
          <w:rFonts w:ascii="Arial;Helvetica;sans-serif" w:hAnsi="Arial;Helvetica;sans-serif"/>
          <w:spacing w:val="-5"/>
          <w:sz w:val="18"/>
        </w:rPr>
        <w:t xml:space="preserve"> </w:t>
      </w:r>
      <w:r>
        <w:rPr>
          <w:rFonts w:ascii="Times New Roman;Times;serif" w:hAnsi="Times New Roman;Times;serif"/>
          <w:sz w:val="24"/>
        </w:rPr>
        <w:t>timely and</w:t>
      </w:r>
      <w:r>
        <w:rPr>
          <w:rFonts w:ascii="Arial;Helvetica;sans-serif" w:hAnsi="Arial;Helvetica;sans-serif"/>
          <w:spacing w:val="-6"/>
          <w:sz w:val="18"/>
        </w:rPr>
        <w:t xml:space="preserve"> </w:t>
      </w:r>
      <w:r>
        <w:rPr>
          <w:rFonts w:ascii="Times New Roman;Times;serif" w:hAnsi="Times New Roman;Times;serif"/>
          <w:sz w:val="24"/>
        </w:rPr>
        <w:t>efficient</w:t>
      </w:r>
      <w:r>
        <w:rPr>
          <w:rFonts w:ascii="Arial;Helvetica;sans-serif" w:hAnsi="Arial;Helvetica;sans-serif"/>
          <w:spacing w:val="-6"/>
          <w:sz w:val="18"/>
        </w:rPr>
        <w:t xml:space="preserve"> </w:t>
      </w:r>
      <w:r>
        <w:rPr>
          <w:rFonts w:ascii="Times New Roman;Times;serif" w:hAnsi="Times New Roman;Times;serif"/>
          <w:sz w:val="24"/>
        </w:rPr>
        <w:t>manner</w:t>
      </w:r>
      <w:r>
        <w:rPr>
          <w:rFonts w:ascii="Arial;Helvetica;sans-serif" w:hAnsi="Arial;Helvetica;sans-serif"/>
          <w:spacing w:val="-6"/>
          <w:sz w:val="18"/>
        </w:rPr>
        <w:t xml:space="preserve"> </w:t>
      </w:r>
      <w:r>
        <w:rPr>
          <w:rFonts w:ascii="Times New Roman;Times;serif" w:hAnsi="Times New Roman;Times;serif"/>
          <w:sz w:val="24"/>
        </w:rPr>
        <w:t>to</w:t>
      </w:r>
      <w:r>
        <w:rPr>
          <w:rFonts w:ascii="Arial;Helvetica;sans-serif" w:hAnsi="Arial;Helvetica;sans-serif"/>
          <w:spacing w:val="-6"/>
          <w:sz w:val="18"/>
        </w:rPr>
        <w:t xml:space="preserve"> </w:t>
      </w:r>
      <w:r>
        <w:rPr>
          <w:rFonts w:ascii="Times New Roman;Times;serif" w:hAnsi="Times New Roman;Times;serif"/>
          <w:sz w:val="24"/>
        </w:rPr>
        <w:t>all</w:t>
      </w:r>
      <w:r>
        <w:rPr>
          <w:rFonts w:ascii="Arial;Helvetica;sans-serif" w:hAnsi="Arial;Helvetica;sans-serif"/>
          <w:spacing w:val="-6"/>
          <w:sz w:val="18"/>
        </w:rPr>
        <w:t xml:space="preserve"> </w:t>
      </w:r>
      <w:r>
        <w:rPr>
          <w:rFonts w:ascii="Times New Roman;Times;serif" w:hAnsi="Times New Roman;Times;serif"/>
          <w:sz w:val="24"/>
        </w:rPr>
        <w:t>reasonable</w:t>
      </w:r>
      <w:r>
        <w:rPr>
          <w:rFonts w:ascii="Arial;Helvetica;sans-serif" w:hAnsi="Arial;Helvetica;sans-serif"/>
          <w:spacing w:val="-7"/>
          <w:sz w:val="18"/>
        </w:rPr>
        <w:t xml:space="preserve"> </w:t>
      </w:r>
      <w:r>
        <w:rPr>
          <w:rFonts w:ascii="Times New Roman;Times;serif" w:hAnsi="Times New Roman;Times;serif"/>
          <w:sz w:val="24"/>
        </w:rPr>
        <w:t>requests</w:t>
      </w:r>
      <w:r>
        <w:rPr>
          <w:rFonts w:ascii="Arial;Helvetica;sans-serif" w:hAnsi="Arial;Helvetica;sans-serif"/>
          <w:spacing w:val="-6"/>
          <w:sz w:val="18"/>
        </w:rPr>
        <w:t xml:space="preserve"> </w:t>
      </w:r>
      <w:r>
        <w:rPr>
          <w:rFonts w:ascii="Times New Roman;Times;serif" w:hAnsi="Times New Roman;Times;serif"/>
          <w:sz w:val="24"/>
        </w:rPr>
        <w:t>from</w:t>
      </w:r>
      <w:r>
        <w:rPr>
          <w:rFonts w:ascii="Arial;Helvetica;sans-serif" w:hAnsi="Arial;Helvetica;sans-serif"/>
          <w:spacing w:val="-7"/>
          <w:sz w:val="18"/>
        </w:rPr>
        <w:t xml:space="preserve"> </w:t>
      </w:r>
      <w:r>
        <w:rPr>
          <w:rFonts w:ascii="Times New Roman;Times;serif" w:hAnsi="Times New Roman;Times;serif"/>
          <w:sz w:val="24"/>
        </w:rPr>
        <w:t>Aziyo</w:t>
      </w:r>
      <w:r>
        <w:rPr>
          <w:rFonts w:ascii="Arial;Helvetica;sans-serif" w:hAnsi="Arial;Helvetica;sans-serif"/>
          <w:spacing w:val="-6"/>
          <w:sz w:val="18"/>
        </w:rPr>
        <w:t xml:space="preserve"> </w:t>
      </w:r>
      <w:r>
        <w:rPr>
          <w:rFonts w:ascii="Times New Roman;Times;serif" w:hAnsi="Times New Roman;Times;serif"/>
          <w:sz w:val="24"/>
        </w:rPr>
        <w:t>for</w:t>
      </w:r>
      <w:r>
        <w:rPr>
          <w:rFonts w:ascii="Arial;Helvetica;sans-serif" w:hAnsi="Arial;Helvetica;sans-serif"/>
          <w:spacing w:val="-6"/>
          <w:sz w:val="18"/>
        </w:rPr>
        <w:t xml:space="preserve"> </w:t>
      </w:r>
      <w:r>
        <w:rPr>
          <w:rFonts w:ascii="Times New Roman;Times;serif" w:hAnsi="Times New Roman;Times;serif"/>
          <w:sz w:val="24"/>
        </w:rPr>
        <w:t>documentation</w:t>
      </w:r>
      <w:r>
        <w:rPr>
          <w:rFonts w:ascii="Arial;Helvetica;sans-serif" w:hAnsi="Arial;Helvetica;sans-serif"/>
          <w:spacing w:val="-6"/>
          <w:sz w:val="18"/>
        </w:rPr>
        <w:t xml:space="preserve"> </w:t>
      </w:r>
      <w:r>
        <w:rPr>
          <w:rFonts w:ascii="Times New Roman;Times;serif" w:hAnsi="Times New Roman;Times;serif"/>
          <w:sz w:val="24"/>
        </w:rPr>
        <w:t>or</w:t>
      </w:r>
      <w:r>
        <w:rPr>
          <w:rFonts w:ascii="Arial;Helvetica;sans-serif" w:hAnsi="Arial;Helvetica;sans-serif"/>
          <w:spacing w:val="-6"/>
          <w:sz w:val="18"/>
        </w:rPr>
        <w:t xml:space="preserve"> </w:t>
      </w:r>
      <w:r>
        <w:rPr>
          <w:rFonts w:ascii="Times New Roman;Times;serif" w:hAnsi="Times New Roman;Times;serif"/>
          <w:sz w:val="24"/>
        </w:rPr>
        <w:t>other</w:t>
      </w:r>
      <w:r>
        <w:rPr>
          <w:rFonts w:ascii="Arial;Helvetica;sans-serif" w:hAnsi="Arial;Helvetica;sans-serif"/>
          <w:spacing w:val="-6"/>
          <w:sz w:val="18"/>
        </w:rPr>
        <w:t xml:space="preserve"> </w:t>
      </w:r>
      <w:r>
        <w:rPr>
          <w:rFonts w:ascii="Times New Roman;Times;serif" w:hAnsi="Times New Roman;Times;serif"/>
          <w:sz w:val="24"/>
        </w:rPr>
        <w:t>support needed for Aziyo to comply with this Section 3.3.</w:t>
      </w:r>
    </w:p>
    <w:tbl>
      <w:tblPr>
        <w:tblW w:w="10205" w:type="dxa"/>
        <w:jc w:val="left"/>
        <w:tblInd w:w="0" w:type="dxa"/>
        <w:tblLayout w:type="fixed"/>
        <w:tblCellMar>
          <w:top w:w="0" w:type="dxa"/>
          <w:left w:w="0" w:type="dxa"/>
          <w:bottom w:w="0" w:type="dxa"/>
          <w:right w:w="0" w:type="dxa"/>
        </w:tblCellMar>
      </w:tblPr>
      <w:tblGrid>
        <w:gridCol w:w="23"/>
        <w:gridCol w:w="328"/>
        <w:gridCol w:w="983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3.4.</w:t>
            </w:r>
          </w:p>
        </w:tc>
        <w:tc>
          <w:tcPr>
            <w:tcW w:w="983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Audits</w:t>
            </w:r>
            <w:r>
              <w:rPr>
                <w:rFonts w:ascii="Times New Roman;Times;serif" w:hAnsi="Times New Roman;Times;serif"/>
                <w:b w:val="false"/>
                <w:i w:val="false"/>
                <w:caps w:val="false"/>
                <w:smallCaps w:val="false"/>
                <w:sz w:val="24"/>
              </w:rPr>
              <w:t>:</w:t>
            </w:r>
            <w:r>
              <w:rPr>
                <w:caps w:val="false"/>
                <w:smallCaps w:val="false"/>
                <w:spacing w:val="-7"/>
              </w:rPr>
              <w:t xml:space="preserve"> </w:t>
            </w:r>
            <w:r>
              <w:rPr>
                <w:rFonts w:ascii="Times New Roman;Times;serif" w:hAnsi="Times New Roman;Times;serif"/>
                <w:b w:val="false"/>
                <w:i w:val="false"/>
                <w:caps w:val="false"/>
                <w:smallCaps w:val="false"/>
                <w:sz w:val="24"/>
              </w:rPr>
              <w:t>Aziyo</w:t>
            </w:r>
            <w:r>
              <w:rPr>
                <w:caps w:val="false"/>
                <w:smallCaps w:val="false"/>
                <w:spacing w:val="-7"/>
              </w:rPr>
              <w:t xml:space="preserve"> </w:t>
            </w:r>
            <w:r>
              <w:rPr>
                <w:rFonts w:ascii="Times New Roman;Times;serif" w:hAnsi="Times New Roman;Times;serif"/>
                <w:b w:val="false"/>
                <w:i w:val="false"/>
                <w:caps w:val="false"/>
                <w:smallCaps w:val="false"/>
                <w:sz w:val="24"/>
              </w:rPr>
              <w:t>shall</w:t>
            </w:r>
            <w:r>
              <w:rPr>
                <w:caps w:val="false"/>
                <w:smallCaps w:val="false"/>
                <w:spacing w:val="-7"/>
              </w:rPr>
              <w:t xml:space="preserve"> </w:t>
            </w:r>
            <w:r>
              <w:rPr>
                <w:rFonts w:ascii="Times New Roman;Times;serif" w:hAnsi="Times New Roman;Times;serif"/>
                <w:b w:val="false"/>
                <w:i w:val="false"/>
                <w:caps w:val="false"/>
                <w:smallCaps w:val="false"/>
                <w:sz w:val="24"/>
              </w:rPr>
              <w:t>provide</w:t>
            </w:r>
            <w:r>
              <w:rPr>
                <w:caps w:val="false"/>
                <w:smallCaps w:val="false"/>
                <w:spacing w:val="-7"/>
              </w:rPr>
              <w:t xml:space="preserve"> </w:t>
            </w:r>
            <w:r>
              <w:rPr>
                <w:rFonts w:ascii="Times New Roman;Times;serif" w:hAnsi="Times New Roman;Times;serif"/>
                <w:b w:val="false"/>
                <w:i w:val="false"/>
                <w:caps w:val="false"/>
                <w:smallCaps w:val="false"/>
                <w:sz w:val="24"/>
              </w:rPr>
              <w:t>to</w:t>
            </w:r>
            <w:r>
              <w:rPr>
                <w:caps w:val="false"/>
                <w:smallCaps w:val="false"/>
                <w:spacing w:val="-7"/>
              </w:rPr>
              <w:t xml:space="preserve"> </w:t>
            </w:r>
            <w:r>
              <w:rPr>
                <w:rFonts w:ascii="Times New Roman;Times;serif" w:hAnsi="Times New Roman;Times;serif"/>
                <w:b w:val="false"/>
                <w:i w:val="false"/>
                <w:caps w:val="false"/>
                <w:smallCaps w:val="false"/>
                <w:sz w:val="24"/>
              </w:rPr>
              <w:t>Company,</w:t>
            </w:r>
            <w:r>
              <w:rPr>
                <w:caps w:val="false"/>
                <w:smallCaps w:val="false"/>
                <w:spacing w:val="-7"/>
              </w:rPr>
              <w:t xml:space="preserve"> </w:t>
            </w:r>
            <w:r>
              <w:rPr>
                <w:rFonts w:ascii="Times New Roman;Times;serif" w:hAnsi="Times New Roman;Times;serif"/>
                <w:b w:val="false"/>
                <w:i w:val="false"/>
                <w:caps w:val="false"/>
                <w:smallCaps w:val="false"/>
                <w:sz w:val="24"/>
              </w:rPr>
              <w:t>or</w:t>
            </w:r>
            <w:r>
              <w:rPr>
                <w:caps w:val="false"/>
                <w:smallCaps w:val="false"/>
                <w:spacing w:val="-7"/>
              </w:rPr>
              <w:t xml:space="preserve"> </w:t>
            </w:r>
            <w:r>
              <w:rPr>
                <w:rFonts w:ascii="Times New Roman;Times;serif" w:hAnsi="Times New Roman;Times;serif"/>
                <w:b w:val="false"/>
                <w:i w:val="false"/>
                <w:caps w:val="false"/>
                <w:smallCaps w:val="false"/>
                <w:sz w:val="24"/>
              </w:rPr>
              <w:t>its</w:t>
            </w:r>
            <w:r>
              <w:rPr>
                <w:caps w:val="false"/>
                <w:smallCaps w:val="false"/>
                <w:spacing w:val="-7"/>
              </w:rPr>
              <w:t xml:space="preserve"> </w:t>
            </w:r>
            <w:r>
              <w:rPr>
                <w:rFonts w:ascii="Times New Roman;Times;serif" w:hAnsi="Times New Roman;Times;serif"/>
                <w:b w:val="false"/>
                <w:i w:val="false"/>
                <w:caps w:val="false"/>
                <w:smallCaps w:val="false"/>
                <w:sz w:val="24"/>
              </w:rPr>
              <w:t>third</w:t>
            </w:r>
            <w:r>
              <w:rPr>
                <w:caps w:val="false"/>
                <w:smallCaps w:val="false"/>
                <w:spacing w:val="-7"/>
              </w:rPr>
              <w:t xml:space="preserve"> </w:t>
            </w:r>
            <w:r>
              <w:rPr>
                <w:rFonts w:ascii="Times New Roman;Times;serif" w:hAnsi="Times New Roman;Times;serif"/>
                <w:b w:val="false"/>
                <w:i w:val="false"/>
                <w:caps w:val="false"/>
                <w:smallCaps w:val="false"/>
                <w:sz w:val="24"/>
              </w:rPr>
              <w:t>party</w:t>
            </w:r>
            <w:r>
              <w:rPr>
                <w:caps w:val="false"/>
                <w:smallCaps w:val="false"/>
                <w:spacing w:val="-7"/>
              </w:rPr>
              <w:t xml:space="preserve"> </w:t>
            </w:r>
            <w:r>
              <w:rPr>
                <w:rFonts w:ascii="Times New Roman;Times;serif" w:hAnsi="Times New Roman;Times;serif"/>
                <w:b w:val="false"/>
                <w:i w:val="false"/>
                <w:caps w:val="false"/>
                <w:smallCaps w:val="false"/>
                <w:sz w:val="24"/>
              </w:rPr>
              <w:t>auditor,</w:t>
            </w:r>
            <w:r>
              <w:rPr>
                <w:caps w:val="false"/>
                <w:smallCaps w:val="false"/>
                <w:spacing w:val="-7"/>
              </w:rPr>
              <w:t xml:space="preserve"> </w:t>
            </w:r>
            <w:r>
              <w:rPr>
                <w:rFonts w:ascii="Times New Roman;Times;serif" w:hAnsi="Times New Roman;Times;serif"/>
                <w:b w:val="false"/>
                <w:i w:val="false"/>
                <w:caps w:val="false"/>
                <w:smallCaps w:val="false"/>
                <w:sz w:val="24"/>
              </w:rPr>
              <w:t>access</w:t>
            </w:r>
            <w:r>
              <w:rPr>
                <w:caps w:val="false"/>
                <w:smallCaps w:val="false"/>
                <w:spacing w:val="-7"/>
              </w:rPr>
              <w:t xml:space="preserve"> </w:t>
            </w:r>
            <w:r>
              <w:rPr>
                <w:rFonts w:ascii="Times New Roman;Times;serif" w:hAnsi="Times New Roman;Times;serif"/>
                <w:b w:val="false"/>
                <w:i w:val="false"/>
                <w:caps w:val="false"/>
                <w:smallCaps w:val="false"/>
                <w:sz w:val="24"/>
              </w:rPr>
              <w:t>to</w:t>
            </w:r>
            <w:r>
              <w:rPr>
                <w:caps w:val="false"/>
                <w:smallCaps w:val="false"/>
                <w:spacing w:val="-7"/>
              </w:rPr>
              <w:t xml:space="preserve"> </w:t>
            </w:r>
            <w:r>
              <w:rPr>
                <w:rFonts w:ascii="Times New Roman;Times;serif" w:hAnsi="Times New Roman;Times;serif"/>
                <w:b w:val="false"/>
                <w:i w:val="false"/>
                <w:caps w:val="false"/>
                <w:smallCaps w:val="false"/>
                <w:sz w:val="24"/>
              </w:rPr>
              <w:t>its</w:t>
            </w:r>
            <w:r>
              <w:rPr>
                <w:caps w:val="false"/>
                <w:smallCaps w:val="false"/>
                <w:spacing w:val="-7"/>
              </w:rPr>
              <w:t xml:space="preserve"> </w:t>
            </w:r>
            <w:r>
              <w:rPr>
                <w:rFonts w:ascii="Times New Roman;Times;serif" w:hAnsi="Times New Roman;Times;serif"/>
                <w:b w:val="false"/>
                <w:i w:val="false"/>
                <w:caps w:val="false"/>
                <w:smallCaps w:val="false"/>
                <w:sz w:val="24"/>
              </w:rPr>
              <w:t>manufacturing facilities for the purpose of quality system compliance audits provided reasonable advance notice is given to Aziyo, once per year during the term of this Quality Agreement. Each Company audit may not exceed three business days. Additionally, Aziyo agrees to provide access</w:t>
            </w:r>
            <w:r>
              <w:rPr>
                <w:caps w:val="false"/>
                <w:smallCaps w:val="false"/>
                <w:spacing w:val="-15"/>
              </w:rPr>
              <w:t xml:space="preserve"> </w:t>
            </w:r>
            <w:r>
              <w:rPr>
                <w:rFonts w:ascii="Times New Roman;Times;serif" w:hAnsi="Times New Roman;Times;serif"/>
                <w:b w:val="false"/>
                <w:i w:val="false"/>
                <w:caps w:val="false"/>
                <w:smallCaps w:val="false"/>
                <w:sz w:val="24"/>
              </w:rPr>
              <w:t>to</w:t>
            </w:r>
            <w:r>
              <w:rPr>
                <w:caps w:val="false"/>
                <w:smallCaps w:val="false"/>
                <w:spacing w:val="-15"/>
              </w:rPr>
              <w:t xml:space="preserve"> </w:t>
            </w:r>
            <w:r>
              <w:rPr>
                <w:rFonts w:ascii="Times New Roman;Times;serif" w:hAnsi="Times New Roman;Times;serif"/>
                <w:b w:val="false"/>
                <w:i w:val="false"/>
                <w:caps w:val="false"/>
                <w:smallCaps w:val="false"/>
                <w:sz w:val="24"/>
              </w:rPr>
              <w:t>regulatory</w:t>
            </w:r>
            <w:r>
              <w:rPr>
                <w:caps w:val="false"/>
                <w:smallCaps w:val="false"/>
                <w:spacing w:val="-15"/>
              </w:rPr>
              <w:t xml:space="preserve"> </w:t>
            </w:r>
            <w:r>
              <w:rPr>
                <w:rFonts w:ascii="Times New Roman;Times;serif" w:hAnsi="Times New Roman;Times;serif"/>
                <w:b w:val="false"/>
                <w:i w:val="false"/>
                <w:caps w:val="false"/>
                <w:smallCaps w:val="false"/>
                <w:sz w:val="24"/>
              </w:rPr>
              <w:t>agencies,</w:t>
            </w:r>
            <w:r>
              <w:rPr>
                <w:caps w:val="false"/>
                <w:smallCaps w:val="false"/>
                <w:spacing w:val="-15"/>
              </w:rPr>
              <w:t xml:space="preserve"> </w:t>
            </w:r>
            <w:r>
              <w:rPr>
                <w:rFonts w:ascii="Times New Roman;Times;serif" w:hAnsi="Times New Roman;Times;serif"/>
                <w:b w:val="false"/>
                <w:i w:val="false"/>
                <w:caps w:val="false"/>
                <w:smallCaps w:val="false"/>
                <w:sz w:val="24"/>
              </w:rPr>
              <w:t>and</w:t>
            </w:r>
            <w:r>
              <w:rPr>
                <w:caps w:val="false"/>
                <w:smallCaps w:val="false"/>
                <w:spacing w:val="-15"/>
              </w:rPr>
              <w:t xml:space="preserve"> </w:t>
            </w:r>
            <w:r>
              <w:rPr>
                <w:rFonts w:ascii="Times New Roman;Times;serif" w:hAnsi="Times New Roman;Times;serif"/>
                <w:b w:val="false"/>
                <w:i w:val="false"/>
                <w:caps w:val="false"/>
                <w:smallCaps w:val="false"/>
                <w:sz w:val="24"/>
              </w:rPr>
              <w:t>notified</w:t>
            </w:r>
            <w:r>
              <w:rPr>
                <w:caps w:val="false"/>
                <w:smallCaps w:val="false"/>
                <w:spacing w:val="-15"/>
              </w:rPr>
              <w:t xml:space="preserve"> </w:t>
            </w:r>
            <w:r>
              <w:rPr>
                <w:rFonts w:ascii="Times New Roman;Times;serif" w:hAnsi="Times New Roman;Times;serif"/>
                <w:b w:val="false"/>
                <w:i w:val="false"/>
                <w:caps w:val="false"/>
                <w:smallCaps w:val="false"/>
                <w:sz w:val="24"/>
              </w:rPr>
              <w:t>bodies</w:t>
            </w:r>
            <w:r>
              <w:rPr>
                <w:caps w:val="false"/>
                <w:smallCaps w:val="false"/>
                <w:spacing w:val="-15"/>
              </w:rPr>
              <w:t xml:space="preserve"> </w:t>
            </w:r>
            <w:r>
              <w:rPr>
                <w:rFonts w:ascii="Times New Roman;Times;serif" w:hAnsi="Times New Roman;Times;serif"/>
                <w:b w:val="false"/>
                <w:i w:val="false"/>
                <w:caps w:val="false"/>
                <w:smallCaps w:val="false"/>
                <w:sz w:val="24"/>
              </w:rPr>
              <w:t>at</w:t>
            </w:r>
            <w:r>
              <w:rPr>
                <w:caps w:val="false"/>
                <w:smallCaps w:val="false"/>
                <w:spacing w:val="-15"/>
              </w:rPr>
              <w:t xml:space="preserve"> </w:t>
            </w:r>
            <w:r>
              <w:rPr>
                <w:rFonts w:ascii="Times New Roman;Times;serif" w:hAnsi="Times New Roman;Times;serif"/>
                <w:b w:val="false"/>
                <w:i w:val="false"/>
                <w:caps w:val="false"/>
                <w:smallCaps w:val="false"/>
                <w:sz w:val="24"/>
              </w:rPr>
              <w:t>Company's</w:t>
            </w:r>
            <w:r>
              <w:rPr>
                <w:caps w:val="false"/>
                <w:smallCaps w:val="false"/>
                <w:spacing w:val="-15"/>
              </w:rPr>
              <w:t xml:space="preserve"> </w:t>
            </w:r>
            <w:r>
              <w:rPr>
                <w:rFonts w:ascii="Times New Roman;Times;serif" w:hAnsi="Times New Roman;Times;serif"/>
                <w:b w:val="false"/>
                <w:i w:val="false"/>
                <w:caps w:val="false"/>
                <w:smallCaps w:val="false"/>
                <w:sz w:val="24"/>
              </w:rPr>
              <w:t>request</w:t>
            </w:r>
            <w:r>
              <w:rPr>
                <w:caps w:val="false"/>
                <w:smallCaps w:val="false"/>
                <w:spacing w:val="-15"/>
              </w:rPr>
              <w:t xml:space="preserve"> </w:t>
            </w:r>
            <w:r>
              <w:rPr>
                <w:rFonts w:ascii="Times New Roman;Times;serif" w:hAnsi="Times New Roman;Times;serif"/>
                <w:b w:val="false"/>
                <w:i w:val="false"/>
                <w:caps w:val="false"/>
                <w:smallCaps w:val="false"/>
                <w:sz w:val="24"/>
              </w:rPr>
              <w:t>when</w:t>
            </w:r>
            <w:r>
              <w:rPr>
                <w:caps w:val="false"/>
                <w:smallCaps w:val="false"/>
                <w:spacing w:val="-15"/>
              </w:rPr>
              <w:t xml:space="preserve"> </w:t>
            </w:r>
            <w:r>
              <w:rPr>
                <w:rFonts w:ascii="Times New Roman;Times;serif" w:hAnsi="Times New Roman;Times;serif"/>
                <w:b w:val="false"/>
                <w:i w:val="false"/>
                <w:caps w:val="false"/>
                <w:smallCaps w:val="false"/>
                <w:sz w:val="24"/>
              </w:rPr>
              <w:t>reasonable</w:t>
            </w:r>
            <w:r>
              <w:rPr>
                <w:caps w:val="false"/>
                <w:smallCaps w:val="false"/>
                <w:spacing w:val="-15"/>
              </w:rPr>
              <w:t xml:space="preserve"> </w:t>
            </w:r>
            <w:r>
              <w:rPr>
                <w:rFonts w:ascii="Times New Roman;Times;serif" w:hAnsi="Times New Roman;Times;serif"/>
                <w:b w:val="false"/>
                <w:i w:val="false"/>
                <w:caps w:val="false"/>
                <w:smallCaps w:val="false"/>
                <w:sz w:val="24"/>
              </w:rPr>
              <w:t>notice is provided to the extent practicable. This Section 3.4 shall apply only to the extent related to the Products manufactured and sold to Company hereunder.</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328"/>
        <w:gridCol w:w="983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3.5.</w:t>
            </w:r>
          </w:p>
        </w:tc>
        <w:tc>
          <w:tcPr>
            <w:tcW w:w="9830"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Provisions for Recall</w:t>
            </w:r>
            <w:r>
              <w:rPr>
                <w:rFonts w:ascii="Times New Roman;Times;serif" w:hAnsi="Times New Roman;Times;serif"/>
                <w:b w:val="false"/>
                <w:i w:val="false"/>
                <w:caps w:val="false"/>
                <w:smallCaps w:val="false"/>
                <w:sz w:val="24"/>
              </w:rPr>
              <w:t>: Each of the Parties hereto agrees to notify the other in writing within forty-eight (48) hours in the event either identifies a potential need for a Product recall. In the event of a recall or market withdrawal that is determined to be necessary by Aziyo or any regulatory authority, whether voluntary or involuntary, Aziyo shall be responsible for the conduct</w:t>
            </w:r>
            <w:r>
              <w:rPr>
                <w:caps w:val="false"/>
                <w:smallCaps w:val="false"/>
                <w:spacing w:val="-9"/>
              </w:rPr>
              <w:t xml:space="preserve"> </w:t>
            </w:r>
            <w:r>
              <w:rPr>
                <w:rFonts w:ascii="Times New Roman;Times;serif" w:hAnsi="Times New Roman;Times;serif"/>
                <w:b w:val="false"/>
                <w:i w:val="false"/>
                <w:caps w:val="false"/>
                <w:smallCaps w:val="false"/>
                <w:sz w:val="24"/>
              </w:rPr>
              <w:t>of</w:t>
            </w:r>
            <w:r>
              <w:rPr>
                <w:caps w:val="false"/>
                <w:smallCaps w:val="false"/>
                <w:spacing w:val="-9"/>
              </w:rPr>
              <w:t xml:space="preserve"> </w:t>
            </w:r>
            <w:r>
              <w:rPr>
                <w:rFonts w:ascii="Times New Roman;Times;serif" w:hAnsi="Times New Roman;Times;serif"/>
                <w:b w:val="false"/>
                <w:i w:val="false"/>
                <w:caps w:val="false"/>
                <w:smallCaps w:val="false"/>
                <w:sz w:val="24"/>
              </w:rPr>
              <w:t>any</w:t>
            </w:r>
            <w:r>
              <w:rPr>
                <w:caps w:val="false"/>
                <w:smallCaps w:val="false"/>
                <w:spacing w:val="-9"/>
              </w:rPr>
              <w:t xml:space="preserve"> </w:t>
            </w:r>
            <w:r>
              <w:rPr>
                <w:rFonts w:ascii="Times New Roman;Times;serif" w:hAnsi="Times New Roman;Times;serif"/>
                <w:b w:val="false"/>
                <w:i w:val="false"/>
                <w:caps w:val="false"/>
                <w:smallCaps w:val="false"/>
                <w:sz w:val="24"/>
              </w:rPr>
              <w:t>such</w:t>
            </w:r>
            <w:r>
              <w:rPr>
                <w:caps w:val="false"/>
                <w:smallCaps w:val="false"/>
                <w:spacing w:val="-9"/>
              </w:rPr>
              <w:t xml:space="preserve"> </w:t>
            </w:r>
            <w:r>
              <w:rPr>
                <w:rFonts w:ascii="Times New Roman;Times;serif" w:hAnsi="Times New Roman;Times;serif"/>
                <w:b w:val="false"/>
                <w:i w:val="false"/>
                <w:caps w:val="false"/>
                <w:smallCaps w:val="false"/>
                <w:sz w:val="24"/>
              </w:rPr>
              <w:t>recall</w:t>
            </w:r>
            <w:r>
              <w:rPr>
                <w:caps w:val="false"/>
                <w:smallCaps w:val="false"/>
                <w:spacing w:val="-9"/>
              </w:rPr>
              <w:t xml:space="preserve"> </w:t>
            </w:r>
            <w:r>
              <w:rPr>
                <w:rFonts w:ascii="Times New Roman;Times;serif" w:hAnsi="Times New Roman;Times;serif"/>
                <w:b w:val="false"/>
                <w:i w:val="false"/>
                <w:caps w:val="false"/>
                <w:smallCaps w:val="false"/>
                <w:sz w:val="24"/>
              </w:rPr>
              <w:t>or</w:t>
            </w:r>
            <w:r>
              <w:rPr>
                <w:caps w:val="false"/>
                <w:smallCaps w:val="false"/>
                <w:spacing w:val="-9"/>
              </w:rPr>
              <w:t xml:space="preserve"> </w:t>
            </w:r>
            <w:r>
              <w:rPr>
                <w:rFonts w:ascii="Times New Roman;Times;serif" w:hAnsi="Times New Roman;Times;serif"/>
                <w:b w:val="false"/>
                <w:i w:val="false"/>
                <w:caps w:val="false"/>
                <w:smallCaps w:val="false"/>
                <w:sz w:val="24"/>
              </w:rPr>
              <w:t>withdrawal</w:t>
            </w:r>
            <w:r>
              <w:rPr>
                <w:caps w:val="false"/>
                <w:smallCaps w:val="false"/>
                <w:spacing w:val="-10"/>
              </w:rPr>
              <w:t xml:space="preserve"> </w:t>
            </w:r>
            <w:r>
              <w:rPr>
                <w:rFonts w:ascii="Times New Roman;Times;serif" w:hAnsi="Times New Roman;Times;serif"/>
                <w:b w:val="false"/>
                <w:i w:val="false"/>
                <w:caps w:val="false"/>
                <w:smallCaps w:val="false"/>
                <w:sz w:val="24"/>
              </w:rPr>
              <w:t>from</w:t>
            </w:r>
            <w:r>
              <w:rPr>
                <w:caps w:val="false"/>
                <w:smallCaps w:val="false"/>
                <w:spacing w:val="-9"/>
              </w:rPr>
              <w:t xml:space="preserve"> </w:t>
            </w:r>
            <w:r>
              <w:rPr>
                <w:rFonts w:ascii="Times New Roman;Times;serif" w:hAnsi="Times New Roman;Times;serif"/>
                <w:b w:val="false"/>
                <w:i w:val="false"/>
                <w:caps w:val="false"/>
                <w:smallCaps w:val="false"/>
                <w:sz w:val="24"/>
              </w:rPr>
              <w:t>hospitals,</w:t>
            </w:r>
            <w:r>
              <w:rPr>
                <w:caps w:val="false"/>
                <w:smallCaps w:val="false"/>
                <w:spacing w:val="-9"/>
              </w:rPr>
              <w:t xml:space="preserve"> </w:t>
            </w:r>
            <w:r>
              <w:rPr>
                <w:rFonts w:ascii="Times New Roman;Times;serif" w:hAnsi="Times New Roman;Times;serif"/>
                <w:b w:val="false"/>
                <w:i w:val="false"/>
                <w:caps w:val="false"/>
                <w:smallCaps w:val="false"/>
                <w:sz w:val="24"/>
              </w:rPr>
              <w:t>customers</w:t>
            </w:r>
            <w:r>
              <w:rPr>
                <w:caps w:val="false"/>
                <w:smallCaps w:val="false"/>
                <w:spacing w:val="-9"/>
              </w:rPr>
              <w:t xml:space="preserve"> </w:t>
            </w:r>
            <w:r>
              <w:rPr>
                <w:rFonts w:ascii="Times New Roman;Times;serif" w:hAnsi="Times New Roman;Times;serif"/>
                <w:b w:val="false"/>
                <w:i w:val="false"/>
                <w:caps w:val="false"/>
                <w:smallCaps w:val="false"/>
                <w:sz w:val="24"/>
              </w:rPr>
              <w:t>and/or</w:t>
            </w:r>
            <w:r>
              <w:rPr>
                <w:caps w:val="false"/>
                <w:smallCaps w:val="false"/>
                <w:spacing w:val="-9"/>
              </w:rPr>
              <w:t xml:space="preserve"> </w:t>
            </w:r>
            <w:r>
              <w:rPr>
                <w:rFonts w:ascii="Times New Roman;Times;serif" w:hAnsi="Times New Roman;Times;serif"/>
                <w:b w:val="false"/>
                <w:i w:val="false"/>
                <w:caps w:val="false"/>
                <w:smallCaps w:val="false"/>
                <w:sz w:val="24"/>
              </w:rPr>
              <w:t>end</w:t>
            </w:r>
            <w:r>
              <w:rPr>
                <w:caps w:val="false"/>
                <w:smallCaps w:val="false"/>
                <w:spacing w:val="-9"/>
              </w:rPr>
              <w:t xml:space="preserve"> </w:t>
            </w:r>
            <w:r>
              <w:rPr>
                <w:rFonts w:ascii="Times New Roman;Times;serif" w:hAnsi="Times New Roman;Times;serif"/>
                <w:b w:val="false"/>
                <w:i w:val="false"/>
                <w:caps w:val="false"/>
                <w:smallCaps w:val="false"/>
                <w:sz w:val="24"/>
              </w:rPr>
              <w:t>users</w:t>
            </w:r>
            <w:r>
              <w:rPr>
                <w:caps w:val="false"/>
                <w:smallCaps w:val="false"/>
                <w:spacing w:val="-9"/>
              </w:rPr>
              <w:t xml:space="preserve"> </w:t>
            </w:r>
            <w:r>
              <w:rPr>
                <w:rFonts w:ascii="Times New Roman;Times;serif" w:hAnsi="Times New Roman;Times;serif"/>
                <w:b w:val="false"/>
                <w:i w:val="false"/>
                <w:caps w:val="false"/>
                <w:smallCaps w:val="false"/>
                <w:sz w:val="24"/>
              </w:rPr>
              <w:t>at</w:t>
            </w:r>
            <w:r>
              <w:rPr>
                <w:caps w:val="false"/>
                <w:smallCaps w:val="false"/>
                <w:spacing w:val="-9"/>
              </w:rPr>
              <w:t xml:space="preserve"> </w:t>
            </w:r>
            <w:r>
              <w:rPr>
                <w:rFonts w:ascii="Times New Roman;Times;serif" w:hAnsi="Times New Roman;Times;serif"/>
                <w:b w:val="false"/>
                <w:i w:val="false"/>
                <w:caps w:val="false"/>
                <w:smallCaps w:val="false"/>
                <w:sz w:val="24"/>
              </w:rPr>
              <w:t>Aziyo's sole</w:t>
            </w:r>
            <w:r>
              <w:rPr>
                <w:caps w:val="false"/>
                <w:smallCaps w:val="false"/>
                <w:spacing w:val="-10"/>
              </w:rPr>
              <w:t xml:space="preserve"> </w:t>
            </w:r>
            <w:r>
              <w:rPr>
                <w:rFonts w:ascii="Times New Roman;Times;serif" w:hAnsi="Times New Roman;Times;serif"/>
                <w:b w:val="false"/>
                <w:i w:val="false"/>
                <w:caps w:val="false"/>
                <w:smallCaps w:val="false"/>
                <w:sz w:val="24"/>
              </w:rPr>
              <w:t>cost</w:t>
            </w:r>
            <w:r>
              <w:rPr>
                <w:caps w:val="false"/>
                <w:smallCaps w:val="false"/>
                <w:spacing w:val="-10"/>
              </w:rPr>
              <w:t xml:space="preserve"> </w:t>
            </w:r>
            <w:r>
              <w:rPr>
                <w:rFonts w:ascii="Times New Roman;Times;serif" w:hAnsi="Times New Roman;Times;serif"/>
                <w:b w:val="false"/>
                <w:i w:val="false"/>
                <w:caps w:val="false"/>
                <w:smallCaps w:val="false"/>
                <w:sz w:val="24"/>
              </w:rPr>
              <w:t>and</w:t>
            </w:r>
            <w:r>
              <w:rPr>
                <w:caps w:val="false"/>
                <w:smallCaps w:val="false"/>
                <w:spacing w:val="-10"/>
              </w:rPr>
              <w:t xml:space="preserve"> </w:t>
            </w:r>
            <w:r>
              <w:rPr>
                <w:rFonts w:ascii="Times New Roman;Times;serif" w:hAnsi="Times New Roman;Times;serif"/>
                <w:b w:val="false"/>
                <w:i w:val="false"/>
                <w:caps w:val="false"/>
                <w:smallCaps w:val="false"/>
                <w:sz w:val="24"/>
              </w:rPr>
              <w:t>expense;</w:t>
            </w:r>
            <w:r>
              <w:rPr>
                <w:caps w:val="false"/>
                <w:smallCaps w:val="false"/>
                <w:spacing w:val="-10"/>
              </w:rPr>
              <w:t xml:space="preserve"> </w:t>
            </w:r>
            <w:r>
              <w:rPr>
                <w:rFonts w:ascii="Times New Roman;Times;serif" w:hAnsi="Times New Roman;Times;serif"/>
                <w:b w:val="false"/>
                <w:i w:val="false"/>
                <w:caps w:val="false"/>
                <w:smallCaps w:val="false"/>
                <w:sz w:val="24"/>
              </w:rPr>
              <w:t>however,</w:t>
            </w:r>
            <w:r>
              <w:rPr>
                <w:caps w:val="false"/>
                <w:smallCaps w:val="false"/>
                <w:spacing w:val="-10"/>
              </w:rPr>
              <w:t xml:space="preserve"> </w:t>
            </w:r>
            <w:r>
              <w:rPr>
                <w:rFonts w:ascii="Times New Roman;Times;serif" w:hAnsi="Times New Roman;Times;serif"/>
                <w:b w:val="false"/>
                <w:i w:val="false"/>
                <w:caps w:val="false"/>
                <w:smallCaps w:val="false"/>
                <w:sz w:val="24"/>
              </w:rPr>
              <w:t>the</w:t>
            </w:r>
            <w:r>
              <w:rPr>
                <w:caps w:val="false"/>
                <w:smallCaps w:val="false"/>
                <w:spacing w:val="-10"/>
              </w:rPr>
              <w:t xml:space="preserve"> </w:t>
            </w:r>
            <w:r>
              <w:rPr>
                <w:rFonts w:ascii="Times New Roman;Times;serif" w:hAnsi="Times New Roman;Times;serif"/>
                <w:b w:val="false"/>
                <w:i w:val="false"/>
                <w:caps w:val="false"/>
                <w:smallCaps w:val="false"/>
                <w:sz w:val="24"/>
              </w:rPr>
              <w:t>Parties</w:t>
            </w:r>
            <w:r>
              <w:rPr>
                <w:caps w:val="false"/>
                <w:smallCaps w:val="false"/>
                <w:spacing w:val="-10"/>
              </w:rPr>
              <w:t xml:space="preserve"> </w:t>
            </w:r>
            <w:r>
              <w:rPr>
                <w:rFonts w:ascii="Times New Roman;Times;serif" w:hAnsi="Times New Roman;Times;serif"/>
                <w:b w:val="false"/>
                <w:i w:val="false"/>
                <w:caps w:val="false"/>
                <w:smallCaps w:val="false"/>
                <w:sz w:val="24"/>
              </w:rPr>
              <w:t>will</w:t>
            </w:r>
            <w:r>
              <w:rPr>
                <w:caps w:val="false"/>
                <w:smallCaps w:val="false"/>
                <w:spacing w:val="-10"/>
              </w:rPr>
              <w:t xml:space="preserve"> </w:t>
            </w:r>
            <w:r>
              <w:rPr>
                <w:rFonts w:ascii="Times New Roman;Times;serif" w:hAnsi="Times New Roman;Times;serif"/>
                <w:b w:val="false"/>
                <w:i w:val="false"/>
                <w:caps w:val="false"/>
                <w:smallCaps w:val="false"/>
                <w:sz w:val="24"/>
              </w:rPr>
              <w:t>discuss</w:t>
            </w:r>
            <w:r>
              <w:rPr>
                <w:caps w:val="false"/>
                <w:smallCaps w:val="false"/>
                <w:spacing w:val="-10"/>
              </w:rPr>
              <w:t xml:space="preserve"> </w:t>
            </w:r>
            <w:r>
              <w:rPr>
                <w:rFonts w:ascii="Times New Roman;Times;serif" w:hAnsi="Times New Roman;Times;serif"/>
                <w:b w:val="false"/>
                <w:i w:val="false"/>
                <w:caps w:val="false"/>
                <w:smallCaps w:val="false"/>
                <w:sz w:val="24"/>
              </w:rPr>
              <w:t>and</w:t>
            </w:r>
            <w:r>
              <w:rPr>
                <w:caps w:val="false"/>
                <w:smallCaps w:val="false"/>
                <w:spacing w:val="-10"/>
              </w:rPr>
              <w:t xml:space="preserve"> </w:t>
            </w:r>
            <w:r>
              <w:rPr>
                <w:rFonts w:ascii="Times New Roman;Times;serif" w:hAnsi="Times New Roman;Times;serif"/>
                <w:b w:val="false"/>
                <w:i w:val="false"/>
                <w:caps w:val="false"/>
                <w:smallCaps w:val="false"/>
                <w:sz w:val="24"/>
              </w:rPr>
              <w:t>cooperate</w:t>
            </w:r>
            <w:r>
              <w:rPr>
                <w:caps w:val="false"/>
                <w:smallCaps w:val="false"/>
                <w:spacing w:val="-10"/>
              </w:rPr>
              <w:t xml:space="preserve"> </w:t>
            </w:r>
            <w:r>
              <w:rPr>
                <w:rFonts w:ascii="Times New Roman;Times;serif" w:hAnsi="Times New Roman;Times;serif"/>
                <w:b w:val="false"/>
                <w:i w:val="false"/>
                <w:caps w:val="false"/>
                <w:smallCaps w:val="false"/>
                <w:sz w:val="24"/>
              </w:rPr>
              <w:t>with</w:t>
            </w:r>
            <w:r>
              <w:rPr>
                <w:caps w:val="false"/>
                <w:smallCaps w:val="false"/>
                <w:spacing w:val="-10"/>
              </w:rPr>
              <w:t xml:space="preserve"> </w:t>
            </w:r>
            <w:r>
              <w:rPr>
                <w:rFonts w:ascii="Times New Roman;Times;serif" w:hAnsi="Times New Roman;Times;serif"/>
                <w:b w:val="false"/>
                <w:i w:val="false"/>
                <w:caps w:val="false"/>
                <w:smallCaps w:val="false"/>
                <w:sz w:val="24"/>
              </w:rPr>
              <w:t>each</w:t>
            </w:r>
            <w:r>
              <w:rPr>
                <w:caps w:val="false"/>
                <w:smallCaps w:val="false"/>
                <w:spacing w:val="-10"/>
              </w:rPr>
              <w:t xml:space="preserve"> </w:t>
            </w:r>
            <w:r>
              <w:rPr>
                <w:rFonts w:ascii="Times New Roman;Times;serif" w:hAnsi="Times New Roman;Times;serif"/>
                <w:b w:val="false"/>
                <w:i w:val="false"/>
                <w:caps w:val="false"/>
                <w:smallCaps w:val="false"/>
                <w:sz w:val="24"/>
              </w:rPr>
              <w:t>other</w:t>
            </w:r>
            <w:r>
              <w:rPr>
                <w:caps w:val="false"/>
                <w:smallCaps w:val="false"/>
                <w:spacing w:val="-10"/>
              </w:rPr>
              <w:t xml:space="preserve"> </w:t>
            </w:r>
            <w:r>
              <w:rPr>
                <w:rFonts w:ascii="Times New Roman;Times;serif" w:hAnsi="Times New Roman;Times;serif"/>
                <w:b w:val="false"/>
                <w:i w:val="false"/>
                <w:caps w:val="false"/>
                <w:smallCaps w:val="false"/>
                <w:sz w:val="24"/>
              </w:rPr>
              <w:t>as</w:t>
            </w:r>
            <w:r>
              <w:rPr>
                <w:caps w:val="false"/>
                <w:smallCaps w:val="false"/>
                <w:spacing w:val="-10"/>
              </w:rPr>
              <w:t xml:space="preserve"> </w:t>
            </w:r>
            <w:r>
              <w:rPr>
                <w:rFonts w:ascii="Times New Roman;Times;serif" w:hAnsi="Times New Roman;Times;serif"/>
                <w:b w:val="false"/>
                <w:i w:val="false"/>
                <w:caps w:val="false"/>
                <w:smallCaps w:val="false"/>
                <w:sz w:val="24"/>
              </w:rPr>
              <w:t>to</w:t>
            </w:r>
            <w:r>
              <w:rPr>
                <w:caps w:val="false"/>
                <w:smallCaps w:val="false"/>
                <w:spacing w:val="-10"/>
              </w:rPr>
              <w:t xml:space="preserve"> </w:t>
            </w:r>
            <w:r>
              <w:rPr>
                <w:rFonts w:ascii="Times New Roman;Times;serif" w:hAnsi="Times New Roman;Times;serif"/>
                <w:b w:val="false"/>
                <w:i w:val="false"/>
                <w:caps w:val="false"/>
                <w:smallCaps w:val="false"/>
                <w:sz w:val="24"/>
              </w:rPr>
              <w:t xml:space="preserve">the communications with any customers and regulatory authorities, in order to minimize the risk </w:t>
            </w:r>
          </w:p>
        </w:tc>
        <w:tc>
          <w:tcPr>
            <w:tcW w:w="2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to any Party of a failure to follow legal requirements for such recall or withdrawal. Company will maintain complete and accurate records of all Products sold by it, for such period as may be</w:t>
            </w:r>
            <w:r>
              <w:rPr>
                <w:caps w:val="false"/>
                <w:smallCaps w:val="false"/>
                <w:spacing w:val="-9"/>
              </w:rPr>
              <w:t xml:space="preserve"> </w:t>
            </w:r>
            <w:r>
              <w:rPr>
                <w:rFonts w:ascii="Times New Roman;Times;serif" w:hAnsi="Times New Roman;Times;serif"/>
                <w:b w:val="false"/>
                <w:i w:val="false"/>
                <w:caps w:val="false"/>
                <w:smallCaps w:val="false"/>
                <w:sz w:val="24"/>
              </w:rPr>
              <w:t>required</w:t>
            </w:r>
            <w:r>
              <w:rPr>
                <w:caps w:val="false"/>
                <w:smallCaps w:val="false"/>
                <w:spacing w:val="-9"/>
              </w:rPr>
              <w:t xml:space="preserve"> </w:t>
            </w:r>
            <w:r>
              <w:rPr>
                <w:rFonts w:ascii="Times New Roman;Times;serif" w:hAnsi="Times New Roman;Times;serif"/>
                <w:b w:val="false"/>
                <w:i w:val="false"/>
                <w:caps w:val="false"/>
                <w:smallCaps w:val="false"/>
                <w:sz w:val="24"/>
              </w:rPr>
              <w:t>by</w:t>
            </w:r>
            <w:r>
              <w:rPr>
                <w:caps w:val="false"/>
                <w:smallCaps w:val="false"/>
                <w:spacing w:val="-9"/>
              </w:rPr>
              <w:t xml:space="preserve"> </w:t>
            </w:r>
            <w:r>
              <w:rPr>
                <w:rFonts w:ascii="Times New Roman;Times;serif" w:hAnsi="Times New Roman;Times;serif"/>
                <w:b w:val="false"/>
                <w:i w:val="false"/>
                <w:caps w:val="false"/>
                <w:smallCaps w:val="false"/>
                <w:sz w:val="24"/>
              </w:rPr>
              <w:t>applicable</w:t>
            </w:r>
            <w:r>
              <w:rPr>
                <w:caps w:val="false"/>
                <w:smallCaps w:val="false"/>
                <w:spacing w:val="-9"/>
              </w:rPr>
              <w:t xml:space="preserve"> </w:t>
            </w:r>
            <w:r>
              <w:rPr>
                <w:rFonts w:ascii="Times New Roman;Times;serif" w:hAnsi="Times New Roman;Times;serif"/>
                <w:b w:val="false"/>
                <w:i w:val="false"/>
                <w:caps w:val="false"/>
                <w:smallCaps w:val="false"/>
                <w:sz w:val="24"/>
              </w:rPr>
              <w:t>law,</w:t>
            </w:r>
            <w:r>
              <w:rPr>
                <w:caps w:val="false"/>
                <w:smallCaps w:val="false"/>
                <w:spacing w:val="-9"/>
              </w:rPr>
              <w:t xml:space="preserve"> </w:t>
            </w:r>
            <w:r>
              <w:rPr>
                <w:rFonts w:ascii="Times New Roman;Times;serif" w:hAnsi="Times New Roman;Times;serif"/>
                <w:b w:val="false"/>
                <w:i w:val="false"/>
                <w:caps w:val="false"/>
                <w:smallCaps w:val="false"/>
                <w:sz w:val="24"/>
              </w:rPr>
              <w:t>at</w:t>
            </w:r>
            <w:r>
              <w:rPr>
                <w:caps w:val="false"/>
                <w:smallCaps w:val="false"/>
                <w:spacing w:val="-9"/>
              </w:rPr>
              <w:t xml:space="preserve"> </w:t>
            </w:r>
            <w:r>
              <w:rPr>
                <w:rFonts w:ascii="Times New Roman;Times;serif" w:hAnsi="Times New Roman;Times;serif"/>
                <w:b w:val="false"/>
                <w:i w:val="false"/>
                <w:caps w:val="false"/>
                <w:smallCaps w:val="false"/>
                <w:sz w:val="24"/>
              </w:rPr>
              <w:t>least</w:t>
            </w:r>
            <w:r>
              <w:rPr>
                <w:caps w:val="false"/>
                <w:smallCaps w:val="false"/>
                <w:spacing w:val="-9"/>
              </w:rPr>
              <w:t xml:space="preserve"> </w:t>
            </w:r>
            <w:r>
              <w:rPr>
                <w:rFonts w:ascii="Times New Roman;Times;serif" w:hAnsi="Times New Roman;Times;serif"/>
                <w:b w:val="false"/>
                <w:i w:val="false"/>
                <w:caps w:val="false"/>
                <w:smallCaps w:val="false"/>
                <w:sz w:val="24"/>
              </w:rPr>
              <w:t>equivalent</w:t>
            </w:r>
            <w:r>
              <w:rPr>
                <w:caps w:val="false"/>
                <w:smallCaps w:val="false"/>
                <w:spacing w:val="-9"/>
              </w:rPr>
              <w:t xml:space="preserve"> </w:t>
            </w:r>
            <w:r>
              <w:rPr>
                <w:rFonts w:ascii="Times New Roman;Times;serif" w:hAnsi="Times New Roman;Times;serif"/>
                <w:b w:val="false"/>
                <w:i w:val="false"/>
                <w:caps w:val="false"/>
                <w:smallCaps w:val="false"/>
                <w:sz w:val="24"/>
              </w:rPr>
              <w:t>to</w:t>
            </w:r>
            <w:r>
              <w:rPr>
                <w:caps w:val="false"/>
                <w:smallCaps w:val="false"/>
                <w:spacing w:val="-9"/>
              </w:rPr>
              <w:t xml:space="preserve"> </w:t>
            </w:r>
            <w:r>
              <w:rPr>
                <w:rFonts w:ascii="Times New Roman;Times;serif" w:hAnsi="Times New Roman;Times;serif"/>
                <w:b w:val="false"/>
                <w:i w:val="false"/>
                <w:caps w:val="false"/>
                <w:smallCaps w:val="false"/>
                <w:sz w:val="24"/>
              </w:rPr>
              <w:t>the</w:t>
            </w:r>
            <w:r>
              <w:rPr>
                <w:caps w:val="false"/>
                <w:smallCaps w:val="false"/>
                <w:spacing w:val="-9"/>
              </w:rPr>
              <w:t xml:space="preserve"> </w:t>
            </w:r>
            <w:r>
              <w:rPr>
                <w:rFonts w:ascii="Times New Roman;Times;serif" w:hAnsi="Times New Roman;Times;serif"/>
                <w:b w:val="false"/>
                <w:i w:val="false"/>
                <w:caps w:val="false"/>
                <w:smallCaps w:val="false"/>
                <w:sz w:val="24"/>
              </w:rPr>
              <w:t>shelf-life</w:t>
            </w:r>
            <w:r>
              <w:rPr>
                <w:caps w:val="false"/>
                <w:smallCaps w:val="false"/>
                <w:spacing w:val="-9"/>
              </w:rPr>
              <w:t xml:space="preserve"> </w:t>
            </w:r>
            <w:r>
              <w:rPr>
                <w:rFonts w:ascii="Times New Roman;Times;serif" w:hAnsi="Times New Roman;Times;serif"/>
                <w:b w:val="false"/>
                <w:i w:val="false"/>
                <w:caps w:val="false"/>
                <w:smallCaps w:val="false"/>
                <w:sz w:val="24"/>
              </w:rPr>
              <w:t>of</w:t>
            </w:r>
            <w:r>
              <w:rPr>
                <w:caps w:val="false"/>
                <w:smallCaps w:val="false"/>
                <w:spacing w:val="-9"/>
              </w:rPr>
              <w:t xml:space="preserve"> </w:t>
            </w:r>
            <w:r>
              <w:rPr>
                <w:rFonts w:ascii="Times New Roman;Times;serif" w:hAnsi="Times New Roman;Times;serif"/>
                <w:b w:val="false"/>
                <w:i w:val="false"/>
                <w:caps w:val="false"/>
                <w:smallCaps w:val="false"/>
                <w:sz w:val="24"/>
              </w:rPr>
              <w:t>the</w:t>
            </w:r>
            <w:r>
              <w:rPr>
                <w:caps w:val="false"/>
                <w:smallCaps w:val="false"/>
                <w:spacing w:val="-9"/>
              </w:rPr>
              <w:t xml:space="preserve"> </w:t>
            </w:r>
            <w:r>
              <w:rPr>
                <w:rFonts w:ascii="Times New Roman;Times;serif" w:hAnsi="Times New Roman;Times;serif"/>
                <w:b w:val="false"/>
                <w:i w:val="false"/>
                <w:caps w:val="false"/>
                <w:smallCaps w:val="false"/>
                <w:sz w:val="24"/>
              </w:rPr>
              <w:t>applicable</w:t>
            </w:r>
            <w:r>
              <w:rPr>
                <w:caps w:val="false"/>
                <w:smallCaps w:val="false"/>
                <w:spacing w:val="-9"/>
              </w:rPr>
              <w:t xml:space="preserve"> </w:t>
            </w:r>
            <w:r>
              <w:rPr>
                <w:rFonts w:ascii="Times New Roman;Times;serif" w:hAnsi="Times New Roman;Times;serif"/>
                <w:b w:val="false"/>
                <w:i w:val="false"/>
                <w:caps w:val="false"/>
                <w:smallCaps w:val="false"/>
                <w:sz w:val="24"/>
              </w:rPr>
              <w:t>Product,</w:t>
            </w:r>
            <w:r>
              <w:rPr>
                <w:caps w:val="false"/>
                <w:smallCaps w:val="false"/>
                <w:spacing w:val="-9"/>
              </w:rPr>
              <w:t xml:space="preserve"> </w:t>
            </w:r>
            <w:r>
              <w:rPr>
                <w:rFonts w:ascii="Times New Roman;Times;serif" w:hAnsi="Times New Roman;Times;serif"/>
                <w:b w:val="false"/>
                <w:i w:val="false"/>
                <w:caps w:val="false"/>
                <w:smallCaps w:val="false"/>
                <w:sz w:val="24"/>
              </w:rPr>
              <w:t>but not less than two years from the date of expiry. In the event of any recall of any Product (whether voluntary, required by the FDA or any other governmental authority, or resulting from any device notification or safety alert), Aziyo shall, in addition to any other obligations to Company or a user of the Products, accept the return of the Product in accordance with Section</w:t>
            </w:r>
            <w:r>
              <w:rPr>
                <w:caps w:val="false"/>
                <w:smallCaps w:val="false"/>
                <w:spacing w:val="-1"/>
              </w:rPr>
              <w:t xml:space="preserve"> </w:t>
            </w:r>
            <w:r>
              <w:rPr>
                <w:rFonts w:ascii="Times New Roman;Times;serif" w:hAnsi="Times New Roman;Times;serif"/>
                <w:b w:val="false"/>
                <w:i w:val="false"/>
                <w:caps w:val="false"/>
                <w:smallCaps w:val="false"/>
                <w:sz w:val="24"/>
              </w:rPr>
              <w:t>3.5</w:t>
            </w:r>
            <w:r>
              <w:rPr>
                <w:caps w:val="false"/>
                <w:smallCaps w:val="false"/>
                <w:spacing w:val="-1"/>
              </w:rPr>
              <w:t xml:space="preserve"> </w:t>
            </w:r>
            <w:r>
              <w:rPr>
                <w:rFonts w:ascii="Times New Roman;Times;serif" w:hAnsi="Times New Roman;Times;serif"/>
                <w:b w:val="false"/>
                <w:i w:val="false"/>
                <w:caps w:val="false"/>
                <w:smallCaps w:val="false"/>
                <w:sz w:val="24"/>
              </w:rPr>
              <w:t>hereof.</w:t>
            </w:r>
            <w:r>
              <w:rPr>
                <w:caps w:val="false"/>
                <w:smallCaps w:val="false"/>
                <w:spacing w:val="-1"/>
              </w:rPr>
              <w:t xml:space="preserve"> </w:t>
            </w:r>
            <w:r>
              <w:rPr>
                <w:rFonts w:ascii="Times New Roman;Times;serif" w:hAnsi="Times New Roman;Times;serif"/>
                <w:b w:val="false"/>
                <w:i w:val="false"/>
                <w:caps w:val="false"/>
                <w:smallCaps w:val="false"/>
                <w:sz w:val="24"/>
              </w:rPr>
              <w:t>Aziyo</w:t>
            </w:r>
            <w:r>
              <w:rPr>
                <w:caps w:val="false"/>
                <w:smallCaps w:val="false"/>
                <w:spacing w:val="-1"/>
              </w:rPr>
              <w:t xml:space="preserve"> </w:t>
            </w:r>
            <w:r>
              <w:rPr>
                <w:rFonts w:ascii="Times New Roman;Times;serif" w:hAnsi="Times New Roman;Times;serif"/>
                <w:b w:val="false"/>
                <w:i w:val="false"/>
                <w:caps w:val="false"/>
                <w:smallCaps w:val="false"/>
                <w:sz w:val="24"/>
              </w:rPr>
              <w:t>shall,</w:t>
            </w:r>
            <w:r>
              <w:rPr>
                <w:caps w:val="false"/>
                <w:smallCaps w:val="false"/>
                <w:spacing w:val="-1"/>
              </w:rPr>
              <w:t xml:space="preserve"> </w:t>
            </w:r>
            <w:r>
              <w:rPr>
                <w:rFonts w:ascii="Times New Roman;Times;serif" w:hAnsi="Times New Roman;Times;serif"/>
                <w:b w:val="false"/>
                <w:i w:val="false"/>
                <w:caps w:val="false"/>
                <w:smallCaps w:val="false"/>
                <w:sz w:val="24"/>
              </w:rPr>
              <w:t>in</w:t>
            </w:r>
            <w:r>
              <w:rPr>
                <w:caps w:val="false"/>
                <w:smallCaps w:val="false"/>
                <w:spacing w:val="-1"/>
              </w:rPr>
              <w:t xml:space="preserve"> </w:t>
            </w:r>
            <w:r>
              <w:rPr>
                <w:rFonts w:ascii="Times New Roman;Times;serif" w:hAnsi="Times New Roman;Times;serif"/>
                <w:b w:val="false"/>
                <w:i w:val="false"/>
                <w:caps w:val="false"/>
                <w:smallCaps w:val="false"/>
                <w:sz w:val="24"/>
              </w:rPr>
              <w:t>addition</w:t>
            </w:r>
            <w:r>
              <w:rPr>
                <w:caps w:val="false"/>
                <w:smallCaps w:val="false"/>
                <w:spacing w:val="-1"/>
              </w:rPr>
              <w:t xml:space="preserve"> </w:t>
            </w:r>
            <w:r>
              <w:rPr>
                <w:rFonts w:ascii="Times New Roman;Times;serif" w:hAnsi="Times New Roman;Times;serif"/>
                <w:b w:val="false"/>
                <w:i w:val="false"/>
                <w:caps w:val="false"/>
                <w:smallCaps w:val="false"/>
                <w:sz w:val="24"/>
              </w:rPr>
              <w:t>and</w:t>
            </w:r>
            <w:r>
              <w:rPr>
                <w:caps w:val="false"/>
                <w:smallCaps w:val="false"/>
                <w:spacing w:val="-1"/>
              </w:rPr>
              <w:t xml:space="preserve"> </w:t>
            </w:r>
            <w:r>
              <w:rPr>
                <w:rFonts w:ascii="Times New Roman;Times;serif" w:hAnsi="Times New Roman;Times;serif"/>
                <w:b w:val="false"/>
                <w:i w:val="false"/>
                <w:caps w:val="false"/>
                <w:smallCaps w:val="false"/>
                <w:sz w:val="24"/>
              </w:rPr>
              <w:t>to</w:t>
            </w:r>
            <w:r>
              <w:rPr>
                <w:caps w:val="false"/>
                <w:smallCaps w:val="false"/>
                <w:spacing w:val="-1"/>
              </w:rPr>
              <w:t xml:space="preserve"> </w:t>
            </w:r>
            <w:r>
              <w:rPr>
                <w:rFonts w:ascii="Times New Roman;Times;serif" w:hAnsi="Times New Roman;Times;serif"/>
                <w:b w:val="false"/>
                <w:i w:val="false"/>
                <w:caps w:val="false"/>
                <w:smallCaps w:val="false"/>
                <w:sz w:val="24"/>
              </w:rPr>
              <w:t>the</w:t>
            </w:r>
            <w:r>
              <w:rPr>
                <w:caps w:val="false"/>
                <w:smallCaps w:val="false"/>
                <w:spacing w:val="-1"/>
              </w:rPr>
              <w:t xml:space="preserve"> </w:t>
            </w:r>
            <w:r>
              <w:rPr>
                <w:rFonts w:ascii="Times New Roman;Times;serif" w:hAnsi="Times New Roman;Times;serif"/>
                <w:b w:val="false"/>
                <w:i w:val="false"/>
                <w:caps w:val="false"/>
                <w:smallCaps w:val="false"/>
                <w:sz w:val="24"/>
              </w:rPr>
              <w:t>extent</w:t>
            </w:r>
            <w:r>
              <w:rPr>
                <w:caps w:val="false"/>
                <w:smallCaps w:val="false"/>
                <w:spacing w:val="-1"/>
              </w:rPr>
              <w:t xml:space="preserve"> </w:t>
            </w:r>
            <w:r>
              <w:rPr>
                <w:rFonts w:ascii="Times New Roman;Times;serif" w:hAnsi="Times New Roman;Times;serif"/>
                <w:b w:val="false"/>
                <w:i w:val="false"/>
                <w:caps w:val="false"/>
                <w:smallCaps w:val="false"/>
                <w:sz w:val="24"/>
              </w:rPr>
              <w:t>they</w:t>
            </w:r>
            <w:r>
              <w:rPr>
                <w:caps w:val="false"/>
                <w:smallCaps w:val="false"/>
                <w:spacing w:val="-1"/>
              </w:rPr>
              <w:t xml:space="preserve"> </w:t>
            </w:r>
            <w:r>
              <w:rPr>
                <w:rFonts w:ascii="Times New Roman;Times;serif" w:hAnsi="Times New Roman;Times;serif"/>
                <w:b w:val="false"/>
                <w:i w:val="false"/>
                <w:caps w:val="false"/>
                <w:smallCaps w:val="false"/>
                <w:sz w:val="24"/>
              </w:rPr>
              <w:t>relate</w:t>
            </w:r>
            <w:r>
              <w:rPr>
                <w:caps w:val="false"/>
                <w:smallCaps w:val="false"/>
                <w:spacing w:val="-1"/>
              </w:rPr>
              <w:t xml:space="preserve"> </w:t>
            </w:r>
            <w:r>
              <w:rPr>
                <w:rFonts w:ascii="Times New Roman;Times;serif" w:hAnsi="Times New Roman;Times;serif"/>
                <w:b w:val="false"/>
                <w:i w:val="false"/>
                <w:caps w:val="false"/>
                <w:smallCaps w:val="false"/>
                <w:sz w:val="24"/>
              </w:rPr>
              <w:t>directly</w:t>
            </w:r>
            <w:r>
              <w:rPr>
                <w:caps w:val="false"/>
                <w:smallCaps w:val="false"/>
                <w:spacing w:val="-1"/>
              </w:rPr>
              <w:t xml:space="preserve"> </w:t>
            </w:r>
            <w:r>
              <w:rPr>
                <w:rFonts w:ascii="Times New Roman;Times;serif" w:hAnsi="Times New Roman;Times;serif"/>
                <w:b w:val="false"/>
                <w:i w:val="false"/>
                <w:caps w:val="false"/>
                <w:smallCaps w:val="false"/>
                <w:sz w:val="24"/>
              </w:rPr>
              <w:t>to</w:t>
            </w:r>
            <w:r>
              <w:rPr>
                <w:caps w:val="false"/>
                <w:smallCaps w:val="false"/>
                <w:spacing w:val="-1"/>
              </w:rPr>
              <w:t xml:space="preserve"> </w:t>
            </w:r>
            <w:r>
              <w:rPr>
                <w:rFonts w:ascii="Times New Roman;Times;serif" w:hAnsi="Times New Roman;Times;serif"/>
                <w:b w:val="false"/>
                <w:i w:val="false"/>
                <w:caps w:val="false"/>
                <w:smallCaps w:val="false"/>
                <w:sz w:val="24"/>
              </w:rPr>
              <w:t>matters</w:t>
            </w:r>
            <w:r>
              <w:rPr>
                <w:caps w:val="false"/>
                <w:smallCaps w:val="false"/>
                <w:spacing w:val="-1"/>
              </w:rPr>
              <w:t xml:space="preserve"> </w:t>
            </w:r>
            <w:r>
              <w:rPr>
                <w:rFonts w:ascii="Times New Roman;Times;serif" w:hAnsi="Times New Roman;Times;serif"/>
                <w:b w:val="false"/>
                <w:i w:val="false"/>
                <w:caps w:val="false"/>
                <w:smallCaps w:val="false"/>
                <w:sz w:val="24"/>
              </w:rPr>
              <w:t>for which Aziyo is responsible hereunder, via applicable law or as a result of its negligence, reimburse Company for reasonable costs and expenses incurred by Company directly associated with: (a) the initial shipments of the recalled Products, and (b) customers' return of the recalled Products and shipment of replacement Products to customers, (c) any fines, damages, fees (including reasonable attorney's fees), expenses or other costs incurred by Company in conjunction with the recall directly through Claims brought by customers or government agency. Aziyo shall use its reasonable efforts to correct, as promptly as is practicable,</w:t>
            </w:r>
            <w:r>
              <w:rPr>
                <w:caps w:val="false"/>
                <w:smallCaps w:val="false"/>
                <w:spacing w:val="-4"/>
              </w:rPr>
              <w:t xml:space="preserve"> </w:t>
            </w:r>
            <w:r>
              <w:rPr>
                <w:rFonts w:ascii="Times New Roman;Times;serif" w:hAnsi="Times New Roman;Times;serif"/>
                <w:b w:val="false"/>
                <w:i w:val="false"/>
                <w:caps w:val="false"/>
                <w:smallCaps w:val="false"/>
                <w:sz w:val="24"/>
              </w:rPr>
              <w:t>problems</w:t>
            </w:r>
            <w:r>
              <w:rPr>
                <w:caps w:val="false"/>
                <w:smallCaps w:val="false"/>
                <w:spacing w:val="-4"/>
              </w:rPr>
              <w:t xml:space="preserve"> </w:t>
            </w:r>
            <w:r>
              <w:rPr>
                <w:rFonts w:ascii="Times New Roman;Times;serif" w:hAnsi="Times New Roman;Times;serif"/>
                <w:b w:val="false"/>
                <w:i w:val="false"/>
                <w:caps w:val="false"/>
                <w:smallCaps w:val="false"/>
                <w:sz w:val="24"/>
              </w:rPr>
              <w:t>or</w:t>
            </w:r>
            <w:r>
              <w:rPr>
                <w:caps w:val="false"/>
                <w:smallCaps w:val="false"/>
                <w:spacing w:val="-4"/>
              </w:rPr>
              <w:t xml:space="preserve"> </w:t>
            </w:r>
            <w:r>
              <w:rPr>
                <w:rFonts w:ascii="Times New Roman;Times;serif" w:hAnsi="Times New Roman;Times;serif"/>
                <w:b w:val="false"/>
                <w:i w:val="false"/>
                <w:caps w:val="false"/>
                <w:smallCaps w:val="false"/>
                <w:sz w:val="24"/>
              </w:rPr>
              <w:t>other</w:t>
            </w:r>
            <w:r>
              <w:rPr>
                <w:caps w:val="false"/>
                <w:smallCaps w:val="false"/>
                <w:spacing w:val="-4"/>
              </w:rPr>
              <w:t xml:space="preserve"> </w:t>
            </w:r>
            <w:r>
              <w:rPr>
                <w:rFonts w:ascii="Times New Roman;Times;serif" w:hAnsi="Times New Roman;Times;serif"/>
                <w:b w:val="false"/>
                <w:i w:val="false"/>
                <w:caps w:val="false"/>
                <w:smallCaps w:val="false"/>
                <w:sz w:val="24"/>
              </w:rPr>
              <w:t>issues</w:t>
            </w:r>
            <w:r>
              <w:rPr>
                <w:caps w:val="false"/>
                <w:smallCaps w:val="false"/>
                <w:spacing w:val="-4"/>
              </w:rPr>
              <w:t xml:space="preserve"> </w:t>
            </w:r>
            <w:r>
              <w:rPr>
                <w:rFonts w:ascii="Times New Roman;Times;serif" w:hAnsi="Times New Roman;Times;serif"/>
                <w:b w:val="false"/>
                <w:i w:val="false"/>
                <w:caps w:val="false"/>
                <w:smallCaps w:val="false"/>
                <w:sz w:val="24"/>
              </w:rPr>
              <w:t>that</w:t>
            </w:r>
            <w:r>
              <w:rPr>
                <w:caps w:val="false"/>
                <w:smallCaps w:val="false"/>
                <w:spacing w:val="-4"/>
              </w:rPr>
              <w:t xml:space="preserve"> </w:t>
            </w:r>
            <w:r>
              <w:rPr>
                <w:rFonts w:ascii="Times New Roman;Times;serif" w:hAnsi="Times New Roman;Times;serif"/>
                <w:b w:val="false"/>
                <w:i w:val="false"/>
                <w:caps w:val="false"/>
                <w:smallCaps w:val="false"/>
                <w:sz w:val="24"/>
              </w:rPr>
              <w:t>result</w:t>
            </w:r>
            <w:r>
              <w:rPr>
                <w:caps w:val="false"/>
                <w:smallCaps w:val="false"/>
                <w:spacing w:val="-4"/>
              </w:rPr>
              <w:t xml:space="preserve"> </w:t>
            </w:r>
            <w:r>
              <w:rPr>
                <w:rFonts w:ascii="Times New Roman;Times;serif" w:hAnsi="Times New Roman;Times;serif"/>
                <w:b w:val="false"/>
                <w:i w:val="false"/>
                <w:caps w:val="false"/>
                <w:smallCaps w:val="false"/>
                <w:sz w:val="24"/>
              </w:rPr>
              <w:t>in</w:t>
            </w:r>
            <w:r>
              <w:rPr>
                <w:caps w:val="false"/>
                <w:smallCaps w:val="false"/>
                <w:spacing w:val="-4"/>
              </w:rPr>
              <w:t xml:space="preserve"> </w:t>
            </w:r>
            <w:r>
              <w:rPr>
                <w:rFonts w:ascii="Times New Roman;Times;serif" w:hAnsi="Times New Roman;Times;serif"/>
                <w:b w:val="false"/>
                <w:i w:val="false"/>
                <w:caps w:val="false"/>
                <w:smallCaps w:val="false"/>
                <w:sz w:val="24"/>
              </w:rPr>
              <w:t>recalls</w:t>
            </w:r>
            <w:r>
              <w:rPr>
                <w:caps w:val="false"/>
                <w:smallCaps w:val="false"/>
                <w:spacing w:val="-4"/>
              </w:rPr>
              <w:t xml:space="preserve"> </w:t>
            </w:r>
            <w:r>
              <w:rPr>
                <w:rFonts w:ascii="Times New Roman;Times;serif" w:hAnsi="Times New Roman;Times;serif"/>
                <w:b w:val="false"/>
                <w:i w:val="false"/>
                <w:caps w:val="false"/>
                <w:smallCaps w:val="false"/>
                <w:sz w:val="24"/>
              </w:rPr>
              <w:t>(other</w:t>
            </w:r>
            <w:r>
              <w:rPr>
                <w:caps w:val="false"/>
                <w:smallCaps w:val="false"/>
                <w:spacing w:val="-4"/>
              </w:rPr>
              <w:t xml:space="preserve"> </w:t>
            </w:r>
            <w:r>
              <w:rPr>
                <w:rFonts w:ascii="Times New Roman;Times;serif" w:hAnsi="Times New Roman;Times;serif"/>
                <w:b w:val="false"/>
                <w:i w:val="false"/>
                <w:caps w:val="false"/>
                <w:smallCaps w:val="false"/>
                <w:sz w:val="24"/>
              </w:rPr>
              <w:t>than</w:t>
            </w:r>
            <w:r>
              <w:rPr>
                <w:caps w:val="false"/>
                <w:smallCaps w:val="false"/>
                <w:spacing w:val="-4"/>
              </w:rPr>
              <w:t xml:space="preserve"> </w:t>
            </w:r>
            <w:r>
              <w:rPr>
                <w:rFonts w:ascii="Times New Roman;Times;serif" w:hAnsi="Times New Roman;Times;serif"/>
                <w:b w:val="false"/>
                <w:i w:val="false"/>
                <w:caps w:val="false"/>
                <w:smallCaps w:val="false"/>
                <w:sz w:val="24"/>
              </w:rPr>
              <w:t>recalls</w:t>
            </w:r>
            <w:r>
              <w:rPr>
                <w:caps w:val="false"/>
                <w:smallCaps w:val="false"/>
                <w:spacing w:val="-4"/>
              </w:rPr>
              <w:t xml:space="preserve"> </w:t>
            </w:r>
            <w:r>
              <w:rPr>
                <w:rFonts w:ascii="Times New Roman;Times;serif" w:hAnsi="Times New Roman;Times;serif"/>
                <w:b w:val="false"/>
                <w:i w:val="false"/>
                <w:caps w:val="false"/>
                <w:smallCaps w:val="false"/>
                <w:sz w:val="24"/>
              </w:rPr>
              <w:t>resulting</w:t>
            </w:r>
            <w:r>
              <w:rPr>
                <w:caps w:val="false"/>
                <w:smallCaps w:val="false"/>
                <w:spacing w:val="-4"/>
              </w:rPr>
              <w:t xml:space="preserve"> </w:t>
            </w:r>
            <w:r>
              <w:rPr>
                <w:rFonts w:ascii="Times New Roman;Times;serif" w:hAnsi="Times New Roman;Times;serif"/>
                <w:b w:val="false"/>
                <w:i w:val="false"/>
                <w:caps w:val="false"/>
                <w:smallCaps w:val="false"/>
                <w:sz w:val="24"/>
              </w:rPr>
              <w:t>from</w:t>
            </w:r>
            <w:r>
              <w:rPr>
                <w:caps w:val="false"/>
                <w:smallCaps w:val="false"/>
                <w:spacing w:val="-4"/>
              </w:rPr>
              <w:t xml:space="preserve"> </w:t>
            </w:r>
            <w:r>
              <w:rPr>
                <w:rFonts w:ascii="Times New Roman;Times;serif" w:hAnsi="Times New Roman;Times;serif"/>
                <w:b w:val="false"/>
                <w:i w:val="false"/>
                <w:caps w:val="false"/>
                <w:smallCaps w:val="false"/>
                <w:sz w:val="24"/>
              </w:rPr>
              <w:t>the acts or omissions of Company).</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323"/>
        <w:gridCol w:w="983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3.6.</w:t>
            </w:r>
          </w:p>
        </w:tc>
        <w:tc>
          <w:tcPr>
            <w:tcW w:w="9835"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Return of Products</w:t>
            </w:r>
            <w:r>
              <w:rPr>
                <w:rFonts w:ascii="Times New Roman;Times;serif" w:hAnsi="Times New Roman;Times;serif"/>
                <w:b w:val="false"/>
                <w:i w:val="false"/>
                <w:caps w:val="false"/>
                <w:smallCaps w:val="false"/>
                <w:sz w:val="24"/>
              </w:rPr>
              <w:t>: Under the following circumstances, Company may return a Product purchased hereunder: if the Product fails to comply with the limited warranty set forth in Section</w:t>
            </w:r>
            <w:r>
              <w:rPr>
                <w:caps w:val="false"/>
                <w:smallCaps w:val="false"/>
                <w:spacing w:val="-4"/>
              </w:rPr>
              <w:t xml:space="preserve"> </w:t>
            </w:r>
            <w:r>
              <w:rPr>
                <w:rFonts w:ascii="Times New Roman;Times;serif" w:hAnsi="Times New Roman;Times;serif"/>
                <w:b w:val="false"/>
                <w:i w:val="false"/>
                <w:caps w:val="false"/>
                <w:smallCaps w:val="false"/>
                <w:sz w:val="24"/>
              </w:rPr>
              <w:t>9</w:t>
            </w:r>
            <w:r>
              <w:rPr>
                <w:caps w:val="false"/>
                <w:smallCaps w:val="false"/>
                <w:spacing w:val="-4"/>
              </w:rPr>
              <w:t xml:space="preserve"> </w:t>
            </w:r>
            <w:r>
              <w:rPr>
                <w:rFonts w:ascii="Times New Roman;Times;serif" w:hAnsi="Times New Roman;Times;serif"/>
                <w:b w:val="false"/>
                <w:i w:val="false"/>
                <w:caps w:val="false"/>
                <w:smallCaps w:val="false"/>
                <w:sz w:val="24"/>
              </w:rPr>
              <w:t>of</w:t>
            </w:r>
            <w:r>
              <w:rPr>
                <w:caps w:val="false"/>
                <w:smallCaps w:val="false"/>
                <w:spacing w:val="-4"/>
              </w:rPr>
              <w:t xml:space="preserve"> </w:t>
            </w:r>
            <w:r>
              <w:rPr>
                <w:rFonts w:ascii="Times New Roman;Times;serif" w:hAnsi="Times New Roman;Times;serif"/>
                <w:b w:val="false"/>
                <w:i w:val="false"/>
                <w:caps w:val="false"/>
                <w:smallCaps w:val="false"/>
                <w:sz w:val="24"/>
              </w:rPr>
              <w:t>the</w:t>
            </w:r>
            <w:r>
              <w:rPr>
                <w:caps w:val="false"/>
                <w:smallCaps w:val="false"/>
                <w:spacing w:val="-4"/>
              </w:rPr>
              <w:t xml:space="preserve"> </w:t>
            </w:r>
            <w:r>
              <w:rPr>
                <w:rFonts w:ascii="Times New Roman;Times;serif" w:hAnsi="Times New Roman;Times;serif"/>
                <w:b w:val="false"/>
                <w:i w:val="false"/>
                <w:caps w:val="false"/>
                <w:smallCaps w:val="false"/>
                <w:sz w:val="24"/>
              </w:rPr>
              <w:t>DA,</w:t>
            </w:r>
            <w:r>
              <w:rPr>
                <w:caps w:val="false"/>
                <w:smallCaps w:val="false"/>
                <w:spacing w:val="-4"/>
              </w:rPr>
              <w:t xml:space="preserve"> </w:t>
            </w:r>
            <w:r>
              <w:rPr>
                <w:rFonts w:ascii="Times New Roman;Times;serif" w:hAnsi="Times New Roman;Times;serif"/>
                <w:b w:val="false"/>
                <w:i w:val="false"/>
                <w:caps w:val="false"/>
                <w:smallCaps w:val="false"/>
                <w:sz w:val="24"/>
              </w:rPr>
              <w:t>if</w:t>
            </w:r>
            <w:r>
              <w:rPr>
                <w:caps w:val="false"/>
                <w:smallCaps w:val="false"/>
                <w:spacing w:val="-4"/>
              </w:rPr>
              <w:t xml:space="preserve"> </w:t>
            </w:r>
            <w:r>
              <w:rPr>
                <w:rFonts w:ascii="Times New Roman;Times;serif" w:hAnsi="Times New Roman;Times;serif"/>
                <w:b w:val="false"/>
                <w:i w:val="false"/>
                <w:caps w:val="false"/>
                <w:smallCaps w:val="false"/>
                <w:sz w:val="24"/>
              </w:rPr>
              <w:t>shipped</w:t>
            </w:r>
            <w:r>
              <w:rPr>
                <w:caps w:val="false"/>
                <w:smallCaps w:val="false"/>
                <w:spacing w:val="-4"/>
              </w:rPr>
              <w:t xml:space="preserve"> </w:t>
            </w:r>
            <w:r>
              <w:rPr>
                <w:rFonts w:ascii="Times New Roman;Times;serif" w:hAnsi="Times New Roman;Times;serif"/>
                <w:b w:val="false"/>
                <w:i w:val="false"/>
                <w:caps w:val="false"/>
                <w:smallCaps w:val="false"/>
                <w:sz w:val="24"/>
              </w:rPr>
              <w:t>in</w:t>
            </w:r>
            <w:r>
              <w:rPr>
                <w:caps w:val="false"/>
                <w:smallCaps w:val="false"/>
                <w:spacing w:val="-4"/>
              </w:rPr>
              <w:t xml:space="preserve"> </w:t>
            </w:r>
            <w:r>
              <w:rPr>
                <w:rFonts w:ascii="Times New Roman;Times;serif" w:hAnsi="Times New Roman;Times;serif"/>
                <w:b w:val="false"/>
                <w:i w:val="false"/>
                <w:caps w:val="false"/>
                <w:smallCaps w:val="false"/>
                <w:sz w:val="24"/>
              </w:rPr>
              <w:t>error</w:t>
            </w:r>
            <w:r>
              <w:rPr>
                <w:caps w:val="false"/>
                <w:smallCaps w:val="false"/>
                <w:spacing w:val="-4"/>
              </w:rPr>
              <w:t xml:space="preserve"> </w:t>
            </w:r>
            <w:r>
              <w:rPr>
                <w:rFonts w:ascii="Times New Roman;Times;serif" w:hAnsi="Times New Roman;Times;serif"/>
                <w:b w:val="false"/>
                <w:i w:val="false"/>
                <w:caps w:val="false"/>
                <w:smallCaps w:val="false"/>
                <w:sz w:val="24"/>
              </w:rPr>
              <w:t>by</w:t>
            </w:r>
            <w:r>
              <w:rPr>
                <w:caps w:val="false"/>
                <w:smallCaps w:val="false"/>
                <w:spacing w:val="-4"/>
              </w:rPr>
              <w:t xml:space="preserve"> </w:t>
            </w:r>
            <w:r>
              <w:rPr>
                <w:rFonts w:ascii="Times New Roman;Times;serif" w:hAnsi="Times New Roman;Times;serif"/>
                <w:b w:val="false"/>
                <w:i w:val="false"/>
                <w:caps w:val="false"/>
                <w:smallCaps w:val="false"/>
                <w:sz w:val="24"/>
              </w:rPr>
              <w:t>Aziyo,</w:t>
            </w:r>
            <w:r>
              <w:rPr>
                <w:caps w:val="false"/>
                <w:smallCaps w:val="false"/>
                <w:spacing w:val="-4"/>
              </w:rPr>
              <w:t xml:space="preserve"> </w:t>
            </w:r>
            <w:r>
              <w:rPr>
                <w:rFonts w:ascii="Times New Roman;Times;serif" w:hAnsi="Times New Roman;Times;serif"/>
                <w:b w:val="false"/>
                <w:i w:val="false"/>
                <w:caps w:val="false"/>
                <w:smallCaps w:val="false"/>
                <w:sz w:val="24"/>
              </w:rPr>
              <w:t>or</w:t>
            </w:r>
            <w:r>
              <w:rPr>
                <w:caps w:val="false"/>
                <w:smallCaps w:val="false"/>
                <w:spacing w:val="-4"/>
              </w:rPr>
              <w:t xml:space="preserve"> </w:t>
            </w:r>
            <w:r>
              <w:rPr>
                <w:rFonts w:ascii="Times New Roman;Times;serif" w:hAnsi="Times New Roman;Times;serif"/>
                <w:b w:val="false"/>
                <w:i w:val="false"/>
                <w:caps w:val="false"/>
                <w:smallCaps w:val="false"/>
                <w:sz w:val="24"/>
              </w:rPr>
              <w:t>if</w:t>
            </w:r>
            <w:r>
              <w:rPr>
                <w:caps w:val="false"/>
                <w:smallCaps w:val="false"/>
                <w:spacing w:val="-4"/>
              </w:rPr>
              <w:t xml:space="preserve"> </w:t>
            </w:r>
            <w:r>
              <w:rPr>
                <w:rFonts w:ascii="Times New Roman;Times;serif" w:hAnsi="Times New Roman;Times;serif"/>
                <w:b w:val="false"/>
                <w:i w:val="false"/>
                <w:caps w:val="false"/>
                <w:smallCaps w:val="false"/>
                <w:sz w:val="24"/>
              </w:rPr>
              <w:t>subject</w:t>
            </w:r>
            <w:r>
              <w:rPr>
                <w:caps w:val="false"/>
                <w:smallCaps w:val="false"/>
                <w:spacing w:val="-4"/>
              </w:rPr>
              <w:t xml:space="preserve"> </w:t>
            </w:r>
            <w:r>
              <w:rPr>
                <w:rFonts w:ascii="Times New Roman;Times;serif" w:hAnsi="Times New Roman;Times;serif"/>
                <w:b w:val="false"/>
                <w:i w:val="false"/>
                <w:caps w:val="false"/>
                <w:smallCaps w:val="false"/>
                <w:sz w:val="24"/>
              </w:rPr>
              <w:t>to</w:t>
            </w:r>
            <w:r>
              <w:rPr>
                <w:caps w:val="false"/>
                <w:smallCaps w:val="false"/>
                <w:spacing w:val="-4"/>
              </w:rPr>
              <w:t xml:space="preserve"> </w:t>
            </w:r>
            <w:r>
              <w:rPr>
                <w:rFonts w:ascii="Times New Roman;Times;serif" w:hAnsi="Times New Roman;Times;serif"/>
                <w:b w:val="false"/>
                <w:i w:val="false"/>
                <w:caps w:val="false"/>
                <w:smallCaps w:val="false"/>
                <w:sz w:val="24"/>
              </w:rPr>
              <w:t>a</w:t>
            </w:r>
            <w:r>
              <w:rPr>
                <w:caps w:val="false"/>
                <w:smallCaps w:val="false"/>
                <w:spacing w:val="-4"/>
              </w:rPr>
              <w:t xml:space="preserve"> </w:t>
            </w:r>
            <w:r>
              <w:rPr>
                <w:rFonts w:ascii="Times New Roman;Times;serif" w:hAnsi="Times New Roman;Times;serif"/>
                <w:b w:val="false"/>
                <w:i w:val="false"/>
                <w:caps w:val="false"/>
                <w:smallCaps w:val="false"/>
                <w:sz w:val="24"/>
              </w:rPr>
              <w:t>recall</w:t>
            </w:r>
            <w:r>
              <w:rPr>
                <w:caps w:val="false"/>
                <w:smallCaps w:val="false"/>
                <w:spacing w:val="-4"/>
              </w:rPr>
              <w:t xml:space="preserve"> </w:t>
            </w:r>
            <w:r>
              <w:rPr>
                <w:rFonts w:ascii="Times New Roman;Times;serif" w:hAnsi="Times New Roman;Times;serif"/>
                <w:b w:val="false"/>
                <w:i w:val="false"/>
                <w:caps w:val="false"/>
                <w:smallCaps w:val="false"/>
                <w:sz w:val="24"/>
              </w:rPr>
              <w:t>or</w:t>
            </w:r>
            <w:r>
              <w:rPr>
                <w:caps w:val="false"/>
                <w:smallCaps w:val="false"/>
                <w:spacing w:val="-4"/>
              </w:rPr>
              <w:t xml:space="preserve"> </w:t>
            </w:r>
            <w:r>
              <w:rPr>
                <w:rFonts w:ascii="Times New Roman;Times;serif" w:hAnsi="Times New Roman;Times;serif"/>
                <w:b w:val="false"/>
                <w:i w:val="false"/>
                <w:caps w:val="false"/>
                <w:smallCaps w:val="false"/>
                <w:sz w:val="24"/>
              </w:rPr>
              <w:t>field</w:t>
            </w:r>
            <w:r>
              <w:rPr>
                <w:caps w:val="false"/>
                <w:smallCaps w:val="false"/>
                <w:spacing w:val="-4"/>
              </w:rPr>
              <w:t xml:space="preserve"> </w:t>
            </w:r>
            <w:r>
              <w:rPr>
                <w:rFonts w:ascii="Times New Roman;Times;serif" w:hAnsi="Times New Roman;Times;serif"/>
                <w:b w:val="false"/>
                <w:i w:val="false"/>
                <w:caps w:val="false"/>
                <w:smallCaps w:val="false"/>
                <w:sz w:val="24"/>
              </w:rPr>
              <w:t>action.</w:t>
            </w:r>
            <w:r>
              <w:rPr>
                <w:caps w:val="false"/>
                <w:smallCaps w:val="false"/>
                <w:spacing w:val="-4"/>
              </w:rPr>
              <w:t xml:space="preserve"> </w:t>
            </w:r>
            <w:r>
              <w:rPr>
                <w:rFonts w:ascii="Times New Roman;Times;serif" w:hAnsi="Times New Roman;Times;serif"/>
                <w:b w:val="false"/>
                <w:i w:val="false"/>
                <w:caps w:val="false"/>
                <w:smallCaps w:val="false"/>
                <w:sz w:val="24"/>
              </w:rPr>
              <w:t>In</w:t>
            </w:r>
            <w:r>
              <w:rPr>
                <w:caps w:val="false"/>
                <w:smallCaps w:val="false"/>
                <w:spacing w:val="-4"/>
              </w:rPr>
              <w:t xml:space="preserve"> </w:t>
            </w:r>
            <w:r>
              <w:rPr>
                <w:rFonts w:ascii="Times New Roman;Times;serif" w:hAnsi="Times New Roman;Times;serif"/>
                <w:b w:val="false"/>
                <w:i w:val="false"/>
                <w:caps w:val="false"/>
                <w:smallCaps w:val="false"/>
                <w:sz w:val="24"/>
              </w:rPr>
              <w:t>the event</w:t>
            </w:r>
            <w:r>
              <w:rPr>
                <w:caps w:val="false"/>
                <w:smallCaps w:val="false"/>
                <w:spacing w:val="-7"/>
              </w:rPr>
              <w:t xml:space="preserve"> </w:t>
            </w:r>
            <w:r>
              <w:rPr>
                <w:rFonts w:ascii="Times New Roman;Times;serif" w:hAnsi="Times New Roman;Times;serif"/>
                <w:b w:val="false"/>
                <w:i w:val="false"/>
                <w:caps w:val="false"/>
                <w:smallCaps w:val="false"/>
                <w:sz w:val="24"/>
              </w:rPr>
              <w:t>of</w:t>
            </w:r>
            <w:r>
              <w:rPr>
                <w:caps w:val="false"/>
                <w:smallCaps w:val="false"/>
                <w:spacing w:val="-7"/>
              </w:rPr>
              <w:t xml:space="preserve"> </w:t>
            </w:r>
            <w:r>
              <w:rPr>
                <w:rFonts w:ascii="Times New Roman;Times;serif" w:hAnsi="Times New Roman;Times;serif"/>
                <w:b w:val="false"/>
                <w:i w:val="false"/>
                <w:caps w:val="false"/>
                <w:smallCaps w:val="false"/>
                <w:sz w:val="24"/>
              </w:rPr>
              <w:t>return</w:t>
            </w:r>
            <w:r>
              <w:rPr>
                <w:caps w:val="false"/>
                <w:smallCaps w:val="false"/>
                <w:spacing w:val="-7"/>
              </w:rPr>
              <w:t xml:space="preserve"> </w:t>
            </w:r>
            <w:r>
              <w:rPr>
                <w:rFonts w:ascii="Times New Roman;Times;serif" w:hAnsi="Times New Roman;Times;serif"/>
                <w:b w:val="false"/>
                <w:i w:val="false"/>
                <w:caps w:val="false"/>
                <w:smallCaps w:val="false"/>
                <w:sz w:val="24"/>
              </w:rPr>
              <w:t>of</w:t>
            </w:r>
            <w:r>
              <w:rPr>
                <w:caps w:val="false"/>
                <w:smallCaps w:val="false"/>
                <w:spacing w:val="-7"/>
              </w:rPr>
              <w:t xml:space="preserve"> </w:t>
            </w:r>
            <w:r>
              <w:rPr>
                <w:rFonts w:ascii="Times New Roman;Times;serif" w:hAnsi="Times New Roman;Times;serif"/>
                <w:b w:val="false"/>
                <w:i w:val="false"/>
                <w:caps w:val="false"/>
                <w:smallCaps w:val="false"/>
                <w:sz w:val="24"/>
              </w:rPr>
              <w:t>a</w:t>
            </w:r>
            <w:r>
              <w:rPr>
                <w:caps w:val="false"/>
                <w:smallCaps w:val="false"/>
                <w:spacing w:val="-7"/>
              </w:rPr>
              <w:t xml:space="preserve"> </w:t>
            </w:r>
            <w:r>
              <w:rPr>
                <w:rFonts w:ascii="Times New Roman;Times;serif" w:hAnsi="Times New Roman;Times;serif"/>
                <w:b w:val="false"/>
                <w:i w:val="false"/>
                <w:caps w:val="false"/>
                <w:smallCaps w:val="false"/>
                <w:sz w:val="24"/>
              </w:rPr>
              <w:t>Product</w:t>
            </w:r>
            <w:r>
              <w:rPr>
                <w:caps w:val="false"/>
                <w:smallCaps w:val="false"/>
                <w:spacing w:val="-7"/>
              </w:rPr>
              <w:t xml:space="preserve"> </w:t>
            </w:r>
            <w:r>
              <w:rPr>
                <w:rFonts w:ascii="Times New Roman;Times;serif" w:hAnsi="Times New Roman;Times;serif"/>
                <w:b w:val="false"/>
                <w:i w:val="false"/>
                <w:caps w:val="false"/>
                <w:smallCaps w:val="false"/>
                <w:sz w:val="24"/>
              </w:rPr>
              <w:t>purchased</w:t>
            </w:r>
            <w:r>
              <w:rPr>
                <w:caps w:val="false"/>
                <w:smallCaps w:val="false"/>
                <w:spacing w:val="-7"/>
              </w:rPr>
              <w:t xml:space="preserve"> </w:t>
            </w:r>
            <w:r>
              <w:rPr>
                <w:rFonts w:ascii="Times New Roman;Times;serif" w:hAnsi="Times New Roman;Times;serif"/>
                <w:b w:val="false"/>
                <w:i w:val="false"/>
                <w:caps w:val="false"/>
                <w:smallCaps w:val="false"/>
                <w:sz w:val="24"/>
              </w:rPr>
              <w:t>hereunder,</w:t>
            </w:r>
            <w:r>
              <w:rPr>
                <w:caps w:val="false"/>
                <w:smallCaps w:val="false"/>
                <w:spacing w:val="-7"/>
              </w:rPr>
              <w:t xml:space="preserve"> </w:t>
            </w:r>
            <w:r>
              <w:rPr>
                <w:rFonts w:ascii="Times New Roman;Times;serif" w:hAnsi="Times New Roman;Times;serif"/>
                <w:b w:val="false"/>
                <w:i w:val="false"/>
                <w:caps w:val="false"/>
                <w:smallCaps w:val="false"/>
                <w:sz w:val="24"/>
              </w:rPr>
              <w:t>Aziyo</w:t>
            </w:r>
            <w:r>
              <w:rPr>
                <w:caps w:val="false"/>
                <w:smallCaps w:val="false"/>
                <w:spacing w:val="-7"/>
              </w:rPr>
              <w:t xml:space="preserve"> </w:t>
            </w:r>
            <w:r>
              <w:rPr>
                <w:rFonts w:ascii="Times New Roman;Times;serif" w:hAnsi="Times New Roman;Times;serif"/>
                <w:b w:val="false"/>
                <w:i w:val="false"/>
                <w:caps w:val="false"/>
                <w:smallCaps w:val="false"/>
                <w:sz w:val="24"/>
              </w:rPr>
              <w:t>shall</w:t>
            </w:r>
            <w:r>
              <w:rPr>
                <w:caps w:val="false"/>
                <w:smallCaps w:val="false"/>
                <w:spacing w:val="-7"/>
              </w:rPr>
              <w:t xml:space="preserve"> </w:t>
            </w:r>
            <w:r>
              <w:rPr>
                <w:rFonts w:ascii="Times New Roman;Times;serif" w:hAnsi="Times New Roman;Times;serif"/>
                <w:b w:val="false"/>
                <w:i w:val="false"/>
                <w:caps w:val="false"/>
                <w:smallCaps w:val="false"/>
                <w:sz w:val="24"/>
              </w:rPr>
              <w:t>(i)</w:t>
            </w:r>
            <w:r>
              <w:rPr>
                <w:caps w:val="false"/>
                <w:smallCaps w:val="false"/>
                <w:spacing w:val="-7"/>
              </w:rPr>
              <w:t xml:space="preserve"> </w:t>
            </w:r>
            <w:r>
              <w:rPr>
                <w:rFonts w:ascii="Times New Roman;Times;serif" w:hAnsi="Times New Roman;Times;serif"/>
                <w:b w:val="false"/>
                <w:i w:val="false"/>
                <w:caps w:val="false"/>
                <w:smallCaps w:val="false"/>
                <w:sz w:val="24"/>
              </w:rPr>
              <w:t>replace</w:t>
            </w:r>
            <w:r>
              <w:rPr>
                <w:caps w:val="false"/>
                <w:smallCaps w:val="false"/>
                <w:spacing w:val="-7"/>
              </w:rPr>
              <w:t xml:space="preserve"> </w:t>
            </w:r>
            <w:r>
              <w:rPr>
                <w:rFonts w:ascii="Times New Roman;Times;serif" w:hAnsi="Times New Roman;Times;serif"/>
                <w:b w:val="false"/>
                <w:i w:val="false"/>
                <w:caps w:val="false"/>
                <w:smallCaps w:val="false"/>
                <w:sz w:val="24"/>
              </w:rPr>
              <w:t>the</w:t>
            </w:r>
            <w:r>
              <w:rPr>
                <w:caps w:val="false"/>
                <w:smallCaps w:val="false"/>
                <w:spacing w:val="-7"/>
              </w:rPr>
              <w:t xml:space="preserve"> </w:t>
            </w:r>
            <w:r>
              <w:rPr>
                <w:rFonts w:ascii="Times New Roman;Times;serif" w:hAnsi="Times New Roman;Times;serif"/>
                <w:b w:val="false"/>
                <w:i w:val="false"/>
                <w:caps w:val="false"/>
                <w:smallCaps w:val="false"/>
                <w:sz w:val="24"/>
              </w:rPr>
              <w:t>Product</w:t>
            </w:r>
            <w:r>
              <w:rPr>
                <w:caps w:val="false"/>
                <w:smallCaps w:val="false"/>
                <w:spacing w:val="-7"/>
              </w:rPr>
              <w:t xml:space="preserve"> </w:t>
            </w:r>
            <w:r>
              <w:rPr>
                <w:rFonts w:ascii="Times New Roman;Times;serif" w:hAnsi="Times New Roman;Times;serif"/>
                <w:b w:val="false"/>
                <w:i w:val="false"/>
                <w:caps w:val="false"/>
                <w:smallCaps w:val="false"/>
                <w:sz w:val="24"/>
              </w:rPr>
              <w:t>at</w:t>
            </w:r>
            <w:r>
              <w:rPr>
                <w:caps w:val="false"/>
                <w:smallCaps w:val="false"/>
                <w:spacing w:val="-7"/>
              </w:rPr>
              <w:t xml:space="preserve"> </w:t>
            </w:r>
            <w:r>
              <w:rPr>
                <w:rFonts w:ascii="Times New Roman;Times;serif" w:hAnsi="Times New Roman;Times;serif"/>
                <w:b w:val="false"/>
                <w:i w:val="false"/>
                <w:caps w:val="false"/>
                <w:smallCaps w:val="false"/>
                <w:sz w:val="24"/>
              </w:rPr>
              <w:t>its</w:t>
            </w:r>
            <w:r>
              <w:rPr>
                <w:caps w:val="false"/>
                <w:smallCaps w:val="false"/>
                <w:spacing w:val="-7"/>
              </w:rPr>
              <w:t xml:space="preserve"> </w:t>
            </w:r>
            <w:r>
              <w:rPr>
                <w:rFonts w:ascii="Times New Roman;Times;serif" w:hAnsi="Times New Roman;Times;serif"/>
                <w:b w:val="false"/>
                <w:i w:val="false"/>
                <w:caps w:val="false"/>
                <w:smallCaps w:val="false"/>
                <w:sz w:val="24"/>
              </w:rPr>
              <w:t>sole expense; or (ii) refund the full Product Price for the returned Product plus the costs of freight borne</w:t>
            </w:r>
            <w:r>
              <w:rPr>
                <w:caps w:val="false"/>
                <w:smallCaps w:val="false"/>
                <w:spacing w:val="-5"/>
              </w:rPr>
              <w:t xml:space="preserve"> </w:t>
            </w:r>
            <w:r>
              <w:rPr>
                <w:rFonts w:ascii="Times New Roman;Times;serif" w:hAnsi="Times New Roman;Times;serif"/>
                <w:b w:val="false"/>
                <w:i w:val="false"/>
                <w:caps w:val="false"/>
                <w:smallCaps w:val="false"/>
                <w:sz w:val="24"/>
              </w:rPr>
              <w:t>by</w:t>
            </w:r>
            <w:r>
              <w:rPr>
                <w:caps w:val="false"/>
                <w:smallCaps w:val="false"/>
                <w:spacing w:val="-5"/>
              </w:rPr>
              <w:t xml:space="preserve"> </w:t>
            </w:r>
            <w:r>
              <w:rPr>
                <w:rFonts w:ascii="Times New Roman;Times;serif" w:hAnsi="Times New Roman;Times;serif"/>
                <w:b w:val="false"/>
                <w:i w:val="false"/>
                <w:caps w:val="false"/>
                <w:smallCaps w:val="false"/>
                <w:sz w:val="24"/>
              </w:rPr>
              <w:t>Company</w:t>
            </w:r>
            <w:r>
              <w:rPr>
                <w:caps w:val="false"/>
                <w:smallCaps w:val="false"/>
                <w:spacing w:val="-5"/>
              </w:rPr>
              <w:t xml:space="preserve"> </w:t>
            </w:r>
            <w:r>
              <w:rPr>
                <w:rFonts w:ascii="Times New Roman;Times;serif" w:hAnsi="Times New Roman;Times;serif"/>
                <w:b w:val="false"/>
                <w:i w:val="false"/>
                <w:caps w:val="false"/>
                <w:smallCaps w:val="false"/>
                <w:sz w:val="24"/>
              </w:rPr>
              <w:t>(if</w:t>
            </w:r>
            <w:r>
              <w:rPr>
                <w:caps w:val="false"/>
                <w:smallCaps w:val="false"/>
                <w:spacing w:val="-5"/>
              </w:rPr>
              <w:t xml:space="preserve"> </w:t>
            </w:r>
            <w:r>
              <w:rPr>
                <w:rFonts w:ascii="Times New Roman;Times;serif" w:hAnsi="Times New Roman;Times;serif"/>
                <w:b w:val="false"/>
                <w:i w:val="false"/>
                <w:caps w:val="false"/>
                <w:smallCaps w:val="false"/>
                <w:sz w:val="24"/>
              </w:rPr>
              <w:t>borne</w:t>
            </w:r>
            <w:r>
              <w:rPr>
                <w:caps w:val="false"/>
                <w:smallCaps w:val="false"/>
                <w:spacing w:val="-5"/>
              </w:rPr>
              <w:t xml:space="preserve"> </w:t>
            </w:r>
            <w:r>
              <w:rPr>
                <w:rFonts w:ascii="Times New Roman;Times;serif" w:hAnsi="Times New Roman;Times;serif"/>
                <w:b w:val="false"/>
                <w:i w:val="false"/>
                <w:caps w:val="false"/>
                <w:smallCaps w:val="false"/>
                <w:sz w:val="24"/>
              </w:rPr>
              <w:t>by</w:t>
            </w:r>
            <w:r>
              <w:rPr>
                <w:caps w:val="false"/>
                <w:smallCaps w:val="false"/>
                <w:spacing w:val="-5"/>
              </w:rPr>
              <w:t xml:space="preserve"> </w:t>
            </w:r>
            <w:r>
              <w:rPr>
                <w:rFonts w:ascii="Times New Roman;Times;serif" w:hAnsi="Times New Roman;Times;serif"/>
                <w:b w:val="false"/>
                <w:i w:val="false"/>
                <w:caps w:val="false"/>
                <w:smallCaps w:val="false"/>
                <w:sz w:val="24"/>
              </w:rPr>
              <w:t>Company)</w:t>
            </w:r>
            <w:r>
              <w:rPr>
                <w:caps w:val="false"/>
                <w:smallCaps w:val="false"/>
                <w:spacing w:val="-5"/>
              </w:rPr>
              <w:t xml:space="preserve"> </w:t>
            </w:r>
            <w:r>
              <w:rPr>
                <w:rFonts w:ascii="Times New Roman;Times;serif" w:hAnsi="Times New Roman;Times;serif"/>
                <w:b w:val="false"/>
                <w:i w:val="false"/>
                <w:caps w:val="false"/>
                <w:smallCaps w:val="false"/>
                <w:sz w:val="24"/>
              </w:rPr>
              <w:t>to</w:t>
            </w:r>
            <w:r>
              <w:rPr>
                <w:caps w:val="false"/>
                <w:smallCaps w:val="false"/>
                <w:spacing w:val="-5"/>
              </w:rPr>
              <w:t xml:space="preserve"> </w:t>
            </w:r>
            <w:r>
              <w:rPr>
                <w:rFonts w:ascii="Times New Roman;Times;serif" w:hAnsi="Times New Roman;Times;serif"/>
                <w:b w:val="false"/>
                <w:i w:val="false"/>
                <w:caps w:val="false"/>
                <w:smallCaps w:val="false"/>
                <w:sz w:val="24"/>
              </w:rPr>
              <w:t>return</w:t>
            </w:r>
            <w:r>
              <w:rPr>
                <w:caps w:val="false"/>
                <w:smallCaps w:val="false"/>
                <w:spacing w:val="-5"/>
              </w:rPr>
              <w:t xml:space="preserve"> </w:t>
            </w:r>
            <w:r>
              <w:rPr>
                <w:rFonts w:ascii="Times New Roman;Times;serif" w:hAnsi="Times New Roman;Times;serif"/>
                <w:b w:val="false"/>
                <w:i w:val="false"/>
                <w:caps w:val="false"/>
                <w:smallCaps w:val="false"/>
                <w:sz w:val="24"/>
              </w:rPr>
              <w:t>the</w:t>
            </w:r>
            <w:r>
              <w:rPr>
                <w:caps w:val="false"/>
                <w:smallCaps w:val="false"/>
                <w:spacing w:val="-5"/>
              </w:rPr>
              <w:t xml:space="preserve"> </w:t>
            </w:r>
            <w:r>
              <w:rPr>
                <w:rFonts w:ascii="Times New Roman;Times;serif" w:hAnsi="Times New Roman;Times;serif"/>
                <w:b w:val="false"/>
                <w:i w:val="false"/>
                <w:caps w:val="false"/>
                <w:smallCaps w:val="false"/>
                <w:sz w:val="24"/>
              </w:rPr>
              <w:t>Product;</w:t>
            </w:r>
            <w:r>
              <w:rPr>
                <w:caps w:val="false"/>
                <w:smallCaps w:val="false"/>
                <w:spacing w:val="-5"/>
              </w:rPr>
              <w:t xml:space="preserve"> </w:t>
            </w:r>
            <w:r>
              <w:rPr>
                <w:rFonts w:ascii="Times New Roman;Times;serif" w:hAnsi="Times New Roman;Times;serif"/>
                <w:b w:val="false"/>
                <w:i w:val="false"/>
                <w:caps w:val="false"/>
                <w:smallCaps w:val="false"/>
                <w:sz w:val="24"/>
              </w:rPr>
              <w:t>provided,</w:t>
            </w:r>
            <w:r>
              <w:rPr>
                <w:caps w:val="false"/>
                <w:smallCaps w:val="false"/>
                <w:spacing w:val="-5"/>
              </w:rPr>
              <w:t xml:space="preserve"> </w:t>
            </w:r>
            <w:r>
              <w:rPr>
                <w:rFonts w:ascii="Times New Roman;Times;serif" w:hAnsi="Times New Roman;Times;serif"/>
                <w:b w:val="false"/>
                <w:i w:val="false"/>
                <w:caps w:val="false"/>
                <w:smallCaps w:val="false"/>
                <w:sz w:val="24"/>
              </w:rPr>
              <w:t>however,</w:t>
            </w:r>
            <w:r>
              <w:rPr>
                <w:caps w:val="false"/>
                <w:smallCaps w:val="false"/>
                <w:spacing w:val="-5"/>
              </w:rPr>
              <w:t xml:space="preserve"> </w:t>
            </w:r>
            <w:r>
              <w:rPr>
                <w:rFonts w:ascii="Times New Roman;Times;serif" w:hAnsi="Times New Roman;Times;serif"/>
                <w:b w:val="false"/>
                <w:i w:val="false"/>
                <w:caps w:val="false"/>
                <w:smallCaps w:val="false"/>
                <w:sz w:val="24"/>
              </w:rPr>
              <w:t>that</w:t>
            </w:r>
            <w:r>
              <w:rPr>
                <w:caps w:val="false"/>
                <w:smallCaps w:val="false"/>
                <w:spacing w:val="-5"/>
              </w:rPr>
              <w:t xml:space="preserve"> </w:t>
            </w:r>
            <w:r>
              <w:rPr>
                <w:rFonts w:ascii="Times New Roman;Times;serif" w:hAnsi="Times New Roman;Times;serif"/>
                <w:b w:val="false"/>
                <w:i w:val="false"/>
                <w:caps w:val="false"/>
                <w:smallCaps w:val="false"/>
                <w:sz w:val="24"/>
              </w:rPr>
              <w:t>after the expiration or earlier termination of this Agreement, Aziyo will perform option (ii). To return a Product, Company shall notify Aziyo in writing or by email of its rejection with detailed explanation and request a Returned Goods Authorization ("RGA") number. Upon issuance of a Return Goods Authorization (RGA) number by Aziyo, which shall not be unreasonably withheld, Company may then return the applicable Product(s) to Aziyo, freight prepaid</w:t>
            </w:r>
            <w:r>
              <w:rPr>
                <w:caps w:val="false"/>
                <w:smallCaps w:val="false"/>
                <w:spacing w:val="-10"/>
              </w:rPr>
              <w:t xml:space="preserve"> </w:t>
            </w:r>
            <w:r>
              <w:rPr>
                <w:rFonts w:ascii="Times New Roman;Times;serif" w:hAnsi="Times New Roman;Times;serif"/>
                <w:b w:val="false"/>
                <w:i w:val="false"/>
                <w:caps w:val="false"/>
                <w:smallCaps w:val="false"/>
                <w:sz w:val="24"/>
              </w:rPr>
              <w:t>by</w:t>
            </w:r>
            <w:r>
              <w:rPr>
                <w:caps w:val="false"/>
                <w:smallCaps w:val="false"/>
                <w:spacing w:val="-10"/>
              </w:rPr>
              <w:t xml:space="preserve"> </w:t>
            </w:r>
            <w:r>
              <w:rPr>
                <w:rFonts w:ascii="Times New Roman;Times;serif" w:hAnsi="Times New Roman;Times;serif"/>
                <w:b w:val="false"/>
                <w:i w:val="false"/>
                <w:caps w:val="false"/>
                <w:smallCaps w:val="false"/>
                <w:sz w:val="24"/>
              </w:rPr>
              <w:t>Aziyo,</w:t>
            </w:r>
            <w:r>
              <w:rPr>
                <w:caps w:val="false"/>
                <w:smallCaps w:val="false"/>
                <w:spacing w:val="-10"/>
              </w:rPr>
              <w:t xml:space="preserve"> </w:t>
            </w:r>
            <w:r>
              <w:rPr>
                <w:rFonts w:ascii="Times New Roman;Times;serif" w:hAnsi="Times New Roman;Times;serif"/>
                <w:b w:val="false"/>
                <w:i w:val="false"/>
                <w:caps w:val="false"/>
                <w:smallCaps w:val="false"/>
                <w:sz w:val="24"/>
              </w:rPr>
              <w:t>within</w:t>
            </w:r>
            <w:r>
              <w:rPr>
                <w:caps w:val="false"/>
                <w:smallCaps w:val="false"/>
                <w:spacing w:val="-10"/>
              </w:rPr>
              <w:t xml:space="preserve"> </w:t>
            </w:r>
            <w:r>
              <w:rPr>
                <w:rFonts w:ascii="Times New Roman;Times;serif" w:hAnsi="Times New Roman;Times;serif"/>
                <w:b w:val="false"/>
                <w:i w:val="false"/>
                <w:caps w:val="false"/>
                <w:smallCaps w:val="false"/>
                <w:sz w:val="24"/>
              </w:rPr>
              <w:t>thirty</w:t>
            </w:r>
            <w:r>
              <w:rPr>
                <w:caps w:val="false"/>
                <w:smallCaps w:val="false"/>
                <w:spacing w:val="-10"/>
              </w:rPr>
              <w:t xml:space="preserve"> </w:t>
            </w:r>
            <w:r>
              <w:rPr>
                <w:rFonts w:ascii="Times New Roman;Times;serif" w:hAnsi="Times New Roman;Times;serif"/>
                <w:b w:val="false"/>
                <w:i w:val="false"/>
                <w:caps w:val="false"/>
                <w:smallCaps w:val="false"/>
                <w:sz w:val="24"/>
              </w:rPr>
              <w:t>(30)</w:t>
            </w:r>
            <w:r>
              <w:rPr>
                <w:caps w:val="false"/>
                <w:smallCaps w:val="false"/>
                <w:spacing w:val="-10"/>
              </w:rPr>
              <w:t xml:space="preserve"> </w:t>
            </w:r>
            <w:r>
              <w:rPr>
                <w:rFonts w:ascii="Times New Roman;Times;serif" w:hAnsi="Times New Roman;Times;serif"/>
                <w:b w:val="false"/>
                <w:i w:val="false"/>
                <w:caps w:val="false"/>
                <w:smallCaps w:val="false"/>
                <w:sz w:val="24"/>
              </w:rPr>
              <w:t>days</w:t>
            </w:r>
            <w:r>
              <w:rPr>
                <w:caps w:val="false"/>
                <w:smallCaps w:val="false"/>
                <w:spacing w:val="-10"/>
              </w:rPr>
              <w:t xml:space="preserve"> </w:t>
            </w:r>
            <w:r>
              <w:rPr>
                <w:rFonts w:ascii="Times New Roman;Times;serif" w:hAnsi="Times New Roman;Times;serif"/>
                <w:b w:val="false"/>
                <w:i w:val="false"/>
                <w:caps w:val="false"/>
                <w:smallCaps w:val="false"/>
                <w:sz w:val="24"/>
              </w:rPr>
              <w:t>of</w:t>
            </w:r>
            <w:r>
              <w:rPr>
                <w:caps w:val="false"/>
                <w:smallCaps w:val="false"/>
                <w:spacing w:val="-10"/>
              </w:rPr>
              <w:t xml:space="preserve"> </w:t>
            </w:r>
            <w:r>
              <w:rPr>
                <w:rFonts w:ascii="Times New Roman;Times;serif" w:hAnsi="Times New Roman;Times;serif"/>
                <w:b w:val="false"/>
                <w:i w:val="false"/>
                <w:caps w:val="false"/>
                <w:smallCaps w:val="false"/>
                <w:sz w:val="24"/>
              </w:rPr>
              <w:t>the</w:t>
            </w:r>
            <w:r>
              <w:rPr>
                <w:caps w:val="false"/>
                <w:smallCaps w:val="false"/>
                <w:spacing w:val="-10"/>
              </w:rPr>
              <w:t xml:space="preserve"> </w:t>
            </w:r>
            <w:r>
              <w:rPr>
                <w:rFonts w:ascii="Times New Roman;Times;serif" w:hAnsi="Times New Roman;Times;serif"/>
                <w:b w:val="false"/>
                <w:i w:val="false"/>
                <w:caps w:val="false"/>
                <w:smallCaps w:val="false"/>
                <w:sz w:val="24"/>
              </w:rPr>
              <w:t>date</w:t>
            </w:r>
            <w:r>
              <w:rPr>
                <w:caps w:val="false"/>
                <w:smallCaps w:val="false"/>
                <w:spacing w:val="-10"/>
              </w:rPr>
              <w:t xml:space="preserve"> </w:t>
            </w:r>
            <w:r>
              <w:rPr>
                <w:rFonts w:ascii="Times New Roman;Times;serif" w:hAnsi="Times New Roman;Times;serif"/>
                <w:b w:val="false"/>
                <w:i w:val="false"/>
                <w:caps w:val="false"/>
                <w:smallCaps w:val="false"/>
                <w:sz w:val="24"/>
              </w:rPr>
              <w:t>of</w:t>
            </w:r>
            <w:r>
              <w:rPr>
                <w:caps w:val="false"/>
                <w:smallCaps w:val="false"/>
                <w:spacing w:val="-10"/>
              </w:rPr>
              <w:t xml:space="preserve"> </w:t>
            </w:r>
            <w:r>
              <w:rPr>
                <w:rFonts w:ascii="Times New Roman;Times;serif" w:hAnsi="Times New Roman;Times;serif"/>
                <w:b w:val="false"/>
                <w:i w:val="false"/>
                <w:caps w:val="false"/>
                <w:smallCaps w:val="false"/>
                <w:sz w:val="24"/>
              </w:rPr>
              <w:t>issuance</w:t>
            </w:r>
            <w:r>
              <w:rPr>
                <w:caps w:val="false"/>
                <w:smallCaps w:val="false"/>
                <w:spacing w:val="-10"/>
              </w:rPr>
              <w:t xml:space="preserve"> </w:t>
            </w:r>
            <w:r>
              <w:rPr>
                <w:rFonts w:ascii="Times New Roman;Times;serif" w:hAnsi="Times New Roman;Times;serif"/>
                <w:b w:val="false"/>
                <w:i w:val="false"/>
                <w:caps w:val="false"/>
                <w:smallCaps w:val="false"/>
                <w:sz w:val="24"/>
              </w:rPr>
              <w:t>of</w:t>
            </w:r>
            <w:r>
              <w:rPr>
                <w:caps w:val="false"/>
                <w:smallCaps w:val="false"/>
                <w:spacing w:val="-10"/>
              </w:rPr>
              <w:t xml:space="preserve"> </w:t>
            </w:r>
            <w:r>
              <w:rPr>
                <w:rFonts w:ascii="Times New Roman;Times;serif" w:hAnsi="Times New Roman;Times;serif"/>
                <w:b w:val="false"/>
                <w:i w:val="false"/>
                <w:caps w:val="false"/>
                <w:smallCaps w:val="false"/>
                <w:sz w:val="24"/>
              </w:rPr>
              <w:t>the</w:t>
            </w:r>
            <w:r>
              <w:rPr>
                <w:caps w:val="false"/>
                <w:smallCaps w:val="false"/>
                <w:spacing w:val="-10"/>
              </w:rPr>
              <w:t xml:space="preserve"> </w:t>
            </w:r>
            <w:r>
              <w:rPr>
                <w:rFonts w:ascii="Times New Roman;Times;serif" w:hAnsi="Times New Roman;Times;serif"/>
                <w:b w:val="false"/>
                <w:i w:val="false"/>
                <w:caps w:val="false"/>
                <w:smallCaps w:val="false"/>
                <w:sz w:val="24"/>
              </w:rPr>
              <w:t>RGA.</w:t>
            </w:r>
            <w:r>
              <w:rPr>
                <w:caps w:val="false"/>
                <w:smallCaps w:val="false"/>
                <w:spacing w:val="-10"/>
              </w:rPr>
              <w:t xml:space="preserve"> </w:t>
            </w:r>
            <w:r>
              <w:rPr>
                <w:rFonts w:ascii="Times New Roman;Times;serif" w:hAnsi="Times New Roman;Times;serif"/>
                <w:b w:val="false"/>
                <w:i w:val="false"/>
                <w:caps w:val="false"/>
                <w:smallCaps w:val="false"/>
                <w:sz w:val="24"/>
              </w:rPr>
              <w:t>The</w:t>
            </w:r>
            <w:r>
              <w:rPr>
                <w:caps w:val="false"/>
                <w:smallCaps w:val="false"/>
                <w:spacing w:val="-10"/>
              </w:rPr>
              <w:t xml:space="preserve"> </w:t>
            </w:r>
            <w:r>
              <w:rPr>
                <w:rFonts w:ascii="Times New Roman;Times;serif" w:hAnsi="Times New Roman;Times;serif"/>
                <w:b w:val="false"/>
                <w:i w:val="false"/>
                <w:caps w:val="false"/>
                <w:smallCaps w:val="false"/>
                <w:sz w:val="24"/>
              </w:rPr>
              <w:t>Product</w:t>
            </w:r>
            <w:r>
              <w:rPr>
                <w:caps w:val="false"/>
                <w:smallCaps w:val="false"/>
                <w:spacing w:val="-10"/>
              </w:rPr>
              <w:t xml:space="preserve"> </w:t>
            </w:r>
            <w:r>
              <w:rPr>
                <w:rFonts w:ascii="Times New Roman;Times;serif" w:hAnsi="Times New Roman;Times;serif"/>
                <w:b w:val="false"/>
                <w:i w:val="false"/>
                <w:caps w:val="false"/>
                <w:smallCaps w:val="false"/>
                <w:sz w:val="24"/>
              </w:rPr>
              <w:t>must be returned in its original shipping carton, if unused, with the RGA number included on the outside</w:t>
            </w:r>
            <w:r>
              <w:rPr>
                <w:caps w:val="false"/>
                <w:smallCaps w:val="false"/>
                <w:spacing w:val="-9"/>
              </w:rPr>
              <w:t xml:space="preserve"> </w:t>
            </w:r>
            <w:r>
              <w:rPr>
                <w:rFonts w:ascii="Times New Roman;Times;serif" w:hAnsi="Times New Roman;Times;serif"/>
                <w:b w:val="false"/>
                <w:i w:val="false"/>
                <w:caps w:val="false"/>
                <w:smallCaps w:val="false"/>
                <w:sz w:val="24"/>
              </w:rPr>
              <w:t>of</w:t>
            </w:r>
            <w:r>
              <w:rPr>
                <w:caps w:val="false"/>
                <w:smallCaps w:val="false"/>
                <w:spacing w:val="-9"/>
              </w:rPr>
              <w:t xml:space="preserve"> </w:t>
            </w:r>
            <w:r>
              <w:rPr>
                <w:rFonts w:ascii="Times New Roman;Times;serif" w:hAnsi="Times New Roman;Times;serif"/>
                <w:b w:val="false"/>
                <w:i w:val="false"/>
                <w:caps w:val="false"/>
                <w:smallCaps w:val="false"/>
                <w:sz w:val="24"/>
              </w:rPr>
              <w:t>the</w:t>
            </w:r>
            <w:r>
              <w:rPr>
                <w:caps w:val="false"/>
                <w:smallCaps w:val="false"/>
                <w:spacing w:val="-9"/>
              </w:rPr>
              <w:t xml:space="preserve"> </w:t>
            </w:r>
            <w:r>
              <w:rPr>
                <w:rFonts w:ascii="Times New Roman;Times;serif" w:hAnsi="Times New Roman;Times;serif"/>
                <w:b w:val="false"/>
                <w:i w:val="false"/>
                <w:caps w:val="false"/>
                <w:smallCaps w:val="false"/>
                <w:sz w:val="24"/>
              </w:rPr>
              <w:t>shipping</w:t>
            </w:r>
            <w:r>
              <w:rPr>
                <w:caps w:val="false"/>
                <w:smallCaps w:val="false"/>
                <w:spacing w:val="-9"/>
              </w:rPr>
              <w:t xml:space="preserve"> </w:t>
            </w:r>
            <w:r>
              <w:rPr>
                <w:rFonts w:ascii="Times New Roman;Times;serif" w:hAnsi="Times New Roman;Times;serif"/>
                <w:b w:val="false"/>
                <w:i w:val="false"/>
                <w:caps w:val="false"/>
                <w:smallCaps w:val="false"/>
                <w:sz w:val="24"/>
              </w:rPr>
              <w:t>carton</w:t>
            </w:r>
            <w:r>
              <w:rPr>
                <w:caps w:val="false"/>
                <w:smallCaps w:val="false"/>
                <w:spacing w:val="-9"/>
              </w:rPr>
              <w:t xml:space="preserve"> </w:t>
            </w:r>
            <w:r>
              <w:rPr>
                <w:rFonts w:ascii="Times New Roman;Times;serif" w:hAnsi="Times New Roman;Times;serif"/>
                <w:b w:val="false"/>
                <w:i w:val="false"/>
                <w:caps w:val="false"/>
                <w:smallCaps w:val="false"/>
                <w:sz w:val="24"/>
              </w:rPr>
              <w:t>to</w:t>
            </w:r>
            <w:r>
              <w:rPr>
                <w:caps w:val="false"/>
                <w:smallCaps w:val="false"/>
                <w:spacing w:val="-9"/>
              </w:rPr>
              <w:t xml:space="preserve"> </w:t>
            </w:r>
            <w:r>
              <w:rPr>
                <w:rFonts w:ascii="Times New Roman;Times;serif" w:hAnsi="Times New Roman;Times;serif"/>
                <w:b w:val="false"/>
                <w:i w:val="false"/>
                <w:caps w:val="false"/>
                <w:smallCaps w:val="false"/>
                <w:sz w:val="24"/>
              </w:rPr>
              <w:t>receive</w:t>
            </w:r>
            <w:r>
              <w:rPr>
                <w:caps w:val="false"/>
                <w:smallCaps w:val="false"/>
                <w:spacing w:val="-9"/>
              </w:rPr>
              <w:t xml:space="preserve"> </w:t>
            </w:r>
            <w:r>
              <w:rPr>
                <w:rFonts w:ascii="Times New Roman;Times;serif" w:hAnsi="Times New Roman;Times;serif"/>
                <w:b w:val="false"/>
                <w:i w:val="false"/>
                <w:caps w:val="false"/>
                <w:smallCaps w:val="false"/>
                <w:sz w:val="24"/>
              </w:rPr>
              <w:t>credit,</w:t>
            </w:r>
            <w:r>
              <w:rPr>
                <w:caps w:val="false"/>
                <w:smallCaps w:val="false"/>
                <w:spacing w:val="-9"/>
              </w:rPr>
              <w:t xml:space="preserve"> </w:t>
            </w:r>
            <w:r>
              <w:rPr>
                <w:rFonts w:ascii="Times New Roman;Times;serif" w:hAnsi="Times New Roman;Times;serif"/>
                <w:b w:val="false"/>
                <w:i w:val="false"/>
                <w:caps w:val="false"/>
                <w:smallCaps w:val="false"/>
                <w:sz w:val="24"/>
              </w:rPr>
              <w:t>refund,</w:t>
            </w:r>
            <w:r>
              <w:rPr>
                <w:caps w:val="false"/>
                <w:smallCaps w:val="false"/>
                <w:spacing w:val="-9"/>
              </w:rPr>
              <w:t xml:space="preserve"> </w:t>
            </w:r>
            <w:r>
              <w:rPr>
                <w:rFonts w:ascii="Times New Roman;Times;serif" w:hAnsi="Times New Roman;Times;serif"/>
                <w:b w:val="false"/>
                <w:i w:val="false"/>
                <w:caps w:val="false"/>
                <w:smallCaps w:val="false"/>
                <w:sz w:val="24"/>
              </w:rPr>
              <w:t>or</w:t>
            </w:r>
            <w:r>
              <w:rPr>
                <w:caps w:val="false"/>
                <w:smallCaps w:val="false"/>
                <w:spacing w:val="-9"/>
              </w:rPr>
              <w:t xml:space="preserve"> </w:t>
            </w:r>
            <w:r>
              <w:rPr>
                <w:rFonts w:ascii="Times New Roman;Times;serif" w:hAnsi="Times New Roman;Times;serif"/>
                <w:b w:val="false"/>
                <w:i w:val="false"/>
                <w:caps w:val="false"/>
                <w:smallCaps w:val="false"/>
                <w:sz w:val="24"/>
              </w:rPr>
              <w:t>replacement.</w:t>
            </w:r>
            <w:r>
              <w:rPr>
                <w:caps w:val="false"/>
                <w:smallCaps w:val="false"/>
                <w:spacing w:val="-9"/>
              </w:rPr>
              <w:t xml:space="preserve"> </w:t>
            </w:r>
            <w:r>
              <w:rPr>
                <w:rFonts w:ascii="Times New Roman;Times;serif" w:hAnsi="Times New Roman;Times;serif"/>
                <w:b w:val="false"/>
                <w:i w:val="false"/>
                <w:caps w:val="false"/>
                <w:smallCaps w:val="false"/>
                <w:sz w:val="24"/>
              </w:rPr>
              <w:t>Credit</w:t>
            </w:r>
            <w:r>
              <w:rPr>
                <w:caps w:val="false"/>
                <w:smallCaps w:val="false"/>
                <w:spacing w:val="-9"/>
              </w:rPr>
              <w:t xml:space="preserve"> </w:t>
            </w:r>
            <w:r>
              <w:rPr>
                <w:rFonts w:ascii="Times New Roman;Times;serif" w:hAnsi="Times New Roman;Times;serif"/>
                <w:b w:val="false"/>
                <w:i w:val="false"/>
                <w:caps w:val="false"/>
                <w:smallCaps w:val="false"/>
                <w:sz w:val="24"/>
              </w:rPr>
              <w:t>value</w:t>
            </w:r>
            <w:r>
              <w:rPr>
                <w:caps w:val="false"/>
                <w:smallCaps w:val="false"/>
                <w:spacing w:val="-9"/>
              </w:rPr>
              <w:t xml:space="preserve"> </w:t>
            </w:r>
            <w:r>
              <w:rPr>
                <w:rFonts w:ascii="Times New Roman;Times;serif" w:hAnsi="Times New Roman;Times;serif"/>
                <w:b w:val="false"/>
                <w:i w:val="false"/>
                <w:caps w:val="false"/>
                <w:smallCaps w:val="false"/>
                <w:sz w:val="24"/>
              </w:rPr>
              <w:t>at</w:t>
            </w:r>
            <w:r>
              <w:rPr>
                <w:caps w:val="false"/>
                <w:smallCaps w:val="false"/>
                <w:spacing w:val="-9"/>
              </w:rPr>
              <w:t xml:space="preserve"> </w:t>
            </w:r>
            <w:r>
              <w:rPr>
                <w:rFonts w:ascii="Times New Roman;Times;serif" w:hAnsi="Times New Roman;Times;serif"/>
                <w:b w:val="false"/>
                <w:i w:val="false"/>
                <w:caps w:val="false"/>
                <w:smallCaps w:val="false"/>
                <w:sz w:val="24"/>
              </w:rPr>
              <w:t>the</w:t>
            </w:r>
            <w:r>
              <w:rPr>
                <w:caps w:val="false"/>
                <w:smallCaps w:val="false"/>
                <w:spacing w:val="-9"/>
              </w:rPr>
              <w:t xml:space="preserve"> </w:t>
            </w:r>
            <w:r>
              <w:rPr>
                <w:rFonts w:ascii="Times New Roman;Times;serif" w:hAnsi="Times New Roman;Times;serif"/>
                <w:b w:val="false"/>
                <w:i w:val="false"/>
                <w:caps w:val="false"/>
                <w:smallCaps w:val="false"/>
                <w:sz w:val="24"/>
              </w:rPr>
              <w:t>paid Product</w:t>
            </w:r>
            <w:r>
              <w:rPr>
                <w:caps w:val="false"/>
                <w:smallCaps w:val="false"/>
                <w:spacing w:val="-7"/>
              </w:rPr>
              <w:t xml:space="preserve"> </w:t>
            </w:r>
            <w:r>
              <w:rPr>
                <w:rFonts w:ascii="Times New Roman;Times;serif" w:hAnsi="Times New Roman;Times;serif"/>
                <w:b w:val="false"/>
                <w:i w:val="false"/>
                <w:caps w:val="false"/>
                <w:smallCaps w:val="false"/>
                <w:sz w:val="24"/>
              </w:rPr>
              <w:t>Price</w:t>
            </w:r>
            <w:r>
              <w:rPr>
                <w:caps w:val="false"/>
                <w:smallCaps w:val="false"/>
                <w:spacing w:val="-7"/>
              </w:rPr>
              <w:t xml:space="preserve"> </w:t>
            </w:r>
            <w:r>
              <w:rPr>
                <w:rFonts w:ascii="Times New Roman;Times;serif" w:hAnsi="Times New Roman;Times;serif"/>
                <w:b w:val="false"/>
                <w:i w:val="false"/>
                <w:caps w:val="false"/>
                <w:smallCaps w:val="false"/>
                <w:sz w:val="24"/>
              </w:rPr>
              <w:t>plus</w:t>
            </w:r>
            <w:r>
              <w:rPr>
                <w:caps w:val="false"/>
                <w:smallCaps w:val="false"/>
                <w:spacing w:val="-7"/>
              </w:rPr>
              <w:t xml:space="preserve"> </w:t>
            </w:r>
            <w:r>
              <w:rPr>
                <w:rFonts w:ascii="Times New Roman;Times;serif" w:hAnsi="Times New Roman;Times;serif"/>
                <w:b w:val="false"/>
                <w:i w:val="false"/>
                <w:caps w:val="false"/>
                <w:smallCaps w:val="false"/>
                <w:sz w:val="24"/>
              </w:rPr>
              <w:t>any</w:t>
            </w:r>
            <w:r>
              <w:rPr>
                <w:caps w:val="false"/>
                <w:smallCaps w:val="false"/>
                <w:spacing w:val="-7"/>
              </w:rPr>
              <w:t xml:space="preserve"> </w:t>
            </w:r>
            <w:r>
              <w:rPr>
                <w:rFonts w:ascii="Times New Roman;Times;serif" w:hAnsi="Times New Roman;Times;serif"/>
                <w:b w:val="false"/>
                <w:i w:val="false"/>
                <w:caps w:val="false"/>
                <w:smallCaps w:val="false"/>
                <w:sz w:val="24"/>
              </w:rPr>
              <w:t>cost</w:t>
            </w:r>
            <w:r>
              <w:rPr>
                <w:caps w:val="false"/>
                <w:smallCaps w:val="false"/>
                <w:spacing w:val="-7"/>
              </w:rPr>
              <w:t xml:space="preserve"> </w:t>
            </w:r>
            <w:r>
              <w:rPr>
                <w:rFonts w:ascii="Times New Roman;Times;serif" w:hAnsi="Times New Roman;Times;serif"/>
                <w:b w:val="false"/>
                <w:i w:val="false"/>
                <w:caps w:val="false"/>
                <w:smallCaps w:val="false"/>
                <w:sz w:val="24"/>
              </w:rPr>
              <w:t>of</w:t>
            </w:r>
            <w:r>
              <w:rPr>
                <w:caps w:val="false"/>
                <w:smallCaps w:val="false"/>
                <w:spacing w:val="-7"/>
              </w:rPr>
              <w:t xml:space="preserve"> </w:t>
            </w:r>
            <w:r>
              <w:rPr>
                <w:rFonts w:ascii="Times New Roman;Times;serif" w:hAnsi="Times New Roman;Times;serif"/>
                <w:b w:val="false"/>
                <w:i w:val="false"/>
                <w:caps w:val="false"/>
                <w:smallCaps w:val="false"/>
                <w:sz w:val="24"/>
              </w:rPr>
              <w:t>freight</w:t>
            </w:r>
            <w:r>
              <w:rPr>
                <w:caps w:val="false"/>
                <w:smallCaps w:val="false"/>
                <w:spacing w:val="-7"/>
              </w:rPr>
              <w:t xml:space="preserve"> </w:t>
            </w:r>
            <w:r>
              <w:rPr>
                <w:rFonts w:ascii="Times New Roman;Times;serif" w:hAnsi="Times New Roman;Times;serif"/>
                <w:b w:val="false"/>
                <w:i w:val="false"/>
                <w:caps w:val="false"/>
                <w:smallCaps w:val="false"/>
                <w:sz w:val="24"/>
              </w:rPr>
              <w:t>will</w:t>
            </w:r>
            <w:r>
              <w:rPr>
                <w:caps w:val="false"/>
                <w:smallCaps w:val="false"/>
                <w:spacing w:val="-7"/>
              </w:rPr>
              <w:t xml:space="preserve"> </w:t>
            </w:r>
            <w:r>
              <w:rPr>
                <w:rFonts w:ascii="Times New Roman;Times;serif" w:hAnsi="Times New Roman;Times;serif"/>
                <w:b w:val="false"/>
                <w:i w:val="false"/>
                <w:caps w:val="false"/>
                <w:smallCaps w:val="false"/>
                <w:sz w:val="24"/>
              </w:rPr>
              <w:t>be</w:t>
            </w:r>
            <w:r>
              <w:rPr>
                <w:caps w:val="false"/>
                <w:smallCaps w:val="false"/>
                <w:spacing w:val="-7"/>
              </w:rPr>
              <w:t xml:space="preserve"> </w:t>
            </w:r>
            <w:r>
              <w:rPr>
                <w:rFonts w:ascii="Times New Roman;Times;serif" w:hAnsi="Times New Roman;Times;serif"/>
                <w:b w:val="false"/>
                <w:i w:val="false"/>
                <w:caps w:val="false"/>
                <w:smallCaps w:val="false"/>
                <w:sz w:val="24"/>
              </w:rPr>
              <w:t>issued,</w:t>
            </w:r>
            <w:r>
              <w:rPr>
                <w:caps w:val="false"/>
                <w:smallCaps w:val="false"/>
                <w:spacing w:val="-7"/>
              </w:rPr>
              <w:t xml:space="preserve"> </w:t>
            </w:r>
            <w:r>
              <w:rPr>
                <w:rFonts w:ascii="Times New Roman;Times;serif" w:hAnsi="Times New Roman;Times;serif"/>
                <w:b w:val="false"/>
                <w:i w:val="false"/>
                <w:caps w:val="false"/>
                <w:smallCaps w:val="false"/>
                <w:sz w:val="24"/>
              </w:rPr>
              <w:t>or</w:t>
            </w:r>
            <w:r>
              <w:rPr>
                <w:caps w:val="false"/>
                <w:smallCaps w:val="false"/>
                <w:spacing w:val="-7"/>
              </w:rPr>
              <w:t xml:space="preserve"> </w:t>
            </w:r>
            <w:r>
              <w:rPr>
                <w:rFonts w:ascii="Times New Roman;Times;serif" w:hAnsi="Times New Roman;Times;serif"/>
                <w:b w:val="false"/>
                <w:i w:val="false"/>
                <w:caps w:val="false"/>
                <w:smallCaps w:val="false"/>
                <w:sz w:val="24"/>
              </w:rPr>
              <w:t>during</w:t>
            </w:r>
            <w:r>
              <w:rPr>
                <w:caps w:val="false"/>
                <w:smallCaps w:val="false"/>
                <w:spacing w:val="-7"/>
              </w:rPr>
              <w:t xml:space="preserve"> </w:t>
            </w:r>
            <w:r>
              <w:rPr>
                <w:rFonts w:ascii="Times New Roman;Times;serif" w:hAnsi="Times New Roman;Times;serif"/>
                <w:b w:val="false"/>
                <w:i w:val="false"/>
                <w:caps w:val="false"/>
                <w:smallCaps w:val="false"/>
                <w:sz w:val="24"/>
              </w:rPr>
              <w:t>the</w:t>
            </w:r>
            <w:r>
              <w:rPr>
                <w:caps w:val="false"/>
                <w:smallCaps w:val="false"/>
                <w:spacing w:val="-8"/>
              </w:rPr>
              <w:t xml:space="preserve"> </w:t>
            </w:r>
            <w:r>
              <w:rPr>
                <w:rFonts w:ascii="Times New Roman;Times;serif" w:hAnsi="Times New Roman;Times;serif"/>
                <w:b w:val="false"/>
                <w:i w:val="false"/>
                <w:caps w:val="false"/>
                <w:smallCaps w:val="false"/>
                <w:sz w:val="24"/>
              </w:rPr>
              <w:t>term</w:t>
            </w:r>
            <w:r>
              <w:rPr>
                <w:caps w:val="false"/>
                <w:smallCaps w:val="false"/>
                <w:spacing w:val="-7"/>
              </w:rPr>
              <w:t xml:space="preserve"> </w:t>
            </w:r>
            <w:r>
              <w:rPr>
                <w:rFonts w:ascii="Times New Roman;Times;serif" w:hAnsi="Times New Roman;Times;serif"/>
                <w:b w:val="false"/>
                <w:i w:val="false"/>
                <w:caps w:val="false"/>
                <w:smallCaps w:val="false"/>
                <w:sz w:val="24"/>
              </w:rPr>
              <w:t>of</w:t>
            </w:r>
            <w:r>
              <w:rPr>
                <w:caps w:val="false"/>
                <w:smallCaps w:val="false"/>
                <w:spacing w:val="-7"/>
              </w:rPr>
              <w:t xml:space="preserve"> </w:t>
            </w:r>
            <w:r>
              <w:rPr>
                <w:rFonts w:ascii="Times New Roman;Times;serif" w:hAnsi="Times New Roman;Times;serif"/>
                <w:b w:val="false"/>
                <w:i w:val="false"/>
                <w:caps w:val="false"/>
                <w:smallCaps w:val="false"/>
                <w:sz w:val="24"/>
              </w:rPr>
              <w:t>the</w:t>
            </w:r>
            <w:r>
              <w:rPr>
                <w:caps w:val="false"/>
                <w:smallCaps w:val="false"/>
                <w:spacing w:val="-7"/>
              </w:rPr>
              <w:t xml:space="preserve"> </w:t>
            </w:r>
            <w:r>
              <w:rPr>
                <w:rFonts w:ascii="Times New Roman;Times;serif" w:hAnsi="Times New Roman;Times;serif"/>
                <w:b w:val="false"/>
                <w:i w:val="false"/>
                <w:caps w:val="false"/>
                <w:smallCaps w:val="false"/>
                <w:sz w:val="24"/>
              </w:rPr>
              <w:t>Agreement,</w:t>
            </w:r>
            <w:r>
              <w:rPr>
                <w:caps w:val="false"/>
                <w:smallCaps w:val="false"/>
                <w:spacing w:val="-7"/>
              </w:rPr>
              <w:t xml:space="preserve"> </w:t>
            </w:r>
            <w:r>
              <w:rPr>
                <w:rFonts w:ascii="Times New Roman;Times;serif" w:hAnsi="Times New Roman;Times;serif"/>
                <w:b w:val="false"/>
                <w:i w:val="false"/>
                <w:caps w:val="false"/>
                <w:smallCaps w:val="false"/>
                <w:sz w:val="24"/>
              </w:rPr>
              <w:t>only replacement</w:t>
            </w:r>
            <w:r>
              <w:rPr>
                <w:caps w:val="false"/>
                <w:smallCaps w:val="false"/>
                <w:spacing w:val="-15"/>
              </w:rPr>
              <w:t xml:space="preserve"> </w:t>
            </w:r>
            <w:r>
              <w:rPr>
                <w:rFonts w:ascii="Times New Roman;Times;serif" w:hAnsi="Times New Roman;Times;serif"/>
                <w:b w:val="false"/>
                <w:i w:val="false"/>
                <w:caps w:val="false"/>
                <w:smallCaps w:val="false"/>
                <w:sz w:val="24"/>
              </w:rPr>
              <w:t>Product</w:t>
            </w:r>
            <w:r>
              <w:rPr>
                <w:caps w:val="false"/>
                <w:smallCaps w:val="false"/>
                <w:spacing w:val="-15"/>
              </w:rPr>
              <w:t xml:space="preserve"> </w:t>
            </w:r>
            <w:r>
              <w:rPr>
                <w:rFonts w:ascii="Times New Roman;Times;serif" w:hAnsi="Times New Roman;Times;serif"/>
                <w:b w:val="false"/>
                <w:i w:val="false"/>
                <w:caps w:val="false"/>
                <w:smallCaps w:val="false"/>
                <w:sz w:val="24"/>
              </w:rPr>
              <w:t>will</w:t>
            </w:r>
            <w:r>
              <w:rPr>
                <w:caps w:val="false"/>
                <w:smallCaps w:val="false"/>
                <w:spacing w:val="-15"/>
              </w:rPr>
              <w:t xml:space="preserve"> </w:t>
            </w:r>
            <w:r>
              <w:rPr>
                <w:rFonts w:ascii="Times New Roman;Times;serif" w:hAnsi="Times New Roman;Times;serif"/>
                <w:b w:val="false"/>
                <w:i w:val="false"/>
                <w:caps w:val="false"/>
                <w:smallCaps w:val="false"/>
                <w:sz w:val="24"/>
              </w:rPr>
              <w:t>be</w:t>
            </w:r>
            <w:r>
              <w:rPr>
                <w:caps w:val="false"/>
                <w:smallCaps w:val="false"/>
                <w:spacing w:val="-15"/>
              </w:rPr>
              <w:t xml:space="preserve"> </w:t>
            </w:r>
            <w:r>
              <w:rPr>
                <w:rFonts w:ascii="Times New Roman;Times;serif" w:hAnsi="Times New Roman;Times;serif"/>
                <w:b w:val="false"/>
                <w:i w:val="false"/>
                <w:caps w:val="false"/>
                <w:smallCaps w:val="false"/>
                <w:sz w:val="24"/>
              </w:rPr>
              <w:t>provided,</w:t>
            </w:r>
            <w:r>
              <w:rPr>
                <w:caps w:val="false"/>
                <w:smallCaps w:val="false"/>
                <w:spacing w:val="-15"/>
              </w:rPr>
              <w:t xml:space="preserve"> </w:t>
            </w:r>
            <w:r>
              <w:rPr>
                <w:rFonts w:ascii="Times New Roman;Times;serif" w:hAnsi="Times New Roman;Times;serif"/>
                <w:b w:val="false"/>
                <w:i w:val="false"/>
                <w:caps w:val="false"/>
                <w:smallCaps w:val="false"/>
                <w:sz w:val="24"/>
              </w:rPr>
              <w:t>for</w:t>
            </w:r>
            <w:r>
              <w:rPr>
                <w:caps w:val="false"/>
                <w:smallCaps w:val="false"/>
                <w:spacing w:val="-15"/>
              </w:rPr>
              <w:t xml:space="preserve"> </w:t>
            </w:r>
            <w:r>
              <w:rPr>
                <w:rFonts w:ascii="Times New Roman;Times;serif" w:hAnsi="Times New Roman;Times;serif"/>
                <w:b w:val="false"/>
                <w:i w:val="false"/>
                <w:caps w:val="false"/>
                <w:smallCaps w:val="false"/>
                <w:sz w:val="24"/>
              </w:rPr>
              <w:t>returns</w:t>
            </w:r>
            <w:r>
              <w:rPr>
                <w:caps w:val="false"/>
                <w:smallCaps w:val="false"/>
                <w:spacing w:val="-15"/>
              </w:rPr>
              <w:t xml:space="preserve"> </w:t>
            </w:r>
            <w:r>
              <w:rPr>
                <w:rFonts w:ascii="Times New Roman;Times;serif" w:hAnsi="Times New Roman;Times;serif"/>
                <w:b w:val="false"/>
                <w:i w:val="false"/>
                <w:caps w:val="false"/>
                <w:smallCaps w:val="false"/>
                <w:sz w:val="24"/>
              </w:rPr>
              <w:t>meeting</w:t>
            </w:r>
            <w:r>
              <w:rPr>
                <w:caps w:val="false"/>
                <w:smallCaps w:val="false"/>
                <w:spacing w:val="-15"/>
              </w:rPr>
              <w:t xml:space="preserve"> </w:t>
            </w:r>
            <w:r>
              <w:rPr>
                <w:rFonts w:ascii="Times New Roman;Times;serif" w:hAnsi="Times New Roman;Times;serif"/>
                <w:b w:val="false"/>
                <w:i w:val="false"/>
                <w:caps w:val="false"/>
                <w:smallCaps w:val="false"/>
                <w:sz w:val="24"/>
              </w:rPr>
              <w:t>the</w:t>
            </w:r>
            <w:r>
              <w:rPr>
                <w:caps w:val="false"/>
                <w:smallCaps w:val="false"/>
                <w:spacing w:val="-15"/>
              </w:rPr>
              <w:t xml:space="preserve"> </w:t>
            </w:r>
            <w:r>
              <w:rPr>
                <w:rFonts w:ascii="Times New Roman;Times;serif" w:hAnsi="Times New Roman;Times;serif"/>
                <w:b w:val="false"/>
                <w:i w:val="false"/>
                <w:caps w:val="false"/>
                <w:smallCaps w:val="false"/>
                <w:sz w:val="24"/>
              </w:rPr>
              <w:t>above</w:t>
            </w:r>
            <w:r>
              <w:rPr>
                <w:caps w:val="false"/>
                <w:smallCaps w:val="false"/>
                <w:spacing w:val="-15"/>
              </w:rPr>
              <w:t xml:space="preserve"> </w:t>
            </w:r>
            <w:r>
              <w:rPr>
                <w:rFonts w:ascii="Times New Roman;Times;serif" w:hAnsi="Times New Roman;Times;serif"/>
                <w:b w:val="false"/>
                <w:i w:val="false"/>
                <w:caps w:val="false"/>
                <w:smallCaps w:val="false"/>
                <w:sz w:val="24"/>
              </w:rPr>
              <w:t>conditions</w:t>
            </w:r>
            <w:r>
              <w:rPr>
                <w:caps w:val="false"/>
                <w:smallCaps w:val="false"/>
                <w:spacing w:val="-15"/>
              </w:rPr>
              <w:t xml:space="preserve"> </w:t>
            </w:r>
            <w:r>
              <w:rPr>
                <w:rFonts w:ascii="Times New Roman;Times;serif" w:hAnsi="Times New Roman;Times;serif"/>
                <w:b w:val="false"/>
                <w:i w:val="false"/>
                <w:caps w:val="false"/>
                <w:smallCaps w:val="false"/>
                <w:sz w:val="24"/>
              </w:rPr>
              <w:t>after</w:t>
            </w:r>
            <w:r>
              <w:rPr>
                <w:caps w:val="false"/>
                <w:smallCaps w:val="false"/>
                <w:spacing w:val="-15"/>
              </w:rPr>
              <w:t xml:space="preserve"> </w:t>
            </w:r>
            <w:r>
              <w:rPr>
                <w:rFonts w:ascii="Times New Roman;Times;serif" w:hAnsi="Times New Roman;Times;serif"/>
                <w:b w:val="false"/>
                <w:i w:val="false"/>
                <w:caps w:val="false"/>
                <w:smallCaps w:val="false"/>
                <w:sz w:val="24"/>
              </w:rPr>
              <w:t>inspection of the returned Product by Aziyo.</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8" w:after="0"/>
        <w:ind w:left="0" w:right="0" w:hanging="0"/>
        <w:jc w:val="left"/>
        <w:rPr/>
      </w:pPr>
      <w:r>
        <w:rPr/>
        <w:t>​</w:t>
      </w:r>
    </w:p>
    <w:tbl>
      <w:tblPr>
        <w:tblW w:w="2259" w:type="dxa"/>
        <w:jc w:val="left"/>
        <w:tblInd w:w="0" w:type="dxa"/>
        <w:tblLayout w:type="fixed"/>
        <w:tblCellMar>
          <w:top w:w="0" w:type="dxa"/>
          <w:left w:w="0" w:type="dxa"/>
          <w:bottom w:w="0" w:type="dxa"/>
          <w:right w:w="0" w:type="dxa"/>
        </w:tblCellMar>
      </w:tblPr>
      <w:tblGrid>
        <w:gridCol w:w="23"/>
        <w:gridCol w:w="200"/>
        <w:gridCol w:w="2036"/>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4.</w:t>
            </w:r>
          </w:p>
        </w:tc>
        <w:tc>
          <w:tcPr>
            <w:tcW w:w="2036"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4"/>
                <w:u w:val="single"/>
              </w:rPr>
            </w:pPr>
            <w:r>
              <w:rPr>
                <w:rFonts w:ascii="Times New Roman;Times;serif" w:hAnsi="Times New Roman;Times;serif"/>
                <w:b w:val="false"/>
                <w:i w:val="false"/>
                <w:caps w:val="false"/>
                <w:smallCaps w:val="false"/>
                <w:spacing w:val="-2"/>
                <w:sz w:val="24"/>
                <w:u w:val="single"/>
              </w:rPr>
              <w:t>MISCELLANEOUS</w:t>
            </w:r>
          </w:p>
        </w:tc>
      </w:tr>
    </w:tbl>
    <w:p>
      <w:pPr>
        <w:pStyle w:val="TextBody"/>
        <w:pBdr/>
        <w:bidi w:val="0"/>
        <w:spacing w:lineRule="auto" w:line="285" w:before="137" w:after="0"/>
        <w:ind w:left="450" w:right="105" w:hanging="540"/>
        <w:jc w:val="both"/>
        <w:rPr>
          <w:rFonts w:ascii="Arial;Helvetica;sans-serif" w:hAnsi="Arial;Helvetica;sans-serif"/>
          <w:sz w:val="18"/>
        </w:rPr>
      </w:pPr>
      <w:r>
        <w:rPr>
          <w:rFonts w:ascii="Times New Roman;Times;serif" w:hAnsi="Times New Roman;Times;serif"/>
          <w:sz w:val="24"/>
        </w:rPr>
        <w:t xml:space="preserve">4.1. </w:t>
      </w:r>
      <w:r>
        <w:rPr>
          <w:rFonts w:ascii="Times New Roman;Times;serif" w:hAnsi="Times New Roman;Times;serif"/>
          <w:b/>
          <w:sz w:val="24"/>
        </w:rPr>
        <w:t>Assignment</w:t>
      </w:r>
      <w:r>
        <w:rPr>
          <w:rFonts w:ascii="Times New Roman;Times;serif" w:hAnsi="Times New Roman;Times;serif"/>
          <w:sz w:val="24"/>
        </w:rPr>
        <w:t>: A Party's rights and obligations under this Agreement may not be transferred or assigned directly or indirectly without the prior written consent of the other Party. Subject to the foregoing sentence, this Agreement shall be binding upon and inure to the benefit of the Parties</w:t>
      </w:r>
      <w:r>
        <w:rPr>
          <w:rFonts w:ascii="Arial;Helvetica;sans-serif" w:hAnsi="Arial;Helvetica;sans-serif"/>
          <w:spacing w:val="-5"/>
          <w:sz w:val="18"/>
        </w:rPr>
        <w:t xml:space="preserve"> </w:t>
      </w:r>
      <w:r>
        <w:rPr>
          <w:rFonts w:ascii="Times New Roman;Times;serif" w:hAnsi="Times New Roman;Times;serif"/>
          <w:sz w:val="24"/>
        </w:rPr>
        <w:t>hereto</w:t>
      </w:r>
      <w:r>
        <w:rPr>
          <w:rFonts w:ascii="Arial;Helvetica;sans-serif" w:hAnsi="Arial;Helvetica;sans-serif"/>
          <w:spacing w:val="-5"/>
          <w:sz w:val="18"/>
        </w:rPr>
        <w:t xml:space="preserve"> </w:t>
      </w:r>
      <w:r>
        <w:rPr>
          <w:rFonts w:ascii="Times New Roman;Times;serif" w:hAnsi="Times New Roman;Times;serif"/>
          <w:sz w:val="24"/>
        </w:rPr>
        <w:t>and</w:t>
      </w:r>
      <w:r>
        <w:rPr>
          <w:rFonts w:ascii="Arial;Helvetica;sans-serif" w:hAnsi="Arial;Helvetica;sans-serif"/>
          <w:spacing w:val="-5"/>
          <w:sz w:val="18"/>
        </w:rPr>
        <w:t xml:space="preserve"> </w:t>
      </w:r>
      <w:r>
        <w:rPr>
          <w:rFonts w:ascii="Times New Roman;Times;serif" w:hAnsi="Times New Roman;Times;serif"/>
          <w:sz w:val="24"/>
        </w:rPr>
        <w:t>their</w:t>
      </w:r>
      <w:r>
        <w:rPr>
          <w:rFonts w:ascii="Arial;Helvetica;sans-serif" w:hAnsi="Arial;Helvetica;sans-serif"/>
          <w:spacing w:val="-5"/>
          <w:sz w:val="18"/>
        </w:rPr>
        <w:t xml:space="preserve"> </w:t>
      </w:r>
      <w:r>
        <w:rPr>
          <w:rFonts w:ascii="Times New Roman;Times;serif" w:hAnsi="Times New Roman;Times;serif"/>
          <w:sz w:val="24"/>
        </w:rPr>
        <w:t>successors</w:t>
      </w:r>
      <w:r>
        <w:rPr>
          <w:rFonts w:ascii="Arial;Helvetica;sans-serif" w:hAnsi="Arial;Helvetica;sans-serif"/>
          <w:spacing w:val="-5"/>
          <w:sz w:val="18"/>
        </w:rPr>
        <w:t xml:space="preserve"> </w:t>
      </w:r>
      <w:r>
        <w:rPr>
          <w:rFonts w:ascii="Times New Roman;Times;serif" w:hAnsi="Times New Roman;Times;serif"/>
          <w:sz w:val="24"/>
        </w:rPr>
        <w:t>in</w:t>
      </w:r>
      <w:r>
        <w:rPr>
          <w:rFonts w:ascii="Arial;Helvetica;sans-serif" w:hAnsi="Arial;Helvetica;sans-serif"/>
          <w:spacing w:val="-5"/>
          <w:sz w:val="18"/>
        </w:rPr>
        <w:t xml:space="preserve"> </w:t>
      </w:r>
      <w:r>
        <w:rPr>
          <w:rFonts w:ascii="Times New Roman;Times;serif" w:hAnsi="Times New Roman;Times;serif"/>
          <w:sz w:val="24"/>
        </w:rPr>
        <w:t>law</w:t>
      </w:r>
      <w:r>
        <w:rPr>
          <w:rFonts w:ascii="Arial;Helvetica;sans-serif" w:hAnsi="Arial;Helvetica;sans-serif"/>
          <w:spacing w:val="-5"/>
          <w:sz w:val="18"/>
        </w:rPr>
        <w:t xml:space="preserve"> </w:t>
      </w:r>
      <w:r>
        <w:rPr>
          <w:rFonts w:ascii="Times New Roman;Times;serif" w:hAnsi="Times New Roman;Times;serif"/>
          <w:sz w:val="24"/>
        </w:rPr>
        <w:t>(including</w:t>
      </w:r>
      <w:r>
        <w:rPr>
          <w:rFonts w:ascii="Arial;Helvetica;sans-serif" w:hAnsi="Arial;Helvetica;sans-serif"/>
          <w:spacing w:val="-5"/>
          <w:sz w:val="18"/>
        </w:rPr>
        <w:t xml:space="preserve"> </w:t>
      </w:r>
      <w:r>
        <w:rPr>
          <w:rFonts w:ascii="Times New Roman;Times;serif" w:hAnsi="Times New Roman;Times;serif"/>
          <w:sz w:val="24"/>
        </w:rPr>
        <w:t>administrators)</w:t>
      </w:r>
      <w:r>
        <w:rPr>
          <w:rFonts w:ascii="Arial;Helvetica;sans-serif" w:hAnsi="Arial;Helvetica;sans-serif"/>
          <w:spacing w:val="-5"/>
          <w:sz w:val="18"/>
        </w:rPr>
        <w:t xml:space="preserve"> </w:t>
      </w:r>
      <w:r>
        <w:rPr>
          <w:rFonts w:ascii="Times New Roman;Times;serif" w:hAnsi="Times New Roman;Times;serif"/>
          <w:sz w:val="24"/>
        </w:rPr>
        <w:t>and</w:t>
      </w:r>
      <w:r>
        <w:rPr>
          <w:rFonts w:ascii="Arial;Helvetica;sans-serif" w:hAnsi="Arial;Helvetica;sans-serif"/>
          <w:spacing w:val="-5"/>
          <w:sz w:val="18"/>
        </w:rPr>
        <w:t xml:space="preserve"> </w:t>
      </w:r>
      <w:r>
        <w:rPr>
          <w:rFonts w:ascii="Times New Roman;Times;serif" w:hAnsi="Times New Roman;Times;serif"/>
          <w:sz w:val="24"/>
        </w:rPr>
        <w:t>assigns.</w:t>
      </w:r>
      <w:r>
        <w:rPr>
          <w:rFonts w:ascii="Arial;Helvetica;sans-serif" w:hAnsi="Arial;Helvetica;sans-serif"/>
          <w:spacing w:val="-5"/>
          <w:sz w:val="18"/>
        </w:rPr>
        <w:t xml:space="preserve"> </w:t>
      </w:r>
      <w:r>
        <w:rPr>
          <w:rFonts w:ascii="Times New Roman;Times;serif" w:hAnsi="Times New Roman;Times;serif"/>
          <w:sz w:val="24"/>
        </w:rPr>
        <w:t>For</w:t>
      </w:r>
      <w:r>
        <w:rPr>
          <w:rFonts w:ascii="Arial;Helvetica;sans-serif" w:hAnsi="Arial;Helvetica;sans-serif"/>
          <w:spacing w:val="-5"/>
          <w:sz w:val="18"/>
        </w:rPr>
        <w:t xml:space="preserve"> </w:t>
      </w:r>
      <w:r>
        <w:rPr>
          <w:rFonts w:ascii="Times New Roman;Times;serif" w:hAnsi="Times New Roman;Times;serif"/>
          <w:sz w:val="24"/>
        </w:rPr>
        <w:t>purposes of this Section 4.1, the term "assignment" shall include the consolidation or merger of a party with and into a third party or the sale of all or substantially all of the assets or business of a party. Any attempted assignment in violation of this Section 4.1 shall be null and void.</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44" w:before="110" w:after="0"/>
        <w:ind w:left="121" w:right="142" w:hanging="0"/>
        <w:jc w:val="left"/>
        <w:rPr>
          <w:rFonts w:ascii="Arial;Helvetica;sans-serif" w:hAnsi="Arial;Helvetica;sans-serif"/>
          <w:sz w:val="18"/>
        </w:rPr>
      </w:pPr>
      <w:r>
        <w:rPr>
          <w:rFonts w:ascii="Times New Roman;Times;serif" w:hAnsi="Times New Roman;Times;serif"/>
          <w:b/>
          <w:sz w:val="24"/>
        </w:rPr>
        <w:t>IN</w:t>
      </w:r>
      <w:r>
        <w:rPr>
          <w:rFonts w:ascii="Arial;Helvetica;sans-serif" w:hAnsi="Arial;Helvetica;sans-serif"/>
          <w:spacing w:val="-4"/>
          <w:sz w:val="18"/>
        </w:rPr>
        <w:t xml:space="preserve"> </w:t>
      </w:r>
      <w:r>
        <w:rPr>
          <w:rFonts w:ascii="Times New Roman;Times;serif" w:hAnsi="Times New Roman;Times;serif"/>
          <w:b/>
          <w:sz w:val="24"/>
        </w:rPr>
        <w:t>WITNESS</w:t>
      </w:r>
      <w:r>
        <w:rPr>
          <w:rFonts w:ascii="Arial;Helvetica;sans-serif" w:hAnsi="Arial;Helvetica;sans-serif"/>
          <w:spacing w:val="-4"/>
          <w:sz w:val="18"/>
        </w:rPr>
        <w:t xml:space="preserve"> </w:t>
      </w:r>
      <w:r>
        <w:rPr>
          <w:rFonts w:ascii="Times New Roman;Times;serif" w:hAnsi="Times New Roman;Times;serif"/>
          <w:b/>
          <w:sz w:val="24"/>
        </w:rPr>
        <w:t>WHEREOF,</w:t>
      </w:r>
      <w:r>
        <w:rPr>
          <w:rFonts w:ascii="Arial;Helvetica;sans-serif" w:hAnsi="Arial;Helvetica;sans-serif"/>
          <w:spacing w:val="-3"/>
          <w:sz w:val="18"/>
        </w:rPr>
        <w:t xml:space="preserve"> </w:t>
      </w:r>
      <w:r>
        <w:rPr>
          <w:rFonts w:ascii="Times New Roman;Times;serif" w:hAnsi="Times New Roman;Times;serif"/>
          <w:sz w:val="24"/>
        </w:rPr>
        <w:t>the</w:t>
      </w:r>
      <w:r>
        <w:rPr>
          <w:rFonts w:ascii="Arial;Helvetica;sans-serif" w:hAnsi="Arial;Helvetica;sans-serif"/>
          <w:spacing w:val="-3"/>
          <w:sz w:val="18"/>
        </w:rPr>
        <w:t xml:space="preserve"> </w:t>
      </w:r>
      <w:r>
        <w:rPr>
          <w:rFonts w:ascii="Times New Roman;Times;serif" w:hAnsi="Times New Roman;Times;serif"/>
          <w:sz w:val="24"/>
        </w:rPr>
        <w:t>parties</w:t>
      </w:r>
      <w:r>
        <w:rPr>
          <w:rFonts w:ascii="Arial;Helvetica;sans-serif" w:hAnsi="Arial;Helvetica;sans-serif"/>
          <w:spacing w:val="-4"/>
          <w:sz w:val="18"/>
        </w:rPr>
        <w:t xml:space="preserve"> </w:t>
      </w:r>
      <w:r>
        <w:rPr>
          <w:rFonts w:ascii="Times New Roman;Times;serif" w:hAnsi="Times New Roman;Times;serif"/>
          <w:sz w:val="24"/>
        </w:rPr>
        <w:t>hereto</w:t>
      </w:r>
      <w:r>
        <w:rPr>
          <w:rFonts w:ascii="Arial;Helvetica;sans-serif" w:hAnsi="Arial;Helvetica;sans-serif"/>
          <w:spacing w:val="-3"/>
          <w:sz w:val="18"/>
        </w:rPr>
        <w:t xml:space="preserve"> </w:t>
      </w:r>
      <w:r>
        <w:rPr>
          <w:rFonts w:ascii="Times New Roman;Times;serif" w:hAnsi="Times New Roman;Times;serif"/>
          <w:sz w:val="24"/>
        </w:rPr>
        <w:t>have</w:t>
      </w:r>
      <w:r>
        <w:rPr>
          <w:rFonts w:ascii="Arial;Helvetica;sans-serif" w:hAnsi="Arial;Helvetica;sans-serif"/>
          <w:spacing w:val="-3"/>
          <w:sz w:val="18"/>
        </w:rPr>
        <w:t xml:space="preserve"> </w:t>
      </w:r>
      <w:r>
        <w:rPr>
          <w:rFonts w:ascii="Times New Roman;Times;serif" w:hAnsi="Times New Roman;Times;serif"/>
          <w:sz w:val="24"/>
        </w:rPr>
        <w:t>executed</w:t>
      </w:r>
      <w:r>
        <w:rPr>
          <w:rFonts w:ascii="Arial;Helvetica;sans-serif" w:hAnsi="Arial;Helvetica;sans-serif"/>
          <w:spacing w:val="-3"/>
          <w:sz w:val="18"/>
        </w:rPr>
        <w:t xml:space="preserve"> </w:t>
      </w:r>
      <w:r>
        <w:rPr>
          <w:rFonts w:ascii="Times New Roman;Times;serif" w:hAnsi="Times New Roman;Times;serif"/>
          <w:sz w:val="24"/>
        </w:rPr>
        <w:t>this</w:t>
      </w:r>
      <w:r>
        <w:rPr>
          <w:rFonts w:ascii="Arial;Helvetica;sans-serif" w:hAnsi="Arial;Helvetica;sans-serif"/>
          <w:spacing w:val="-4"/>
          <w:sz w:val="18"/>
        </w:rPr>
        <w:t xml:space="preserve"> </w:t>
      </w:r>
      <w:r>
        <w:rPr>
          <w:rFonts w:ascii="Times New Roman;Times;serif" w:hAnsi="Times New Roman;Times;serif"/>
          <w:sz w:val="24"/>
        </w:rPr>
        <w:t>Agreement</w:t>
      </w:r>
      <w:r>
        <w:rPr>
          <w:rFonts w:ascii="Arial;Helvetica;sans-serif" w:hAnsi="Arial;Helvetica;sans-serif"/>
          <w:spacing w:val="-3"/>
          <w:sz w:val="18"/>
        </w:rPr>
        <w:t xml:space="preserve"> </w:t>
      </w:r>
      <w:r>
        <w:rPr>
          <w:rFonts w:ascii="Times New Roman;Times;serif" w:hAnsi="Times New Roman;Times;serif"/>
          <w:sz w:val="24"/>
        </w:rPr>
        <w:t>effective</w:t>
      </w:r>
      <w:r>
        <w:rPr>
          <w:rFonts w:ascii="Arial;Helvetica;sans-serif" w:hAnsi="Arial;Helvetica;sans-serif"/>
          <w:spacing w:val="-3"/>
          <w:sz w:val="18"/>
        </w:rPr>
        <w:t xml:space="preserve"> </w:t>
      </w:r>
      <w:r>
        <w:rPr>
          <w:rFonts w:ascii="Times New Roman;Times;serif" w:hAnsi="Times New Roman;Times;serif"/>
          <w:sz w:val="24"/>
        </w:rPr>
        <w:t>as</w:t>
      </w:r>
      <w:r>
        <w:rPr>
          <w:rFonts w:ascii="Arial;Helvetica;sans-serif" w:hAnsi="Arial;Helvetica;sans-serif"/>
          <w:spacing w:val="-4"/>
          <w:sz w:val="18"/>
        </w:rPr>
        <w:t xml:space="preserve"> </w:t>
      </w:r>
      <w:r>
        <w:rPr>
          <w:rFonts w:ascii="Times New Roman;Times;serif" w:hAnsi="Times New Roman;Times;serif"/>
          <w:sz w:val="24"/>
        </w:rPr>
        <w:t>of</w:t>
      </w:r>
      <w:r>
        <w:rPr>
          <w:rFonts w:ascii="Arial;Helvetica;sans-serif" w:hAnsi="Arial;Helvetica;sans-serif"/>
          <w:spacing w:val="-3"/>
          <w:sz w:val="18"/>
        </w:rPr>
        <w:t xml:space="preserve"> </w:t>
      </w:r>
      <w:r>
        <w:rPr>
          <w:rFonts w:ascii="Times New Roman;Times;serif" w:hAnsi="Times New Roman;Times;serif"/>
          <w:sz w:val="24"/>
        </w:rPr>
        <w:t>the</w:t>
      </w:r>
      <w:r>
        <w:rPr>
          <w:rFonts w:ascii="Arial;Helvetica;sans-serif" w:hAnsi="Arial;Helvetica;sans-serif"/>
          <w:spacing w:val="-3"/>
          <w:sz w:val="18"/>
        </w:rPr>
        <w:t xml:space="preserve"> </w:t>
      </w:r>
      <w:r>
        <w:rPr>
          <w:rFonts w:ascii="Times New Roman;Times;serif" w:hAnsi="Times New Roman;Times;serif"/>
          <w:sz w:val="24"/>
        </w:rPr>
        <w:t>date set forth above.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8421" w:type="dxa"/>
        <w:jc w:val="left"/>
        <w:tblInd w:w="0" w:type="dxa"/>
        <w:tblLayout w:type="fixed"/>
        <w:tblCellMar>
          <w:top w:w="0" w:type="dxa"/>
          <w:left w:w="0" w:type="dxa"/>
          <w:bottom w:w="0" w:type="dxa"/>
          <w:right w:w="0" w:type="dxa"/>
        </w:tblCellMar>
      </w:tblPr>
      <w:tblGrid>
        <w:gridCol w:w="1534"/>
        <w:gridCol w:w="3898"/>
        <w:gridCol w:w="2989"/>
      </w:tblGrid>
      <w:tr>
        <w:trPr/>
        <w:tc>
          <w:tcPr>
            <w:tcW w:w="1534" w:type="dxa"/>
            <w:tcBorders/>
            <w:vAlign w:val="center"/>
          </w:tcPr>
          <w:p>
            <w:pPr>
              <w:pStyle w:val="TableContents"/>
              <w:bidi w:val="0"/>
              <w:spacing w:lineRule="auto" w:line="285" w:before="0" w:after="0"/>
              <w:ind w:left="0" w:right="0" w:hanging="0"/>
              <w:jc w:val="left"/>
              <w:rPr/>
            </w:pPr>
            <w:r>
              <w:rPr/>
              <w:t>​</w:t>
            </w:r>
          </w:p>
        </w:tc>
        <w:tc>
          <w:tcPr>
            <w:tcW w:w="3898" w:type="dxa"/>
            <w:tcBorders/>
            <w:vAlign w:val="center"/>
          </w:tcPr>
          <w:p>
            <w:pPr>
              <w:pStyle w:val="TableContents"/>
              <w:bidi w:val="0"/>
              <w:spacing w:before="0" w:after="283"/>
              <w:ind w:left="0" w:right="0" w:hanging="0"/>
              <w:jc w:val="left"/>
              <w:rPr>
                <w:sz w:val="4"/>
                <w:szCs w:val="4"/>
              </w:rPr>
            </w:pPr>
            <w:r>
              <w:rPr>
                <w:sz w:val="4"/>
                <w:szCs w:val="4"/>
              </w:rPr>
            </w:r>
          </w:p>
        </w:tc>
        <w:tc>
          <w:tcPr>
            <w:tcW w:w="2989" w:type="dxa"/>
            <w:tcBorders/>
            <w:vAlign w:val="center"/>
          </w:tcPr>
          <w:p>
            <w:pPr>
              <w:pStyle w:val="TableContents"/>
              <w:bidi w:val="0"/>
              <w:spacing w:before="0" w:after="283"/>
              <w:ind w:left="0" w:right="0" w:hanging="0"/>
              <w:jc w:val="left"/>
              <w:rPr>
                <w:sz w:val="4"/>
                <w:szCs w:val="4"/>
              </w:rPr>
            </w:pPr>
            <w:r>
              <w:rPr>
                <w:sz w:val="4"/>
                <w:szCs w:val="4"/>
              </w:rPr>
            </w:r>
          </w:p>
        </w:tc>
      </w:tr>
      <w:tr>
        <w:trPr/>
        <w:tc>
          <w:tcPr>
            <w:tcW w:w="1534" w:type="dxa"/>
            <w:tcBorders>
              <w:bottom w:val="single" w:sz="2" w:space="0" w:color="000000"/>
              <w:right w:val="single" w:sz="2" w:space="0" w:color="000000"/>
            </w:tcBorders>
            <w:tcMar>
              <w:bottom w:w="28" w:type="dxa"/>
              <w:right w:w="28" w:type="dxa"/>
            </w:tcMar>
            <w:vAlign w:val="center"/>
          </w:tcPr>
          <w:p>
            <w:pPr>
              <w:pStyle w:val="TableContents"/>
              <w:bidi w:val="0"/>
              <w:spacing w:lineRule="auto" w:line="285" w:before="0" w:after="0"/>
              <w:ind w:left="0" w:right="0" w:hanging="0"/>
              <w:jc w:val="left"/>
              <w:rPr/>
            </w:pPr>
            <w:r>
              <w:rPr/>
              <w:t>​</w:t>
            </w:r>
          </w:p>
        </w:tc>
        <w:tc>
          <w:tcPr>
            <w:tcW w:w="38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145" w:after="0"/>
              <w:ind w:left="0" w:right="0" w:hanging="0"/>
              <w:jc w:val="center"/>
              <w:rPr>
                <w:rFonts w:ascii="Times New Roman;Times;serif" w:hAnsi="Times New Roman;Times;serif"/>
                <w:sz w:val="22"/>
              </w:rPr>
            </w:pPr>
            <w:r>
              <w:rPr>
                <w:rFonts w:ascii="Times New Roman;Times;serif" w:hAnsi="Times New Roman;Times;serif"/>
                <w:b/>
                <w:sz w:val="24"/>
              </w:rPr>
              <w:t xml:space="preserve">LEMAITRE VASCULAR, </w:t>
            </w:r>
            <w:r>
              <w:rPr>
                <w:rFonts w:ascii="Times New Roman;Times;serif" w:hAnsi="Times New Roman;Times;serif"/>
                <w:b/>
                <w:spacing w:val="-4"/>
                <w:sz w:val="24"/>
              </w:rPr>
              <w:t>INC.</w:t>
            </w:r>
            <w:r>
              <mc:AlternateContent>
                <mc:Choice Requires="wps">
                  <w:drawing>
                    <wp:anchor behindDoc="0" distT="0" distB="0" distL="0" distR="0" simplePos="0" locked="0" layoutInCell="1" allowOverlap="1" relativeHeight="3">
                      <wp:simplePos x="0" y="0"/>
                      <wp:positionH relativeFrom="page">
                        <wp:posOffset>0</wp:posOffset>
                      </wp:positionH>
                      <wp:positionV relativeFrom="line">
                        <wp:posOffset>635</wp:posOffset>
                      </wp:positionV>
                      <wp:extent cx="2420620" cy="365760"/>
                      <wp:effectExtent l="0" t="0" r="0" b="0"/>
                      <wp:wrapNone/>
                      <wp:docPr id="292" name="Frame292"/>
                      <a:graphic xmlns:a="http://schemas.openxmlformats.org/drawingml/2006/main">
                        <a:graphicData uri="http://schemas.microsoft.com/office/word/2010/wordprocessingShape">
                          <wps:wsp>
                            <wps:cNvSpPr txBox="1"/>
                            <wps:spPr>
                              <a:xfrm>
                                <a:off x="0" y="0"/>
                                <a:ext cx="2420620" cy="365760"/>
                              </a:xfrm>
                              <a:prstGeom prst="rect"/>
                              <a:solidFill>
                                <a:srgbClr val="FFFFFF"/>
                              </a:solidFill>
                            </wps:spPr>
                            <wps:txbx>
                              <w:txbxContent>
                                <w:p>
                                  <w:pPr>
                                    <w:pStyle w:val="TextBody"/>
                                    <w:bidi w:val="0"/>
                                    <w:spacing w:before="0" w:after="283"/>
                                    <w:jc w:val="left"/>
                                    <w:rPr>
                                      <w:sz w:val="4"/>
                                      <w:szCs w:val="4"/>
                                    </w:rPr>
                                  </w:pPr>
                                  <w:r>
                                    <w:rPr>
                                      <w:sz w:val="4"/>
                                      <w:szCs w:val="4"/>
                                    </w:rPr>
                                    <w:drawing>
                                      <wp:inline distT="0" distB="0" distL="0" distR="0">
                                        <wp:extent cx="2420620" cy="365760"/>
                                        <wp:effectExtent l="0" t="0" r="0" b="0"/>
                                        <wp:docPr id="29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 descr=""/>
                                                <pic:cNvPicPr>
                                                  <a:picLocks noChangeAspect="1" noChangeArrowheads="1"/>
                                                </pic:cNvPicPr>
                                              </pic:nvPicPr>
                                              <pic:blipFill>
                                                <a:blip r:embed="rId8"/>
                                                <a:stretch>
                                                  <a:fillRect/>
                                                </a:stretch>
                                              </pic:blipFill>
                                              <pic:spPr bwMode="auto">
                                                <a:xfrm>
                                                  <a:off x="0" y="0"/>
                                                  <a:ext cx="2420620" cy="36576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90.6pt;height:28.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sz w:val="4"/>
                                <w:szCs w:val="4"/>
                              </w:rPr>
                            </w:pPr>
                            <w:r>
                              <w:rPr>
                                <w:sz w:val="4"/>
                                <w:szCs w:val="4"/>
                              </w:rPr>
                              <w:drawing>
                                <wp:inline distT="0" distB="0" distL="0" distR="0">
                                  <wp:extent cx="2420620" cy="365760"/>
                                  <wp:effectExtent l="0" t="0" r="0" b="0"/>
                                  <wp:docPr id="29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 descr=""/>
                                          <pic:cNvPicPr>
                                            <a:picLocks noChangeAspect="1" noChangeArrowheads="1"/>
                                          </pic:cNvPicPr>
                                        </pic:nvPicPr>
                                        <pic:blipFill>
                                          <a:blip r:embed="rId9"/>
                                          <a:stretch>
                                            <a:fillRect/>
                                          </a:stretch>
                                        </pic:blipFill>
                                        <pic:spPr bwMode="auto">
                                          <a:xfrm>
                                            <a:off x="0" y="0"/>
                                            <a:ext cx="2420620" cy="365760"/>
                                          </a:xfrm>
                                          <a:prstGeom prst="rect">
                                            <a:avLst/>
                                          </a:prstGeom>
                                        </pic:spPr>
                                      </pic:pic>
                                    </a:graphicData>
                                  </a:graphic>
                                </wp:inline>
                              </w:drawing>
                            </w:r>
                          </w:p>
                        </w:txbxContent>
                      </v:textbox>
                      <w10:wrap type="none"/>
                    </v:rect>
                  </w:pict>
                </mc:Fallback>
              </mc:AlternateContent>
            </w:r>
          </w:p>
        </w:tc>
        <w:tc>
          <w:tcPr>
            <w:tcW w:w="2989"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145" w:after="0"/>
              <w:ind w:left="0" w:right="0" w:hanging="0"/>
              <w:jc w:val="center"/>
              <w:rPr>
                <w:rFonts w:ascii="Times New Roman;Times;serif" w:hAnsi="Times New Roman;Times;serif"/>
                <w:sz w:val="22"/>
              </w:rPr>
            </w:pPr>
            <w:r>
              <w:rPr>
                <w:rFonts w:ascii="Times New Roman;Times;serif" w:hAnsi="Times New Roman;Times;serif"/>
                <w:b/>
                <w:sz w:val="24"/>
              </w:rPr>
              <w:t xml:space="preserve">AZIYO BIOLOGICS, </w:t>
            </w:r>
            <w:r>
              <w:rPr>
                <w:rFonts w:ascii="Times New Roman;Times;serif" w:hAnsi="Times New Roman;Times;serif"/>
                <w:b/>
                <w:spacing w:val="-4"/>
                <w:sz w:val="24"/>
              </w:rPr>
              <w:t>INC.</w:t>
            </w:r>
          </w:p>
        </w:tc>
      </w:tr>
      <w:tr>
        <w:trPr/>
        <w:tc>
          <w:tcPr>
            <w:tcW w:w="1534"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9"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b/>
                <w:spacing w:val="-2"/>
                <w:sz w:val="24"/>
              </w:rPr>
            </w:pPr>
            <w:r>
              <w:rPr>
                <w:rFonts w:ascii="Times New Roman;Times;serif" w:hAnsi="Times New Roman;Times;serif"/>
                <w:b/>
                <w:spacing w:val="-2"/>
                <w:sz w:val="24"/>
              </w:rPr>
              <w:t>Signature</w:t>
            </w:r>
          </w:p>
        </w:tc>
        <w:tc>
          <w:tcPr>
            <w:tcW w:w="38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2"/>
              </w:rPr>
            </w:pPr>
            <w:r>
              <w:rPr>
                <w:rFonts w:ascii="Times New Roman;Times;serif" w:hAnsi="Times New Roman;Times;serif"/>
                <w:sz w:val="22"/>
              </w:rPr>
              <w:t>/s/ Agustin Turriza</w:t>
            </w:r>
          </w:p>
        </w:tc>
        <w:tc>
          <w:tcPr>
            <w:tcW w:w="2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center"/>
              <w:rPr>
                <w:rFonts w:ascii="Times New Roman;Times;serif" w:hAnsi="Times New Roman;Times;serif"/>
                <w:sz w:val="14"/>
              </w:rPr>
            </w:pPr>
            <w:r>
              <w:rPr>
                <w:rFonts w:ascii="Times New Roman;Times;serif" w:hAnsi="Times New Roman;Times;serif"/>
                <w:sz w:val="14"/>
              </w:rPr>
              <w:t>/</w:t>
            </w:r>
            <w:r>
              <w:rPr>
                <w:rFonts w:ascii="Times New Roman;Times;serif" w:hAnsi="Times New Roman;Times;serif"/>
                <w:sz w:val="22"/>
              </w:rPr>
              <w:t>s/ Erica Elchin</w:t>
            </w:r>
          </w:p>
          <w:p>
            <w:pPr>
              <w:pStyle w:val="TableContents"/>
              <w:bidi w:val="0"/>
              <w:spacing w:lineRule="auto" w:line="285" w:before="0" w:after="0"/>
              <w:ind w:left="0" w:right="0" w:hanging="0"/>
              <w:jc w:val="left"/>
              <w:rPr/>
            </w:pPr>
            <w:r>
              <w:rPr/>
              <w:t>​</w:t>
            </w:r>
          </w:p>
        </w:tc>
      </w:tr>
      <w:tr>
        <w:trPr/>
        <w:tc>
          <w:tcPr>
            <w:tcW w:w="1534"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135" w:after="0"/>
              <w:ind w:left="0" w:right="0" w:hanging="0"/>
              <w:jc w:val="left"/>
              <w:rPr>
                <w:rFonts w:ascii="Times New Roman;Times;serif" w:hAnsi="Times New Roman;Times;serif"/>
                <w:sz w:val="22"/>
              </w:rPr>
            </w:pPr>
            <w:r>
              <w:rPr>
                <w:rFonts w:ascii="Times New Roman;Times;serif" w:hAnsi="Times New Roman;Times;serif"/>
                <w:b/>
                <w:sz w:val="24"/>
              </w:rPr>
              <w:t>Printed</w:t>
            </w:r>
            <w:r>
              <w:rPr>
                <w:rFonts w:ascii="Times New Roman;Times;serif" w:hAnsi="Times New Roman;Times;serif"/>
                <w:spacing w:val="-7"/>
                <w:sz w:val="22"/>
              </w:rPr>
              <w:t xml:space="preserve"> </w:t>
            </w:r>
            <w:r>
              <w:rPr>
                <w:rFonts w:ascii="Times New Roman;Times;serif" w:hAnsi="Times New Roman;Times;serif"/>
                <w:b/>
                <w:spacing w:val="-4"/>
                <w:sz w:val="24"/>
              </w:rPr>
              <w:t>Name</w:t>
            </w:r>
          </w:p>
        </w:tc>
        <w:tc>
          <w:tcPr>
            <w:tcW w:w="38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135" w:after="0"/>
              <w:ind w:left="0" w:right="0" w:hanging="0"/>
              <w:jc w:val="center"/>
              <w:rPr>
                <w:rFonts w:ascii="Times New Roman;Times;serif" w:hAnsi="Times New Roman;Times;serif"/>
                <w:sz w:val="22"/>
              </w:rPr>
            </w:pPr>
            <w:r>
              <w:rPr>
                <w:rFonts w:ascii="Times New Roman;Times;serif" w:hAnsi="Times New Roman;Times;serif"/>
                <w:b/>
                <w:sz w:val="24"/>
              </w:rPr>
              <w:t>Agustin</w:t>
            </w:r>
            <w:r>
              <w:rPr>
                <w:rFonts w:ascii="Times New Roman;Times;serif" w:hAnsi="Times New Roman;Times;serif"/>
                <w:spacing w:val="-7"/>
                <w:sz w:val="22"/>
              </w:rPr>
              <w:t xml:space="preserve"> </w:t>
            </w:r>
            <w:r>
              <w:rPr>
                <w:rFonts w:ascii="Times New Roman;Times;serif" w:hAnsi="Times New Roman;Times;serif"/>
                <w:b/>
                <w:spacing w:val="-2"/>
                <w:sz w:val="24"/>
              </w:rPr>
              <w:t>Turriza</w:t>
            </w:r>
          </w:p>
        </w:tc>
        <w:tc>
          <w:tcPr>
            <w:tcW w:w="2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135" w:after="0"/>
              <w:ind w:left="0" w:right="0" w:hanging="0"/>
              <w:jc w:val="center"/>
              <w:rPr>
                <w:rFonts w:ascii="Times New Roman;Times;serif" w:hAnsi="Times New Roman;Times;serif"/>
                <w:sz w:val="22"/>
              </w:rPr>
            </w:pPr>
            <w:r>
              <w:rPr>
                <w:rFonts w:ascii="Times New Roman;Times;serif" w:hAnsi="Times New Roman;Times;serif"/>
                <w:b/>
                <w:sz w:val="24"/>
              </w:rPr>
              <w:t xml:space="preserve">Erica </w:t>
            </w:r>
            <w:r>
              <w:rPr>
                <w:rFonts w:ascii="Times New Roman;Times;serif" w:hAnsi="Times New Roman;Times;serif"/>
                <w:b/>
                <w:spacing w:val="-2"/>
                <w:sz w:val="24"/>
              </w:rPr>
              <w:t>Elchin</w:t>
            </w:r>
          </w:p>
        </w:tc>
      </w:tr>
      <w:tr>
        <w:trPr/>
        <w:tc>
          <w:tcPr>
            <w:tcW w:w="1534" w:type="dxa"/>
            <w:tcBorders>
              <w:top w:val="single" w:sz="2" w:space="0" w:color="000000"/>
              <w:left w:val="single" w:sz="2" w:space="0" w:color="000000"/>
              <w:bottom w:val="single" w:sz="2" w:space="0" w:color="000000"/>
              <w:right w:val="single" w:sz="2" w:space="0" w:color="000000"/>
            </w:tcBorders>
            <w:shd w:fill="D9D9D9" w:val="clear"/>
            <w:tcMar>
              <w:top w:w="28" w:type="dxa"/>
              <w:left w:w="28" w:type="dxa"/>
              <w:bottom w:w="28" w:type="dxa"/>
              <w:right w:w="28" w:type="dxa"/>
            </w:tcMar>
            <w:vAlign w:val="center"/>
          </w:tcPr>
          <w:p>
            <w:pPr>
              <w:pStyle w:val="TableContents"/>
              <w:bidi w:val="0"/>
              <w:spacing w:lineRule="auto" w:line="285" w:before="135" w:after="0"/>
              <w:ind w:left="0" w:right="0" w:hanging="0"/>
              <w:jc w:val="left"/>
              <w:rPr>
                <w:rFonts w:ascii="Times New Roman;Times;serif" w:hAnsi="Times New Roman;Times;serif"/>
                <w:b/>
                <w:spacing w:val="-2"/>
                <w:sz w:val="24"/>
              </w:rPr>
            </w:pPr>
            <w:r>
              <w:rPr>
                <w:rFonts w:ascii="Times New Roman;Times;serif" w:hAnsi="Times New Roman;Times;serif"/>
                <w:b/>
                <w:spacing w:val="-2"/>
                <w:sz w:val="24"/>
              </w:rPr>
              <w:t>Title</w:t>
            </w:r>
          </w:p>
        </w:tc>
        <w:tc>
          <w:tcPr>
            <w:tcW w:w="389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135" w:after="0"/>
              <w:ind w:left="0" w:right="0" w:hanging="0"/>
              <w:jc w:val="center"/>
              <w:rPr>
                <w:rFonts w:ascii="Times New Roman;Times;serif" w:hAnsi="Times New Roman;Times;serif"/>
                <w:sz w:val="22"/>
              </w:rPr>
            </w:pPr>
            <w:r>
              <w:rPr>
                <w:rFonts w:ascii="Times New Roman;Times;serif" w:hAnsi="Times New Roman;Times;serif"/>
                <w:b/>
                <w:sz w:val="24"/>
              </w:rPr>
              <w:t xml:space="preserve">Director, Quality </w:t>
            </w:r>
            <w:r>
              <w:rPr>
                <w:rFonts w:ascii="Times New Roman;Times;serif" w:hAnsi="Times New Roman;Times;serif"/>
                <w:b/>
                <w:spacing w:val="-2"/>
                <w:sz w:val="24"/>
              </w:rPr>
              <w:t>Affairs</w:t>
            </w:r>
          </w:p>
        </w:tc>
        <w:tc>
          <w:tcPr>
            <w:tcW w:w="2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135" w:after="0"/>
              <w:ind w:left="476" w:right="475" w:hanging="0"/>
              <w:jc w:val="center"/>
              <w:rPr>
                <w:rFonts w:ascii="Times New Roman;Times;serif" w:hAnsi="Times New Roman;Times;serif"/>
                <w:sz w:val="22"/>
              </w:rPr>
            </w:pPr>
            <w:r>
              <w:rPr>
                <w:rFonts w:ascii="Times New Roman;Times;serif" w:hAnsi="Times New Roman;Times;serif"/>
                <w:b/>
                <w:sz w:val="24"/>
              </w:rPr>
              <w:t xml:space="preserve">VP, Global </w:t>
            </w:r>
            <w:r>
              <w:rPr>
                <w:rFonts w:ascii="Times New Roman;Times;serif" w:hAnsi="Times New Roman;Times;serif"/>
                <w:b/>
                <w:spacing w:val="-2"/>
                <w:sz w:val="24"/>
              </w:rPr>
              <w:t>Operations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Exhibit F</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TRADEMARKS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Aziyo</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ProxiCor</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Tyke</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VasCure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26" w:name="azyo-20230630xex31d1.htm"/>
      <w:bookmarkStart w:id="927" w:name="ksazyo20230630xex31d1"/>
      <w:bookmarkEnd w:id="926"/>
      <w:bookmarkEnd w:id="927"/>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C. Randal Mills, certify that:</w:t>
      </w:r>
    </w:p>
    <w:p>
      <w:pPr>
        <w:pStyle w:val="TextBody"/>
        <w:bidi w:val="0"/>
        <w:spacing w:before="0" w:after="0"/>
        <w:ind w:left="0" w:right="0" w:hanging="0"/>
        <w:jc w:val="both"/>
        <w:rPr/>
      </w:pPr>
      <w:r>
        <w:rPr/>
        <w:t>​</w:t>
      </w:r>
    </w:p>
    <w:tbl>
      <w:tblPr>
        <w:tblW w:w="10098" w:type="dxa"/>
        <w:jc w:val="left"/>
        <w:tblInd w:w="0" w:type="dxa"/>
        <w:tblLayout w:type="fixed"/>
        <w:tblCellMar>
          <w:top w:w="0" w:type="dxa"/>
          <w:left w:w="0" w:type="dxa"/>
          <w:bottom w:w="0" w:type="dxa"/>
          <w:right w:w="0" w:type="dxa"/>
        </w:tblCellMar>
      </w:tblPr>
      <w:tblGrid>
        <w:gridCol w:w="23"/>
        <w:gridCol w:w="170"/>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for the quarterly period ended June 30, 2023 of Aziyo Biologics, Inc.;</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08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w:t>
      </w:r>
    </w:p>
    <w:tbl>
      <w:tblPr>
        <w:tblW w:w="5598" w:type="dxa"/>
        <w:jc w:val="center"/>
        <w:tblInd w:w="0" w:type="dxa"/>
        <w:tblLayout w:type="fixed"/>
        <w:tblCellMar>
          <w:top w:w="0" w:type="dxa"/>
          <w:left w:w="0" w:type="dxa"/>
          <w:bottom w:w="0" w:type="dxa"/>
          <w:right w:w="0" w:type="dxa"/>
        </w:tblCellMar>
      </w:tblPr>
      <w:tblGrid>
        <w:gridCol w:w="1951"/>
        <w:gridCol w:w="406"/>
        <w:gridCol w:w="32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24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2023</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2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 Randal Mills</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 Randal Mills</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928" w:name="azyo-20230630xex31d2.htm"/>
      <w:bookmarkStart w:id="929" w:name="ksazyo20230630xex31d2"/>
      <w:bookmarkEnd w:id="928"/>
      <w:bookmarkEnd w:id="929"/>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Matthew Ferguson, certify that:</w:t>
      </w:r>
    </w:p>
    <w:p>
      <w:pPr>
        <w:pStyle w:val="TextBody"/>
        <w:bidi w:val="0"/>
        <w:spacing w:before="0" w:after="0"/>
        <w:ind w:left="0" w:right="0" w:hanging="0"/>
        <w:jc w:val="both"/>
        <w:rPr/>
      </w:pPr>
      <w:r>
        <w:rPr/>
        <w:t>​</w:t>
      </w:r>
    </w:p>
    <w:tbl>
      <w:tblPr>
        <w:tblW w:w="10098" w:type="dxa"/>
        <w:jc w:val="left"/>
        <w:tblInd w:w="0" w:type="dxa"/>
        <w:tblLayout w:type="fixed"/>
        <w:tblCellMar>
          <w:top w:w="0" w:type="dxa"/>
          <w:left w:w="0" w:type="dxa"/>
          <w:bottom w:w="0" w:type="dxa"/>
          <w:right w:w="0" w:type="dxa"/>
        </w:tblCellMar>
      </w:tblPr>
      <w:tblGrid>
        <w:gridCol w:w="23"/>
        <w:gridCol w:w="170"/>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quarterly period ended June 30, 2023 of Aziyo Biologics, Inc.;</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36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080" w:right="0" w:hanging="108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773" w:type="dxa"/>
        <w:jc w:val="center"/>
        <w:tblInd w:w="0" w:type="dxa"/>
        <w:tblLayout w:type="fixed"/>
        <w:tblCellMar>
          <w:top w:w="0" w:type="dxa"/>
          <w:left w:w="0" w:type="dxa"/>
          <w:bottom w:w="0" w:type="dxa"/>
          <w:right w:w="0" w:type="dxa"/>
        </w:tblCellMar>
      </w:tblPr>
      <w:tblGrid>
        <w:gridCol w:w="1951"/>
        <w:gridCol w:w="406"/>
        <w:gridCol w:w="241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1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Chief Financial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930" w:name="azyo-20230630xex32d1.htm"/>
      <w:bookmarkStart w:id="931" w:name="ksazyo20230630xex32d1"/>
      <w:bookmarkEnd w:id="930"/>
      <w:bookmarkEnd w:id="931"/>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connection with the Quarterly Report of Aziyo Biologics, Inc. (the “Company”) on Form 10-Q for the quarterly period ended June 30, 2023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firstLine="63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598" w:type="dxa"/>
        <w:jc w:val="center"/>
        <w:tblInd w:w="0" w:type="dxa"/>
        <w:tblLayout w:type="fixed"/>
        <w:tblCellMar>
          <w:top w:w="0" w:type="dxa"/>
          <w:left w:w="0" w:type="dxa"/>
          <w:bottom w:w="0" w:type="dxa"/>
          <w:right w:w="0" w:type="dxa"/>
        </w:tblCellMar>
      </w:tblPr>
      <w:tblGrid>
        <w:gridCol w:w="1951"/>
        <w:gridCol w:w="406"/>
        <w:gridCol w:w="3241"/>
      </w:tblGrid>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4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 Randal Mills</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 Randal Mills</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24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President and Chief Executive Officer</w:t>
            </w:r>
          </w:p>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p>
      <w:pPr>
        <w:pStyle w:val="TextBody"/>
        <w:bidi w:val="0"/>
        <w:spacing w:before="0" w:after="0"/>
        <w:ind w:left="0" w:right="0" w:firstLine="1260"/>
        <w:jc w:val="right"/>
        <w:rPr>
          <w:rFonts w:ascii="Times New Roman;Times;serif" w:hAnsi="Times New Roman;Times;serif"/>
          <w:b/>
          <w:sz w:val="20"/>
        </w:rPr>
      </w:pPr>
      <w:bookmarkStart w:id="932" w:name="azyo-20230630xex32d2.htm"/>
      <w:bookmarkStart w:id="933" w:name="ksazyo20230630xex32d2"/>
      <w:bookmarkEnd w:id="932"/>
      <w:bookmarkEnd w:id="933"/>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In connection with the Quarterly Report of Aziyo Biologics, Inc. (the “Company”) on Form 10-Q for the quarterly period ended June 30, 2023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firstLine="63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9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773" w:type="dxa"/>
        <w:jc w:val="left"/>
        <w:tblInd w:w="0" w:type="dxa"/>
        <w:tblLayout w:type="fixed"/>
        <w:tblCellMar>
          <w:top w:w="0" w:type="dxa"/>
          <w:left w:w="0" w:type="dxa"/>
          <w:bottom w:w="0" w:type="dxa"/>
          <w:right w:w="0" w:type="dxa"/>
        </w:tblCellMar>
      </w:tblPr>
      <w:tblGrid>
        <w:gridCol w:w="1951"/>
        <w:gridCol w:w="406"/>
        <w:gridCol w:w="2416"/>
      </w:tblGrid>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Matthew Ferguson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 xml:space="preserve">Chief Financial Officer </w:t>
            </w:r>
            <w:r>
              <w:rPr>
                <w:rFonts w:ascii="Times New Roman;Times;serif" w:hAnsi="Times New Roman;Times;serif"/>
                <w:sz w:val="20"/>
              </w:rPr>
              <w:br/>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Calibri">
    <w:altName w:val="Helvetica"/>
    <w:charset w:val="01"/>
    <w:family w:val="auto"/>
    <w:pitch w:val="default"/>
  </w:font>
  <w:font w:name="Times">
    <w:altName w:val="Times New Roman"/>
    <w:charset w:val="01"/>
    <w:family w:val="auto"/>
    <w:pitch w:val="default"/>
  </w:font>
  <w:font w:name="Garamond">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8527/000110465920114535/tm2023171d18_ex3-1.htm" TargetMode="External"/><Relationship Id="rId3" Type="http://schemas.openxmlformats.org/officeDocument/2006/relationships/hyperlink" Target="https://www.sec.gov/Archives/edgar/data/1708527/000110465920114535/tm2023171d18_ex3-2.htm" TargetMode="External"/><Relationship Id="rId4" Type="http://schemas.openxmlformats.org/officeDocument/2006/relationships/hyperlink" Target="https://www.sec.gov/Archives/edgar/data/1708527/000110465920104884/tm2023171d8_ex4-1.htm" TargetMode="External"/><Relationship Id="rId5" Type="http://schemas.openxmlformats.org/officeDocument/2006/relationships/hyperlink" Target="https://www.sec.gov/Archives/edgar/data/1708527/000110465920104884/tm2023171d8_ex4-2.htm" TargetMode="External"/><Relationship Id="rId6" Type="http://schemas.openxmlformats.org/officeDocument/2006/relationships/hyperlink" Target="https://www.sec.gov/Archives/edgar/data/1708527/000110465920110107/tm2023171d11_ex4-3.htm" TargetMode="External"/><Relationship Id="rId7" Type="http://schemas.openxmlformats.org/officeDocument/2006/relationships/hyperlink" Target="https://www.sec.gov/Archives/edgar/data/1708527/000110465922091214/tm2223445d1_ex4-1.htm" TargetMode="External"/><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40474</Words>
  <Characters>222048</Characters>
  <CharactersWithSpaces>264275</CharactersWithSpaces>
  <Paragraphs>6403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