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503555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572135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69850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75" w:lineRule="exact"/>
        <w:rPr>
          <w:sz w:val="24"/>
          <w:szCs w:val="24"/>
          <w:color w:val="auto"/>
        </w:rPr>
      </w:pPr>
    </w:p>
    <w:p>
      <w:pPr>
        <w:ind w:left="10"/>
        <w:spacing w:after="0"/>
        <w:rPr>
          <w:sz w:val="20"/>
          <w:szCs w:val="20"/>
          <w:color w:val="auto"/>
        </w:rPr>
      </w:pPr>
      <w:r>
        <w:rPr>
          <w:rFonts w:ascii="Arial" w:cs="Arial" w:eastAsia="Arial" w:hAnsi="Arial"/>
          <w:sz w:val="16"/>
          <w:szCs w:val="16"/>
          <w:color w:val="auto"/>
        </w:rPr>
        <w:t>(Mark One)</w:t>
      </w:r>
    </w:p>
    <w:p>
      <w:pPr>
        <w:spacing w:after="0" w:line="150" w:lineRule="exact"/>
        <w:rPr>
          <w:sz w:val="24"/>
          <w:szCs w:val="24"/>
          <w:color w:val="auto"/>
        </w:rPr>
      </w:pPr>
    </w:p>
    <w:p>
      <w:pPr>
        <w:ind w:left="3550" w:right="1680" w:hanging="3550"/>
        <w:spacing w:after="0" w:line="269" w:lineRule="auto"/>
        <w:tabs>
          <w:tab w:leader="none" w:pos="32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ind w:left="5370"/>
        <w:spacing w:after="0"/>
        <w:rPr>
          <w:sz w:val="20"/>
          <w:szCs w:val="20"/>
          <w:color w:val="auto"/>
        </w:rPr>
      </w:pPr>
      <w:r>
        <w:rPr>
          <w:rFonts w:ascii="Arial" w:cs="Arial" w:eastAsia="Arial" w:hAnsi="Arial"/>
          <w:sz w:val="16"/>
          <w:szCs w:val="16"/>
          <w:b w:val="1"/>
          <w:bCs w:val="1"/>
          <w:color w:val="auto"/>
        </w:rPr>
        <w:t>or</w:t>
      </w:r>
    </w:p>
    <w:p>
      <w:pPr>
        <w:spacing w:after="0" w:line="132" w:lineRule="exact"/>
        <w:rPr>
          <w:sz w:val="24"/>
          <w:szCs w:val="24"/>
          <w:color w:val="auto"/>
        </w:rPr>
      </w:pPr>
    </w:p>
    <w:p>
      <w:pPr>
        <w:ind w:left="330" w:hanging="330"/>
        <w:spacing w:after="0"/>
        <w:tabs>
          <w:tab w:leader="none" w:pos="33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1130" w:type="dxa"/>
        <w:tblCellMar>
          <w:top w:w="0" w:type="dxa"/>
          <w:left w:w="0" w:type="dxa"/>
          <w:bottom w:w="0" w:type="dxa"/>
          <w:right w:w="0" w:type="dxa"/>
        </w:tblCellMar>
      </w:tblPr>
      <w:tr>
        <w:trPr>
          <w:trHeight w:val="210"/>
        </w:trPr>
        <w:tc>
          <w:tcPr>
            <w:tcW w:w="5260" w:type="dxa"/>
            <w:vAlign w:val="bottom"/>
            <w:gridSpan w:val="2"/>
          </w:tcPr>
          <w:p>
            <w:pPr>
              <w:ind w:left="2540"/>
              <w:spacing w:after="0"/>
              <w:rPr>
                <w:sz w:val="20"/>
                <w:szCs w:val="20"/>
                <w:color w:val="auto"/>
              </w:rPr>
            </w:pPr>
            <w:r>
              <w:rPr>
                <w:rFonts w:ascii="Arial" w:cs="Arial" w:eastAsia="Arial" w:hAnsi="Arial"/>
                <w:sz w:val="16"/>
                <w:szCs w:val="16"/>
                <w:b w:val="1"/>
                <w:bCs w:val="1"/>
                <w:color w:val="auto"/>
              </w:rPr>
              <w:t>For the transition period from</w:t>
            </w:r>
          </w:p>
        </w:tc>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to</w:t>
            </w:r>
          </w:p>
        </w:tc>
      </w:tr>
      <w:tr>
        <w:trPr>
          <w:trHeight w:val="319"/>
        </w:trPr>
        <w:tc>
          <w:tcPr>
            <w:tcW w:w="27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1"/>
              </w:rPr>
              <w:t>Commission file number: 001-39577</w:t>
            </w:r>
          </w:p>
        </w:tc>
        <w:tc>
          <w:tcPr>
            <w:tcW w:w="2600" w:type="dxa"/>
            <w:vAlign w:val="bottom"/>
          </w:tcPr>
          <w:p>
            <w:pPr>
              <w:spacing w:after="0"/>
              <w:rPr>
                <w:sz w:val="24"/>
                <w:szCs w:val="24"/>
                <w:color w:val="auto"/>
              </w:rPr>
            </w:pPr>
          </w:p>
        </w:tc>
      </w:tr>
      <w:tr>
        <w:trPr>
          <w:trHeight w:val="128"/>
        </w:trPr>
        <w:tc>
          <w:tcPr>
            <w:tcW w:w="2700" w:type="dxa"/>
            <w:vAlign w:val="bottom"/>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2600" w:type="dxa"/>
            <w:vAlign w:val="bottom"/>
          </w:tcPr>
          <w:p>
            <w:pPr>
              <w:spacing w:after="0"/>
              <w:rPr>
                <w:sz w:val="11"/>
                <w:szCs w:val="11"/>
                <w:color w:val="auto"/>
              </w:rPr>
            </w:pPr>
          </w:p>
        </w:tc>
      </w:tr>
      <w:tr>
        <w:trPr>
          <w:trHeight w:val="377"/>
        </w:trPr>
        <w:tc>
          <w:tcPr>
            <w:tcW w:w="27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9"/>
                <w:szCs w:val="29"/>
                <w:b w:val="1"/>
                <w:bCs w:val="1"/>
                <w:color w:val="auto"/>
                <w:w w:val="88"/>
              </w:rPr>
              <w:t>Aziyo Biologics, Inc.</w:t>
            </w:r>
          </w:p>
        </w:tc>
        <w:tc>
          <w:tcPr>
            <w:tcW w:w="2600" w:type="dxa"/>
            <w:vAlign w:val="bottom"/>
          </w:tcPr>
          <w:p>
            <w:pPr>
              <w:spacing w:after="0"/>
              <w:rPr>
                <w:sz w:val="24"/>
                <w:szCs w:val="24"/>
                <w:color w:val="auto"/>
              </w:rPr>
            </w:pPr>
          </w:p>
        </w:tc>
      </w:tr>
      <w:tr>
        <w:trPr>
          <w:trHeight w:val="218"/>
        </w:trPr>
        <w:tc>
          <w:tcPr>
            <w:tcW w:w="7860" w:type="dxa"/>
            <w:vAlign w:val="bottom"/>
            <w:gridSpan w:val="3"/>
          </w:tcPr>
          <w:p>
            <w:pPr>
              <w:jc w:val="center"/>
              <w:ind w:left="3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73"/>
        </w:trPr>
        <w:tc>
          <w:tcPr>
            <w:tcW w:w="270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r>
      <w:tr>
        <w:trPr>
          <w:trHeight w:val="663"/>
        </w:trPr>
        <w:tc>
          <w:tcPr>
            <w:tcW w:w="5260" w:type="dxa"/>
            <w:vAlign w:val="bottom"/>
            <w:gridSpan w:val="2"/>
          </w:tcPr>
          <w:p>
            <w:pPr>
              <w:jc w:val="center"/>
              <w:ind w:right="2148"/>
              <w:spacing w:after="0"/>
              <w:rPr>
                <w:sz w:val="20"/>
                <w:szCs w:val="20"/>
                <w:color w:val="auto"/>
              </w:rPr>
            </w:pPr>
            <w:r>
              <w:rPr>
                <w:rFonts w:ascii="Arial" w:cs="Arial" w:eastAsia="Arial" w:hAnsi="Arial"/>
                <w:sz w:val="16"/>
                <w:szCs w:val="16"/>
                <w:b w:val="1"/>
                <w:bCs w:val="1"/>
                <w:color w:val="auto"/>
                <w:w w:val="91"/>
              </w:rPr>
              <w:t>Delaware</w:t>
            </w:r>
          </w:p>
        </w:tc>
        <w:tc>
          <w:tcPr>
            <w:tcW w:w="2600" w:type="dxa"/>
            <w:vAlign w:val="bottom"/>
          </w:tcPr>
          <w:p>
            <w:pPr>
              <w:jc w:val="right"/>
              <w:ind w:right="719"/>
              <w:spacing w:after="0"/>
              <w:rPr>
                <w:sz w:val="20"/>
                <w:szCs w:val="20"/>
                <w:color w:val="auto"/>
              </w:rPr>
            </w:pPr>
            <w:r>
              <w:rPr>
                <w:rFonts w:ascii="Arial" w:cs="Arial" w:eastAsia="Arial" w:hAnsi="Arial"/>
                <w:sz w:val="16"/>
                <w:szCs w:val="16"/>
                <w:b w:val="1"/>
                <w:bCs w:val="1"/>
                <w:color w:val="auto"/>
              </w:rPr>
              <w:t>47-4790334</w:t>
            </w:r>
          </w:p>
        </w:tc>
      </w:tr>
      <w:tr>
        <w:trPr>
          <w:trHeight w:val="226"/>
        </w:trPr>
        <w:tc>
          <w:tcPr>
            <w:tcW w:w="5260" w:type="dxa"/>
            <w:vAlign w:val="bottom"/>
            <w:gridSpan w:val="2"/>
          </w:tcPr>
          <w:p>
            <w:pPr>
              <w:jc w:val="center"/>
              <w:ind w:right="2188"/>
              <w:spacing w:after="0"/>
              <w:rPr>
                <w:sz w:val="20"/>
                <w:szCs w:val="20"/>
                <w:color w:val="auto"/>
              </w:rPr>
            </w:pPr>
            <w:r>
              <w:rPr>
                <w:rFonts w:ascii="Arial" w:cs="Arial" w:eastAsia="Arial" w:hAnsi="Arial"/>
                <w:sz w:val="16"/>
                <w:szCs w:val="16"/>
                <w:color w:val="auto"/>
                <w:w w:val="93"/>
              </w:rPr>
              <w:t>(State or other jurisdiction of incorporation or</w:t>
            </w:r>
          </w:p>
        </w:tc>
        <w:tc>
          <w:tcPr>
            <w:tcW w:w="2600" w:type="dxa"/>
            <w:vAlign w:val="bottom"/>
          </w:tcPr>
          <w:p>
            <w:pPr>
              <w:jc w:val="center"/>
              <w:ind w:left="159"/>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5260" w:type="dxa"/>
            <w:vAlign w:val="bottom"/>
            <w:gridSpan w:val="2"/>
          </w:tcPr>
          <w:p>
            <w:pPr>
              <w:ind w:left="740"/>
              <w:spacing w:after="0"/>
              <w:rPr>
                <w:sz w:val="20"/>
                <w:szCs w:val="20"/>
                <w:color w:val="auto"/>
              </w:rPr>
            </w:pPr>
            <w:r>
              <w:rPr>
                <w:rFonts w:ascii="Arial" w:cs="Arial" w:eastAsia="Arial" w:hAnsi="Arial"/>
                <w:sz w:val="16"/>
                <w:szCs w:val="16"/>
                <w:color w:val="auto"/>
              </w:rPr>
              <w:t>organization)</w:t>
            </w:r>
          </w:p>
        </w:tc>
        <w:tc>
          <w:tcPr>
            <w:tcW w:w="2600" w:type="dxa"/>
            <w:vAlign w:val="bottom"/>
          </w:tcPr>
          <w:p>
            <w:pPr>
              <w:spacing w:after="0"/>
              <w:rPr>
                <w:sz w:val="17"/>
                <w:szCs w:val="17"/>
                <w:color w:val="auto"/>
              </w:rPr>
            </w:pPr>
          </w:p>
        </w:tc>
      </w:tr>
    </w:tbl>
    <w:p>
      <w:pPr>
        <w:spacing w:after="0" w:line="208"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12510 Prosperity Drive, Suite 370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Silver Spring, MD 20904</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(Address of principal executive offices and Zip Code)</w:t>
      </w:r>
    </w:p>
    <w:p>
      <w:pPr>
        <w:spacing w:after="0" w:line="105" w:lineRule="exact"/>
        <w:rPr>
          <w:sz w:val="24"/>
          <w:szCs w:val="24"/>
          <w:color w:val="auto"/>
        </w:rPr>
      </w:pPr>
    </w:p>
    <w:p>
      <w:pPr>
        <w:jc w:val="center"/>
        <w:ind w:right="-29"/>
        <w:spacing w:after="0"/>
        <w:rPr>
          <w:sz w:val="20"/>
          <w:szCs w:val="20"/>
          <w:color w:val="auto"/>
        </w:rPr>
      </w:pPr>
      <w:r>
        <w:rPr>
          <w:rFonts w:ascii="Arial" w:cs="Arial" w:eastAsia="Arial" w:hAnsi="Arial"/>
          <w:sz w:val="16"/>
          <w:szCs w:val="16"/>
          <w:b w:val="1"/>
          <w:bCs w:val="1"/>
          <w:color w:val="auto"/>
        </w:rPr>
        <w:t>(240) 247-1170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(Registrant’s telephone number, including area code)</w:t>
      </w:r>
    </w:p>
    <w:p>
      <w:pPr>
        <w:spacing w:after="0" w:line="10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0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213"/>
        </w:trPr>
        <w:tc>
          <w:tcPr>
            <w:tcW w:w="3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Title of each class</w:t>
            </w:r>
          </w:p>
        </w:tc>
        <w:tc>
          <w:tcPr>
            <w:tcW w:w="3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Trading Symbol(s)</w:t>
            </w:r>
          </w:p>
        </w:tc>
        <w:tc>
          <w:tcPr>
            <w:tcW w:w="32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Class A Common Stock, par value $0.001 per</w:t>
            </w:r>
          </w:p>
        </w:tc>
        <w:tc>
          <w:tcPr>
            <w:tcW w:w="220" w:type="dxa"/>
            <w:vAlign w:val="bottom"/>
          </w:tcPr>
          <w:p>
            <w:pPr>
              <w:spacing w:after="0"/>
              <w:rPr>
                <w:sz w:val="16"/>
                <w:szCs w:val="16"/>
                <w:color w:val="auto"/>
              </w:rPr>
            </w:pPr>
          </w:p>
        </w:tc>
        <w:tc>
          <w:tcPr>
            <w:tcW w:w="3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tcBorders>
              <w:top w:val="single" w:sz="8" w:color="auto"/>
            </w:tcBorders>
          </w:tcPr>
          <w:p>
            <w:pPr>
              <w:spacing w:after="0"/>
              <w:rPr>
                <w:sz w:val="16"/>
                <w:szCs w:val="16"/>
                <w:color w:val="auto"/>
              </w:rPr>
            </w:pPr>
          </w:p>
        </w:tc>
      </w:tr>
      <w:tr>
        <w:trPr>
          <w:trHeight w:val="206"/>
        </w:trPr>
        <w:tc>
          <w:tcPr>
            <w:tcW w:w="3480" w:type="dxa"/>
            <w:vAlign w:val="bottom"/>
            <w:gridSpan w:val="2"/>
          </w:tcPr>
          <w:p>
            <w:pPr>
              <w:jc w:val="center"/>
              <w:ind w:right="220"/>
              <w:spacing w:after="0"/>
              <w:rPr>
                <w:sz w:val="20"/>
                <w:szCs w:val="20"/>
                <w:color w:val="auto"/>
              </w:rPr>
            </w:pPr>
            <w:r>
              <w:rPr>
                <w:rFonts w:ascii="Arial" w:cs="Arial" w:eastAsia="Arial" w:hAnsi="Arial"/>
                <w:sz w:val="16"/>
                <w:szCs w:val="16"/>
                <w:color w:val="auto"/>
                <w:w w:val="84"/>
              </w:rPr>
              <w:t>share</w:t>
            </w:r>
          </w:p>
        </w:tc>
        <w:tc>
          <w:tcPr>
            <w:tcW w:w="3460" w:type="dxa"/>
            <w:vAlign w:val="bottom"/>
            <w:gridSpan w:val="2"/>
          </w:tcPr>
          <w:p>
            <w:pPr>
              <w:jc w:val="center"/>
              <w:ind w:right="220"/>
              <w:spacing w:after="0"/>
              <w:rPr>
                <w:sz w:val="20"/>
                <w:szCs w:val="20"/>
                <w:color w:val="auto"/>
              </w:rPr>
            </w:pPr>
            <w:r>
              <w:rPr>
                <w:rFonts w:ascii="Arial" w:cs="Arial" w:eastAsia="Arial" w:hAnsi="Arial"/>
                <w:sz w:val="16"/>
                <w:szCs w:val="16"/>
                <w:color w:val="auto"/>
              </w:rPr>
              <w:t>AZYO</w:t>
            </w:r>
          </w:p>
        </w:tc>
        <w:tc>
          <w:tcPr>
            <w:tcW w:w="328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106680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6"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2750" w:type="dxa"/>
        <w:tblCellMar>
          <w:top w:w="0" w:type="dxa"/>
          <w:left w:w="0" w:type="dxa"/>
          <w:bottom w:w="0" w:type="dxa"/>
          <w:right w:w="0" w:type="dxa"/>
        </w:tblCellMar>
      </w:tblPr>
      <w:tr>
        <w:trPr>
          <w:trHeight w:val="203"/>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18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66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18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58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620" w:type="dxa"/>
            <w:vAlign w:val="bottom"/>
          </w:tcPr>
          <w:p>
            <w:pPr>
              <w:ind w:left="162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left="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left="10" w:firstLine="648"/>
        <w:spacing w:after="0" w:line="293" w:lineRule="auto"/>
        <w:rPr>
          <w:sz w:val="20"/>
          <w:szCs w:val="20"/>
          <w:color w:val="auto"/>
        </w:rPr>
      </w:pPr>
      <w:r>
        <w:rPr>
          <w:rFonts w:ascii="Arial" w:cs="Arial" w:eastAsia="Arial" w:hAnsi="Arial"/>
          <w:sz w:val="16"/>
          <w:szCs w:val="16"/>
          <w:color w:val="auto"/>
        </w:rPr>
        <w:t>As of August 9, 2021, there were 7,095,265 shares of the registrant’s Class A common stock and 3,134,162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501015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38100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81280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results of operations, financial position, projected growth in our net sales, seasonality, business strategy, policies and approach, including, without limitation, expectations regarding our products and their targeted effects, plans for our sales and marketing growth and anticipated expansion of our product development and clinical and research activities, expectations regarding competition, our competitive advantages, regulations that impact our business, and overall clinical and commercial success, expectations regarding the lawsuits currently pending related to our recent recall of a single lot of Fiber Viable Bone Matrix (“FiberCel”) and the potential impact of the pandemic related to COVID-19 and variants thereof such as Delta on our business.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Without limiting the foregoing, in some cases, you can identify forward-looking statements by terms such as “aim”, “believe,”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the other important factors identified in Part I, Item 2. “Management’s Discussion and Analysis of Financial Condition and Results of Operations” and Part II, Item 1A. “Risk Factors” in this Quarterly Report, in Part I, Item 1A. “Risk Factors” and Part II, Item 7. “Management’s Discussion and Analysis of Financial Condition and Results of Operations” in our Annual Report on Form 10-K for the fiscal year ended December 31, 2020 (the “Annual Report”) and in our other filings with the Securities and Exchange Commission (the “SEC”), each of which filings are accessible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and the Investor Relations page of our website at https://investors.aziyo.com/reports. These risks and uncertainties include, but are not limited to:</w:t>
      </w:r>
    </w:p>
    <w:p>
      <w:pPr>
        <w:spacing w:after="0" w:line="182" w:lineRule="exact"/>
        <w:rPr>
          <w:sz w:val="20"/>
          <w:szCs w:val="20"/>
          <w:color w:val="auto"/>
        </w:rPr>
      </w:pPr>
    </w:p>
    <w:p>
      <w:pPr>
        <w:ind w:left="700" w:right="53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enhance our products, expand our product indications and develop, acquire and commercialize additional product offerings;</w:t>
      </w:r>
    </w:p>
    <w:p>
      <w:pPr>
        <w:spacing w:after="0" w:line="170" w:lineRule="exact"/>
        <w:rPr>
          <w:rFonts w:ascii="Arial" w:cs="Arial" w:eastAsia="Arial" w:hAnsi="Arial"/>
          <w:sz w:val="18"/>
          <w:szCs w:val="18"/>
          <w:color w:val="auto"/>
        </w:rPr>
      </w:pPr>
    </w:p>
    <w:p>
      <w:pPr>
        <w:ind w:left="700" w:right="19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commercial partners and independent sales agents to generate a substantial portion of our net sales;</w:t>
      </w:r>
    </w:p>
    <w:p>
      <w:pPr>
        <w:spacing w:after="0" w:line="170" w:lineRule="exact"/>
        <w:rPr>
          <w:rFonts w:ascii="Arial" w:cs="Arial" w:eastAsia="Arial" w:hAnsi="Arial"/>
          <w:sz w:val="18"/>
          <w:szCs w:val="18"/>
          <w:color w:val="auto"/>
        </w:rPr>
      </w:pPr>
    </w:p>
    <w:p>
      <w:pPr>
        <w:ind w:left="700" w:right="279" w:hanging="326"/>
        <w:spacing w:after="0" w:line="26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maintain our relationships with our existing contract manufacturing customers and enter into agreements with new contract manufacturing customers, or if existing contract manufacturing customers reduce purchases of our products;</w:t>
      </w:r>
    </w:p>
    <w:p>
      <w:pPr>
        <w:spacing w:after="0" w:line="183" w:lineRule="exact"/>
        <w:rPr>
          <w:rFonts w:ascii="Arial" w:cs="Arial" w:eastAsia="Arial" w:hAnsi="Arial"/>
          <w:sz w:val="18"/>
          <w:szCs w:val="18"/>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manage and maintain our direct sales force;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225" w:lineRule="exact"/>
        <w:rPr>
          <w:rFonts w:ascii="Arial" w:cs="Arial" w:eastAsia="Arial" w:hAnsi="Arial"/>
          <w:sz w:val="18"/>
          <w:szCs w:val="18"/>
          <w:color w:val="auto"/>
        </w:rPr>
      </w:pPr>
    </w:p>
    <w:p>
      <w:pPr>
        <w:ind w:left="700" w:right="319" w:hanging="326"/>
        <w:spacing w:after="0" w:line="342"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adverse impacts of the novel strain of coronavirus disease, COVID-19 and variants thereof such as Delta or any other future pandemic, epidemic or outbreak of an infectious disease in the United States or worldwide;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5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general domestic and global economic conditions and instability and disruption of credit markets;</w:t>
      </w:r>
    </w:p>
    <w:p>
      <w:pPr>
        <w:spacing w:after="0" w:line="170"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awareness of the distinctive characteristics, benefits, safety, clinical efficacy and cost-effectiveness of our products;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and future acceptance of our products by the medical community;</w:t>
      </w:r>
    </w:p>
    <w:p>
      <w:pPr>
        <w:spacing w:after="0" w:line="225" w:lineRule="exact"/>
        <w:rPr>
          <w:rFonts w:ascii="Arial" w:cs="Arial" w:eastAsia="Arial" w:hAnsi="Arial"/>
          <w:sz w:val="18"/>
          <w:szCs w:val="18"/>
          <w:color w:val="auto"/>
        </w:rPr>
      </w:pPr>
    </w:p>
    <w:p>
      <w:pPr>
        <w:jc w:val="both"/>
        <w:ind w:left="700" w:right="99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regulatory approval or other marketing authorizations by the U.S. Food and Drug Administration (“FDA”) and comparable foreign authorities for our products and product candidates;</w:t>
      </w:r>
    </w:p>
    <w:p>
      <w:pPr>
        <w:spacing w:after="0" w:line="123" w:lineRule="exact"/>
        <w:rPr>
          <w:rFonts w:ascii="Arial" w:cs="Arial" w:eastAsia="Arial" w:hAnsi="Arial"/>
          <w:sz w:val="16"/>
          <w:szCs w:val="16"/>
          <w:color w:val="auto"/>
        </w:rPr>
      </w:pPr>
    </w:p>
    <w:p>
      <w:pPr>
        <w:ind w:left="720" w:right="579" w:hanging="319"/>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defend against the various lawsuits related to our recall of a single lot of FiberCel and avoid a material adverse financial consequence; and</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maintain and adequately protect our intellectual property rights.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As used in this Quarterly Report, unless otherwise specified or the context otherwise requires, references to “we,” “us,” “our,” the “Company” and “Aziyo” refer to the operations of Aziyo Biologics, Inc. and its consolidated subsidiaries.</w:t>
      </w:r>
    </w:p>
    <w:p>
      <w:pPr>
        <w:spacing w:after="0" w:line="12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Arial" w:cs="Arial" w:eastAsia="Arial" w:hAnsi="Arial"/>
          <w:sz w:val="17"/>
          <w:szCs w:val="17"/>
          <w:i w:val="1"/>
          <w:iCs w:val="1"/>
          <w:color w:val="auto"/>
        </w:rPr>
        <w:t>www.aziyo.com</w:t>
      </w:r>
      <w:r>
        <w:rPr>
          <w:rFonts w:ascii="Arial" w:cs="Arial" w:eastAsia="Arial" w:hAnsi="Arial"/>
          <w:sz w:val="17"/>
          <w:szCs w:val="17"/>
          <w:color w:val="auto"/>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Arial" w:cs="Arial" w:eastAsia="Arial" w:hAnsi="Arial"/>
          <w:sz w:val="17"/>
          <w:szCs w:val="17"/>
          <w:i w:val="1"/>
          <w:iCs w:val="1"/>
          <w:color w:val="auto"/>
        </w:rPr>
        <w:t>www.aziyo.com</w:t>
      </w:r>
      <w:r>
        <w:rPr>
          <w:rFonts w:ascii="Arial" w:cs="Arial" w:eastAsia="Arial" w:hAnsi="Arial"/>
          <w:sz w:val="17"/>
          <w:szCs w:val="17"/>
          <w:color w:val="auto"/>
        </w:rPr>
        <w:t>. The reference to our website address does not constitute incorporation by reference of the information contained on or available through our website, and you should not consider such information to be a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Quarterly Report includes our trademarks, trade names and service marks, including, without limitation, “Aziyo®,” “CanGaroo®,” “ProxiCor®,” “Tyke®,” “VasCure®,” “FiberCel®,” “ViBone®,” “OsteGro®,” “SimpliDerm®” and our logo, which are our property and are protected under applicable intellectual property laws. This Quarterly Report also contains trademarks, trade names and service marks of other companies, which are the property of their respective owners. Solely for convenience, trademarks, trade names and service marks may appear in this Quarterly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OTHER DATA</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“Risk Factors” and Part II, Item 1A “Risk Factors.” in our Annual Report which can be found at https://investors.aziyo.com/reports.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0"/>
              </w:rPr>
              <w:t>Page</w:t>
            </w: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95"/>
              </w:rPr>
            </w:pPr>
            <w:hyperlink w:anchor="page2">
              <w:r>
                <w:rPr>
                  <w:rFonts w:ascii="Arial" w:cs="Arial" w:eastAsia="Arial" w:hAnsi="Arial"/>
                  <w:sz w:val="18"/>
                  <w:szCs w:val="18"/>
                  <w:color w:val="0000EE"/>
                  <w:w w:val="95"/>
                </w:rPr>
                <w:t>FORWARD-LOOKING STATEMENTS</w:t>
              </w:r>
            </w:hyperlink>
          </w:p>
        </w:tc>
        <w:tc>
          <w:tcPr>
            <w:tcW w:w="5160" w:type="dxa"/>
            <w:vAlign w:val="bottom"/>
            <w:tcBorders>
              <w:bottom w:val="single" w:sz="8" w:color="CCEEFF"/>
            </w:tcBorders>
            <w:gridSpan w:val="11"/>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79"/>
              </w:rPr>
              <w:t>1</w:t>
            </w:r>
          </w:p>
        </w:tc>
      </w:tr>
      <w:tr>
        <w:trPr>
          <w:trHeight w:val="203"/>
        </w:trPr>
        <w:tc>
          <w:tcPr>
            <w:tcW w:w="20" w:type="dxa"/>
            <w:vAlign w:val="bottom"/>
          </w:tcPr>
          <w:p>
            <w:pPr>
              <w:spacing w:after="0"/>
              <w:rPr>
                <w:sz w:val="17"/>
                <w:szCs w:val="17"/>
                <w:color w:val="auto"/>
              </w:rPr>
            </w:pPr>
          </w:p>
        </w:tc>
        <w:tc>
          <w:tcPr>
            <w:tcW w:w="8100" w:type="dxa"/>
            <w:vAlign w:val="bottom"/>
            <w:gridSpan w:val="25"/>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TRADEMARKS, TRADE NAMES AND SERVICE MARKS</w:t>
              </w:r>
            </w:hyperlink>
          </w:p>
        </w:tc>
        <w:tc>
          <w:tcPr>
            <w:tcW w:w="64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79"/>
              </w:rPr>
              <w:t>3</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0000EE"/>
            </w:tcBorders>
            <w:gridSpan w:val="11"/>
            <w:shd w:val="clear" w:color="auto" w:fill="CCEEFF"/>
          </w:tcPr>
          <w:p>
            <w:pPr>
              <w:spacing w:after="0" w:line="20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INDUSTRY AND OTHER DATA</w:t>
              </w:r>
            </w:hyperlink>
          </w:p>
        </w:tc>
        <w:tc>
          <w:tcPr>
            <w:tcW w:w="5600" w:type="dxa"/>
            <w:vAlign w:val="bottom"/>
            <w:tcBorders>
              <w:bottom w:val="single" w:sz="8" w:color="CCEEFF"/>
            </w:tcBorders>
            <w:gridSpan w:val="14"/>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79"/>
              </w:rPr>
              <w:t>3</w:t>
            </w:r>
          </w:p>
        </w:tc>
      </w:tr>
      <w:tr>
        <w:trPr>
          <w:trHeight w:val="203"/>
        </w:trPr>
        <w:tc>
          <w:tcPr>
            <w:tcW w:w="20" w:type="dxa"/>
            <w:vAlign w:val="bottom"/>
          </w:tcPr>
          <w:p>
            <w:pPr>
              <w:spacing w:after="0"/>
              <w:rPr>
                <w:sz w:val="17"/>
                <w:szCs w:val="17"/>
                <w:color w:val="auto"/>
              </w:rPr>
            </w:pPr>
          </w:p>
        </w:tc>
        <w:tc>
          <w:tcPr>
            <w:tcW w:w="8100" w:type="dxa"/>
            <w:vAlign w:val="bottom"/>
            <w:gridSpan w:val="25"/>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PART I – FINANCIAL INFORMATION</w:t>
              </w:r>
            </w:hyperlink>
          </w:p>
        </w:tc>
        <w:tc>
          <w:tcPr>
            <w:tcW w:w="6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240" w:type="dxa"/>
            <w:vAlign w:val="bottom"/>
            <w:gridSpan w:val="2"/>
            <w:shd w:val="clear" w:color="auto" w:fill="CCEEFF"/>
          </w:tcPr>
          <w:p>
            <w:pPr>
              <w:spacing w:after="0"/>
              <w:rPr>
                <w:sz w:val="17"/>
                <w:szCs w:val="17"/>
                <w:color w:val="auto"/>
              </w:rPr>
            </w:pPr>
          </w:p>
        </w:tc>
        <w:tc>
          <w:tcPr>
            <w:tcW w:w="7340" w:type="dxa"/>
            <w:vAlign w:val="bottom"/>
            <w:gridSpan w:val="22"/>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 xml:space="preserve">Financial Statements </w:t>
              </w:r>
            </w:hyperlink>
            <w:r>
              <w:rPr>
                <w:rFonts w:ascii="Arial" w:cs="Arial" w:eastAsia="Arial" w:hAnsi="Arial"/>
                <w:sz w:val="18"/>
                <w:szCs w:val="18"/>
                <w:color w:val="000000"/>
              </w:rPr>
              <w:t>(Unaudited)</w:t>
            </w:r>
          </w:p>
        </w:tc>
        <w:tc>
          <w:tcPr>
            <w:tcW w:w="6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gridSpan w:val="22"/>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64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79"/>
              </w:rPr>
              <w:t>5</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340" w:type="dxa"/>
            <w:vAlign w:val="bottom"/>
            <w:gridSpan w:val="22"/>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Operations</w:t>
              </w:r>
            </w:hyperlink>
          </w:p>
        </w:tc>
        <w:tc>
          <w:tcPr>
            <w:tcW w:w="64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79"/>
              </w:rPr>
              <w:t>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bottom w:val="single" w:sz="8" w:color="0000EE"/>
            </w:tcBorders>
            <w:gridSpan w:val="21"/>
          </w:tcPr>
          <w:p>
            <w:pPr>
              <w:spacing w:after="0" w:line="202"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Changes in Convertible Preferred Stock and Stockholders’</w:t>
              </w:r>
            </w:hyperlink>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Equity (Deficit)</w:t>
              </w:r>
            </w:hyperlink>
          </w:p>
        </w:tc>
        <w:tc>
          <w:tcPr>
            <w:tcW w:w="640" w:type="dxa"/>
            <w:vAlign w:val="bottom"/>
          </w:tcPr>
          <w:p>
            <w:pPr>
              <w:jc w:val="center"/>
              <w:ind w:left="110"/>
              <w:spacing w:after="0" w:line="196" w:lineRule="exact"/>
              <w:rPr>
                <w:sz w:val="20"/>
                <w:szCs w:val="20"/>
                <w:color w:val="auto"/>
              </w:rPr>
            </w:pPr>
            <w:r>
              <w:rPr>
                <w:rFonts w:ascii="Arial" w:cs="Arial" w:eastAsia="Arial" w:hAnsi="Arial"/>
                <w:sz w:val="18"/>
                <w:szCs w:val="18"/>
                <w:color w:val="auto"/>
                <w:w w:val="79"/>
              </w:rPr>
              <w:t>7</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340" w:type="dxa"/>
            <w:vAlign w:val="bottom"/>
            <w:gridSpan w:val="22"/>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64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79"/>
              </w:rPr>
              <w:t>8</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gridSpan w:val="22"/>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Notes to the Condensed Consolidated Financial Statements</w:t>
              </w:r>
            </w:hyperlink>
          </w:p>
        </w:tc>
        <w:tc>
          <w:tcPr>
            <w:tcW w:w="64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79"/>
              </w:rPr>
              <w:t>9</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240" w:type="dxa"/>
            <w:vAlign w:val="bottom"/>
            <w:gridSpan w:val="2"/>
            <w:shd w:val="clear" w:color="auto" w:fill="CCEEFF"/>
          </w:tcPr>
          <w:p>
            <w:pPr>
              <w:spacing w:after="0"/>
              <w:rPr>
                <w:sz w:val="21"/>
                <w:szCs w:val="21"/>
                <w:color w:val="auto"/>
              </w:rPr>
            </w:pPr>
          </w:p>
        </w:tc>
        <w:tc>
          <w:tcPr>
            <w:tcW w:w="7340" w:type="dxa"/>
            <w:vAlign w:val="bottom"/>
            <w:gridSpan w:val="22"/>
            <w:shd w:val="clear" w:color="auto" w:fill="CCEEFF"/>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24</w:t>
            </w:r>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3.</w:t>
              </w:r>
            </w:hyperlink>
          </w:p>
        </w:tc>
        <w:tc>
          <w:tcPr>
            <w:tcW w:w="240" w:type="dxa"/>
            <w:vAlign w:val="bottom"/>
            <w:tcBorders>
              <w:top w:val="single" w:sz="8" w:color="CCEEFF"/>
            </w:tcBorders>
            <w:gridSpan w:val="2"/>
          </w:tcPr>
          <w:p>
            <w:pPr>
              <w:spacing w:after="0"/>
              <w:rPr>
                <w:sz w:val="17"/>
                <w:szCs w:val="17"/>
                <w:color w:val="auto"/>
              </w:rPr>
            </w:pPr>
          </w:p>
        </w:tc>
        <w:tc>
          <w:tcPr>
            <w:tcW w:w="6480" w:type="dxa"/>
            <w:vAlign w:val="bottom"/>
            <w:tcBorders>
              <w:top w:val="single" w:sz="8" w:color="0000EE"/>
            </w:tcBorders>
            <w:gridSpan w:val="20"/>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860" w:type="dxa"/>
            <w:vAlign w:val="bottom"/>
            <w:tcBorders>
              <w:top w:val="single" w:sz="8" w:color="CCEEFF"/>
            </w:tcBorders>
            <w:gridSpan w:val="2"/>
          </w:tcPr>
          <w:p>
            <w:pPr>
              <w:spacing w:after="0"/>
              <w:rPr>
                <w:sz w:val="17"/>
                <w:szCs w:val="17"/>
                <w:color w:val="auto"/>
              </w:rPr>
            </w:pPr>
          </w:p>
        </w:tc>
        <w:tc>
          <w:tcPr>
            <w:tcW w:w="640" w:type="dxa"/>
            <w:vAlign w:val="bottom"/>
            <w:tcBorders>
              <w:top w:val="single" w:sz="8" w:color="CCEEFF"/>
            </w:tcBorders>
          </w:tcPr>
          <w:p>
            <w:pPr>
              <w:jc w:val="center"/>
              <w:ind w:left="130"/>
              <w:spacing w:after="0" w:line="202" w:lineRule="exact"/>
              <w:rPr>
                <w:sz w:val="20"/>
                <w:szCs w:val="20"/>
                <w:color w:val="auto"/>
              </w:rPr>
            </w:pPr>
            <w:r>
              <w:rPr>
                <w:rFonts w:ascii="Arial" w:cs="Arial" w:eastAsia="Arial" w:hAnsi="Arial"/>
                <w:sz w:val="18"/>
                <w:szCs w:val="18"/>
                <w:color w:val="auto"/>
                <w:w w:val="89"/>
              </w:rPr>
              <w:t>39</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4.</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760" w:type="dxa"/>
            <w:vAlign w:val="bottom"/>
            <w:tcBorders>
              <w:bottom w:val="single" w:sz="8" w:color="0000EE"/>
            </w:tcBorders>
            <w:gridSpan w:val="9"/>
            <w:shd w:val="clear" w:color="auto" w:fill="CCEEFF"/>
          </w:tcPr>
          <w:p>
            <w:pPr>
              <w:spacing w:after="0" w:line="202"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Controls and Procedures</w:t>
              </w:r>
            </w:hyperlink>
          </w:p>
        </w:tc>
        <w:tc>
          <w:tcPr>
            <w:tcW w:w="5580" w:type="dxa"/>
            <w:vAlign w:val="bottom"/>
            <w:tcBorders>
              <w:bottom w:val="single" w:sz="8" w:color="CCEEFF"/>
            </w:tcBorders>
            <w:gridSpan w:val="13"/>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40</w:t>
            </w:r>
          </w:p>
        </w:tc>
      </w:tr>
      <w:tr>
        <w:trPr>
          <w:trHeight w:val="203"/>
        </w:trPr>
        <w:tc>
          <w:tcPr>
            <w:tcW w:w="20" w:type="dxa"/>
            <w:vAlign w:val="bottom"/>
          </w:tcPr>
          <w:p>
            <w:pPr>
              <w:spacing w:after="0"/>
              <w:rPr>
                <w:sz w:val="17"/>
                <w:szCs w:val="17"/>
                <w:color w:val="auto"/>
              </w:rPr>
            </w:pPr>
          </w:p>
        </w:tc>
        <w:tc>
          <w:tcPr>
            <w:tcW w:w="8100" w:type="dxa"/>
            <w:vAlign w:val="bottom"/>
            <w:gridSpan w:val="25"/>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PART II – OTHER INFORMATION</w:t>
              </w:r>
            </w:hyperlink>
          </w:p>
        </w:tc>
        <w:tc>
          <w:tcPr>
            <w:tcW w:w="6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1.</w:t>
              </w:r>
            </w:hyperlink>
          </w:p>
        </w:tc>
        <w:tc>
          <w:tcPr>
            <w:tcW w:w="240" w:type="dxa"/>
            <w:vAlign w:val="bottom"/>
            <w:gridSpan w:val="2"/>
            <w:shd w:val="clear" w:color="auto" w:fill="CCEEFF"/>
          </w:tcPr>
          <w:p>
            <w:pPr>
              <w:spacing w:after="0"/>
              <w:rPr>
                <w:sz w:val="17"/>
                <w:szCs w:val="17"/>
                <w:color w:val="auto"/>
              </w:rPr>
            </w:pPr>
          </w:p>
        </w:tc>
        <w:tc>
          <w:tcPr>
            <w:tcW w:w="7340" w:type="dxa"/>
            <w:vAlign w:val="bottom"/>
            <w:gridSpan w:val="22"/>
            <w:shd w:val="clear" w:color="auto" w:fill="CCEEFF"/>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6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40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1A.</w:t>
              </w:r>
            </w:hyperlink>
          </w:p>
        </w:tc>
        <w:tc>
          <w:tcPr>
            <w:tcW w:w="7340" w:type="dxa"/>
            <w:vAlign w:val="bottom"/>
            <w:gridSpan w:val="22"/>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64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89"/>
              </w:rPr>
              <w:t>40</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2.</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4340" w:type="dxa"/>
            <w:vAlign w:val="bottom"/>
            <w:tcBorders>
              <w:bottom w:val="single" w:sz="8" w:color="0000EE"/>
            </w:tcBorders>
            <w:gridSpan w:val="19"/>
            <w:shd w:val="clear" w:color="auto" w:fill="CCEEFF"/>
          </w:tcPr>
          <w:p>
            <w:pPr>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Unregistered Sales of Equity Securities and Use of Proceeds</w:t>
              </w:r>
            </w:hyperlink>
          </w:p>
        </w:tc>
        <w:tc>
          <w:tcPr>
            <w:tcW w:w="3000" w:type="dxa"/>
            <w:vAlign w:val="bottom"/>
            <w:tcBorders>
              <w:bottom w:val="single" w:sz="8" w:color="CCEEFF"/>
            </w:tcBorders>
            <w:gridSpan w:val="3"/>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53</w:t>
            </w: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3.</w:t>
              </w:r>
            </w:hyperlink>
          </w:p>
        </w:tc>
        <w:tc>
          <w:tcPr>
            <w:tcW w:w="7340" w:type="dxa"/>
            <w:vAlign w:val="bottom"/>
            <w:gridSpan w:val="22"/>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Defaults Upon Senior Securities</w:t>
              </w:r>
            </w:hyperlink>
          </w:p>
        </w:tc>
        <w:tc>
          <w:tcPr>
            <w:tcW w:w="64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89"/>
              </w:rPr>
              <w:t>53</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4.</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760" w:type="dxa"/>
            <w:vAlign w:val="bottom"/>
            <w:tcBorders>
              <w:bottom w:val="single" w:sz="8" w:color="0000EE"/>
            </w:tcBorders>
            <w:gridSpan w:val="9"/>
            <w:shd w:val="clear" w:color="auto" w:fill="CCEEFF"/>
          </w:tcPr>
          <w:p>
            <w:pPr>
              <w:spacing w:after="0" w:line="202"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Mine Safety Disclosures</w:t>
              </w:r>
            </w:hyperlink>
          </w:p>
        </w:tc>
        <w:tc>
          <w:tcPr>
            <w:tcW w:w="5580" w:type="dxa"/>
            <w:vAlign w:val="bottom"/>
            <w:tcBorders>
              <w:bottom w:val="single" w:sz="8" w:color="CCEEFF"/>
            </w:tcBorders>
            <w:gridSpan w:val="13"/>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53</w:t>
            </w: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5.</w:t>
              </w:r>
            </w:hyperlink>
          </w:p>
        </w:tc>
        <w:tc>
          <w:tcPr>
            <w:tcW w:w="7340" w:type="dxa"/>
            <w:vAlign w:val="bottom"/>
            <w:gridSpan w:val="22"/>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64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89"/>
              </w:rPr>
              <w:t>54</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6.</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60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Exhibits</w:t>
              </w:r>
            </w:hyperlink>
          </w:p>
        </w:tc>
        <w:tc>
          <w:tcPr>
            <w:tcW w:w="6740" w:type="dxa"/>
            <w:vAlign w:val="bottom"/>
            <w:tcBorders>
              <w:bottom w:val="single" w:sz="8" w:color="CCEEFF"/>
            </w:tcBorders>
            <w:gridSpan w:val="20"/>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55</w:t>
            </w:r>
          </w:p>
        </w:tc>
      </w:tr>
      <w:tr>
        <w:trPr>
          <w:trHeight w:val="203"/>
        </w:trPr>
        <w:tc>
          <w:tcPr>
            <w:tcW w:w="20" w:type="dxa"/>
            <w:vAlign w:val="bottom"/>
          </w:tcPr>
          <w:p>
            <w:pPr>
              <w:spacing w:after="0"/>
              <w:rPr>
                <w:sz w:val="17"/>
                <w:szCs w:val="17"/>
                <w:color w:val="auto"/>
              </w:rPr>
            </w:pPr>
          </w:p>
        </w:tc>
        <w:tc>
          <w:tcPr>
            <w:tcW w:w="780" w:type="dxa"/>
            <w:vAlign w:val="bottom"/>
            <w:tcBorders>
              <w:bottom w:val="single" w:sz="8" w:color="0000EE"/>
            </w:tcBorders>
            <w:gridSpan w:val="4"/>
          </w:tcPr>
          <w:p>
            <w:pPr>
              <w:spacing w:after="0" w:line="202"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Signatures</w:t>
              </w:r>
            </w:hyperlink>
          </w:p>
        </w:tc>
        <w:tc>
          <w:tcPr>
            <w:tcW w:w="7320" w:type="dxa"/>
            <w:vAlign w:val="bottom"/>
            <w:gridSpan w:val="21"/>
          </w:tcPr>
          <w:p>
            <w:pPr>
              <w:spacing w:after="0"/>
              <w:rPr>
                <w:sz w:val="17"/>
                <w:szCs w:val="17"/>
                <w:color w:val="auto"/>
              </w:rPr>
            </w:pPr>
          </w:p>
        </w:tc>
        <w:tc>
          <w:tcPr>
            <w:tcW w:w="64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89"/>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ind w:left="2920"/>
              <w:spacing w:after="0" w:line="142"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28,302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39,150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382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10,341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10,117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1,759</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2,892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ind w:left="3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48,217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59,707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8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1,243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1,162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69,702</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82,810</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200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1,633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2,054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Arial" w:cs="Arial" w:eastAsia="Arial" w:hAnsi="Arial"/>
                <w:sz w:val="14"/>
                <w:szCs w:val="14"/>
                <w:color w:val="auto"/>
              </w:rPr>
              <w:t>Payables to tissue suppliers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2,206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2,295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Arial" w:cs="Arial" w:eastAsia="Arial" w:hAnsi="Arial"/>
                <w:sz w:val="14"/>
                <w:szCs w:val="14"/>
                <w:color w:val="auto"/>
              </w:rPr>
              <w:t>Current portion of revenue interest obligation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Revolving line of credit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Deferred revenue and other current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251</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23,596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26,779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17,811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line="149" w:lineRule="exact"/>
              <w:rPr>
                <w:sz w:val="20"/>
                <w:szCs w:val="20"/>
                <w:color w:val="auto"/>
              </w:rPr>
            </w:pPr>
            <w:r>
              <w:rPr>
                <w:rFonts w:ascii="Arial" w:cs="Arial" w:eastAsia="Arial" w:hAnsi="Arial"/>
                <w:sz w:val="14"/>
                <w:szCs w:val="14"/>
                <w:color w:val="auto"/>
              </w:rPr>
              <w:t>Long-term revenue interest obligation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16,587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16,633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 and other long-term liabilities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870</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54,735</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61,979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8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 (deficit):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80" w:type="dxa"/>
            <w:vAlign w:val="bottom"/>
          </w:tcPr>
          <w:p>
            <w:pPr>
              <w:ind w:left="80"/>
              <w:spacing w:after="0" w:line="130" w:lineRule="exact"/>
              <w:rPr>
                <w:sz w:val="20"/>
                <w:szCs w:val="20"/>
                <w:color w:val="auto"/>
              </w:rPr>
            </w:pPr>
            <w:r>
              <w:rPr>
                <w:rFonts w:ascii="Arial" w:cs="Arial" w:eastAsia="Arial" w:hAnsi="Arial"/>
                <w:sz w:val="14"/>
                <w:szCs w:val="14"/>
                <w:color w:val="auto"/>
              </w:rPr>
              <w:t>Class A Common stock, $0.001 par value, 200,000,000 shares authorized as of June 30, 2021 and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Arial" w:cs="Arial" w:eastAsia="Arial" w:hAnsi="Arial"/>
                <w:sz w:val="14"/>
                <w:szCs w:val="14"/>
                <w:color w:val="auto"/>
                <w:w w:val="92"/>
              </w:rPr>
              <w:t>December 31, 2020, and 7,095,265 and 7,091,960 shares issued and outstanding, as of June 30, 2021 and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80" w:type="dxa"/>
            <w:vAlign w:val="bottom"/>
          </w:tcPr>
          <w:p>
            <w:pPr>
              <w:ind w:left="80"/>
              <w:spacing w:after="0"/>
              <w:rPr>
                <w:sz w:val="20"/>
                <w:szCs w:val="20"/>
                <w:color w:val="auto"/>
              </w:rPr>
            </w:pPr>
            <w:r>
              <w:rPr>
                <w:rFonts w:ascii="Arial" w:cs="Arial" w:eastAsia="Arial" w:hAnsi="Arial"/>
                <w:sz w:val="14"/>
                <w:szCs w:val="14"/>
                <w:color w:val="auto"/>
              </w:rPr>
              <w:t>December 31, 2020, respectively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Class B Common stock, $0.001 par value, 20,000,000 shares authorized, as of June 30, 2021 and</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4"/>
                <w:szCs w:val="14"/>
                <w:color w:val="auto"/>
                <w:w w:val="95"/>
              </w:rPr>
              <w:t>December 31, 2020 and 3,134,162 issued and outstanding as of June 30, 2021 and December 31, 2020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102,668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101,080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(87,711)</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(80,259)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14,967</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20,831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69,702</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82,810</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-1765300</wp:posOffset>
            </wp:positionV>
            <wp:extent cx="397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776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-2931160</wp:posOffset>
            </wp:positionV>
            <wp:extent cx="3977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4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5B6F80"/>
            </w:tcBorders>
          </w:tcPr>
          <w:p>
            <w:pPr>
              <w:spacing w:after="0"/>
              <w:rPr>
                <w:sz w:val="18"/>
                <w:szCs w:val="18"/>
                <w:color w:val="auto"/>
              </w:rPr>
            </w:pPr>
          </w:p>
        </w:tc>
        <w:tc>
          <w:tcPr>
            <w:tcW w:w="90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6,546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5B6F80"/>
            </w:tcBorders>
          </w:tcPr>
          <w:p>
            <w:pPr>
              <w:spacing w:after="0"/>
              <w:rPr>
                <w:sz w:val="18"/>
                <w:szCs w:val="18"/>
                <w:color w:val="auto"/>
              </w:rPr>
            </w:pPr>
          </w:p>
        </w:tc>
        <w:tc>
          <w:tcPr>
            <w:tcW w:w="70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4,795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5B6F80"/>
            </w:tcBorders>
          </w:tcPr>
          <w:p>
            <w:pPr>
              <w:spacing w:after="0"/>
              <w:rPr>
                <w:sz w:val="18"/>
                <w:szCs w:val="18"/>
                <w:color w:val="auto"/>
              </w:rPr>
            </w:pPr>
          </w:p>
        </w:tc>
        <w:tc>
          <w:tcPr>
            <w:tcW w:w="94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13,101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5B6F80"/>
            </w:tcBorders>
          </w:tcPr>
          <w:p>
            <w:pPr>
              <w:spacing w:after="0"/>
              <w:rPr>
                <w:sz w:val="18"/>
                <w:szCs w:val="18"/>
                <w:color w:val="auto"/>
              </w:rPr>
            </w:pPr>
          </w:p>
        </w:tc>
        <w:tc>
          <w:tcPr>
            <w:tcW w:w="74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9,443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12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(3,579)</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Borders>
              <w:top w:val="single" w:sz="8" w:color="5B6F80"/>
            </w:tcBorders>
            <w:shd w:val="clear" w:color="auto" w:fill="CCEEFF"/>
          </w:tcPr>
          <w:p>
            <w:pPr>
              <w:spacing w:after="0"/>
              <w:rPr>
                <w:sz w:val="18"/>
                <w:szCs w:val="18"/>
                <w:color w:val="auto"/>
              </w:rPr>
            </w:pPr>
          </w:p>
        </w:tc>
        <w:tc>
          <w:tcPr>
            <w:tcW w:w="900" w:type="dxa"/>
            <w:vAlign w:val="bottom"/>
            <w:tcBorders>
              <w:top w:val="single" w:sz="8" w:color="5B6F80"/>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5B6F80"/>
            </w:tcBorders>
            <w:shd w:val="clear" w:color="auto" w:fill="CCEEFF"/>
          </w:tcPr>
          <w:p>
            <w:pPr>
              <w:spacing w:after="0"/>
              <w:rPr>
                <w:sz w:val="18"/>
                <w:szCs w:val="18"/>
                <w:color w:val="auto"/>
              </w:rPr>
            </w:pPr>
          </w:p>
        </w:tc>
        <w:tc>
          <w:tcPr>
            <w:tcW w:w="700" w:type="dxa"/>
            <w:vAlign w:val="bottom"/>
            <w:tcBorders>
              <w:top w:val="single" w:sz="8" w:color="5B6F80"/>
            </w:tcBorders>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5B6F80"/>
            </w:tcBorders>
            <w:shd w:val="clear" w:color="auto" w:fill="CCEEFF"/>
          </w:tcPr>
          <w:p>
            <w:pPr>
              <w:spacing w:after="0"/>
              <w:rPr>
                <w:sz w:val="18"/>
                <w:szCs w:val="18"/>
                <w:color w:val="auto"/>
              </w:rPr>
            </w:pPr>
          </w:p>
        </w:tc>
        <w:tc>
          <w:tcPr>
            <w:tcW w:w="940" w:type="dxa"/>
            <w:vAlign w:val="bottom"/>
            <w:tcBorders>
              <w:top w:val="single" w:sz="8" w:color="5B6F80"/>
            </w:tcBorders>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5B6F80"/>
            </w:tcBorders>
            <w:shd w:val="clear" w:color="auto" w:fill="CCEEFF"/>
          </w:tcPr>
          <w:p>
            <w:pPr>
              <w:jc w:val="right"/>
              <w:spacing w:after="0"/>
              <w:rPr>
                <w:sz w:val="20"/>
                <w:szCs w:val="20"/>
                <w:color w:val="auto"/>
              </w:rPr>
            </w:pPr>
            <w:r>
              <w:rPr>
                <w:rFonts w:ascii="Arial" w:cs="Arial" w:eastAsia="Arial" w:hAnsi="Arial"/>
                <w:sz w:val="18"/>
                <w:szCs w:val="18"/>
                <w:color w:val="auto"/>
              </w:rPr>
              <w:t>(9,728)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(9,738)</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loss per share - basic and diluted</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(0.23)</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b w:val="1"/>
                <w:bCs w:val="1"/>
                <w:u w:val="single" w:color="auto"/>
                <w:color w:val="auto"/>
              </w:rPr>
              <w:t>99)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(0.73)</w:t>
            </w: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b w:val="1"/>
                <w:bCs w:val="1"/>
                <w:u w:val="single" w:color="auto"/>
                <w:color w:val="auto"/>
              </w:rPr>
              <w:t>02)</w:t>
            </w:r>
          </w:p>
        </w:tc>
        <w:tc>
          <w:tcPr>
            <w:tcW w:w="1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20"/>
              <w:spacing w:after="0" w:line="201" w:lineRule="exact"/>
              <w:rPr>
                <w:sz w:val="20"/>
                <w:szCs w:val="20"/>
                <w:color w:val="auto"/>
              </w:rPr>
            </w:pPr>
            <w:r>
              <w:rPr>
                <w:rFonts w:ascii="Arial" w:cs="Arial" w:eastAsia="Arial" w:hAnsi="Arial"/>
                <w:sz w:val="18"/>
                <w:szCs w:val="18"/>
                <w:color w:val="auto"/>
                <w:w w:val="98"/>
              </w:rPr>
              <w:t>Weighted average common shares outstanding - basic and</w:t>
            </w: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10,228,296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5"/>
              </w:rPr>
              <w:t>648,277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10,227,240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648,277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CONVERTIBLE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20" w:type="dxa"/>
            <w:vAlign w:val="bottom"/>
            <w:gridSpan w:val="7"/>
          </w:tcPr>
          <w:p>
            <w:pPr>
              <w:jc w:val="center"/>
              <w:ind w:right="100"/>
              <w:spacing w:after="0"/>
              <w:rPr>
                <w:sz w:val="20"/>
                <w:szCs w:val="20"/>
                <w:color w:val="auto"/>
              </w:rPr>
            </w:pPr>
            <w:r>
              <w:rPr>
                <w:rFonts w:ascii="Arial" w:cs="Arial" w:eastAsia="Arial" w:hAnsi="Arial"/>
                <w:sz w:val="11"/>
                <w:szCs w:val="11"/>
                <w:b w:val="1"/>
                <w:bCs w:val="1"/>
                <w:color w:val="auto"/>
                <w:w w:val="89"/>
              </w:rPr>
              <w:t>Convertible</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5"/>
          </w:tcPr>
          <w:p>
            <w:pPr>
              <w:jc w:val="right"/>
              <w:ind w:right="190"/>
              <w:spacing w:after="0"/>
              <w:rPr>
                <w:sz w:val="20"/>
                <w:szCs w:val="20"/>
                <w:color w:val="auto"/>
              </w:rPr>
            </w:pPr>
            <w:r>
              <w:rPr>
                <w:rFonts w:ascii="Arial" w:cs="Arial" w:eastAsia="Arial" w:hAnsi="Arial"/>
                <w:sz w:val="11"/>
                <w:szCs w:val="11"/>
                <w:b w:val="1"/>
                <w:bCs w:val="1"/>
                <w:color w:val="auto"/>
              </w:rPr>
              <w:t>Class A</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5"/>
          </w:tcPr>
          <w:p>
            <w:pPr>
              <w:jc w:val="right"/>
              <w:ind w:right="210"/>
              <w:spacing w:after="0"/>
              <w:rPr>
                <w:sz w:val="20"/>
                <w:szCs w:val="20"/>
                <w:color w:val="auto"/>
              </w:rPr>
            </w:pPr>
            <w:r>
              <w:rPr>
                <w:rFonts w:ascii="Arial" w:cs="Arial" w:eastAsia="Arial" w:hAnsi="Arial"/>
                <w:sz w:val="11"/>
                <w:szCs w:val="11"/>
                <w:b w:val="1"/>
                <w:bCs w:val="1"/>
                <w:color w:val="auto"/>
              </w:rPr>
              <w:t>Class B</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20" w:type="dxa"/>
            <w:vAlign w:val="bottom"/>
            <w:gridSpan w:val="7"/>
          </w:tcPr>
          <w:p>
            <w:pPr>
              <w:jc w:val="center"/>
              <w:ind w:right="100"/>
              <w:spacing w:after="0"/>
              <w:rPr>
                <w:sz w:val="20"/>
                <w:szCs w:val="20"/>
                <w:color w:val="auto"/>
              </w:rPr>
            </w:pPr>
            <w:r>
              <w:rPr>
                <w:rFonts w:ascii="Arial" w:cs="Arial" w:eastAsia="Arial" w:hAnsi="Arial"/>
                <w:sz w:val="11"/>
                <w:szCs w:val="11"/>
                <w:b w:val="1"/>
                <w:bCs w:val="1"/>
                <w:color w:val="auto"/>
                <w:w w:val="90"/>
              </w:rPr>
              <w:t>Preferred Stock</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5"/>
          </w:tcPr>
          <w:p>
            <w:pPr>
              <w:jc w:val="right"/>
              <w:ind w:right="10"/>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5"/>
          </w:tcPr>
          <w:p>
            <w:pPr>
              <w:jc w:val="right"/>
              <w:ind w:right="10"/>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5"/>
          </w:tcPr>
          <w:p>
            <w:pPr>
              <w:jc w:val="right"/>
              <w:ind w:right="3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6"/>
              </w:rPr>
              <w:t>Additional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7"/>
              </w:rPr>
              <w:t>Number of</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w w:val="87"/>
              </w:rPr>
              <w:t>Number of</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w w:val="87"/>
              </w:rPr>
              <w:t>Paid-in</w:t>
            </w:r>
          </w:p>
        </w:tc>
        <w:tc>
          <w:tcPr>
            <w:tcW w:w="20" w:type="dxa"/>
            <w:vAlign w:val="bottom"/>
          </w:tcPr>
          <w:p>
            <w:pPr>
              <w:spacing w:after="0"/>
              <w:rPr>
                <w:sz w:val="10"/>
                <w:szCs w:val="10"/>
                <w:color w:val="auto"/>
              </w:rPr>
            </w:pPr>
          </w:p>
        </w:tc>
        <w:tc>
          <w:tcPr>
            <w:tcW w:w="800" w:type="dxa"/>
            <w:vAlign w:val="bottom"/>
            <w:gridSpan w:val="5"/>
          </w:tcPr>
          <w:p>
            <w:pPr>
              <w:ind w:left="100"/>
              <w:spacing w:after="0" w:line="122" w:lineRule="exact"/>
              <w:rPr>
                <w:sz w:val="20"/>
                <w:szCs w:val="20"/>
                <w:color w:val="auto"/>
              </w:rPr>
            </w:pPr>
            <w:r>
              <w:rPr>
                <w:rFonts w:ascii="Arial" w:cs="Arial" w:eastAsia="Arial" w:hAnsi="Arial"/>
                <w:sz w:val="11"/>
                <w:szCs w:val="11"/>
                <w:b w:val="1"/>
                <w:bCs w:val="1"/>
                <w:color w:val="auto"/>
                <w:w w:val="98"/>
              </w:rPr>
              <w:t>Accumulated</w:t>
            </w:r>
          </w:p>
        </w:tc>
        <w:tc>
          <w:tcPr>
            <w:tcW w:w="60" w:type="dxa"/>
            <w:vAlign w:val="bottom"/>
          </w:tcPr>
          <w:p>
            <w:pPr>
              <w:spacing w:after="0"/>
              <w:rPr>
                <w:sz w:val="10"/>
                <w:szCs w:val="10"/>
                <w:color w:val="auto"/>
              </w:rPr>
            </w:pPr>
          </w:p>
        </w:tc>
        <w:tc>
          <w:tcPr>
            <w:tcW w:w="68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w w:val="88"/>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1"/>
              </w:rPr>
              <w:t>Shares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ind w:left="4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4"/>
          </w:tcPr>
          <w:p>
            <w:pPr>
              <w:ind w:left="4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b w:val="1"/>
                <w:bCs w:val="1"/>
                <w:color w:val="auto"/>
                <w:w w:val="92"/>
              </w:rPr>
              <w:t>Capital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5"/>
              </w:rPr>
              <w:t>Deficit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2021</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lef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7,092,521</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5"/>
                <w:szCs w:val="5"/>
                <w:b w:val="1"/>
                <w:bCs w:val="1"/>
                <w:color w:val="auto"/>
                <w:w w:val="70"/>
              </w:rPr>
              <w:t>$</w:t>
            </w:r>
          </w:p>
        </w:tc>
        <w:tc>
          <w:tcPr>
            <w:tcW w:w="2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3,134,162</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101,760</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(85,326)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16,444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2,744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gridSpan w:val="3"/>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885</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(2,385)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(2,385)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June 30, 2021</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left w:val="single" w:sz="8" w:color="CCEEFF"/>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7,095,265</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5"/>
                <w:szCs w:val="5"/>
                <w:b w:val="1"/>
                <w:bCs w:val="1"/>
                <w:color w:val="auto"/>
                <w:w w:val="70"/>
              </w:rPr>
              <w:t>$</w:t>
            </w:r>
          </w:p>
        </w:tc>
        <w:tc>
          <w:tcPr>
            <w:tcW w:w="2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3,134,162</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102,668</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(87,711)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14,967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Balance, March 31, 2020</w:t>
            </w: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80" w:type="dxa"/>
            <w:vAlign w:val="bottom"/>
            <w:gridSpan w:val="2"/>
            <w:vMerge w:val="continue"/>
          </w:tcPr>
          <w:p>
            <w:pPr>
              <w:spacing w:after="0"/>
              <w:rPr>
                <w:sz w:val="8"/>
                <w:szCs w:val="8"/>
                <w:color w:val="auto"/>
              </w:rPr>
            </w:pPr>
          </w:p>
        </w:tc>
        <w:tc>
          <w:tcPr>
            <w:tcW w:w="5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94"/>
              </w:rPr>
              <w:t>45,000,000</w:t>
            </w:r>
          </w:p>
        </w:tc>
        <w:tc>
          <w:tcPr>
            <w:tcW w:w="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4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44,899</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648,277</w:t>
            </w:r>
          </w:p>
        </w:tc>
        <w:tc>
          <w:tcPr>
            <w:tcW w:w="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320" w:type="dxa"/>
            <w:vAlign w:val="bottom"/>
            <w:gridSpan w:val="2"/>
          </w:tcPr>
          <w:p>
            <w:pPr>
              <w:jc w:val="right"/>
              <w:ind w:right="210"/>
              <w:spacing w:after="0" w:line="102" w:lineRule="exact"/>
              <w:rPr>
                <w:sz w:val="20"/>
                <w:szCs w:val="20"/>
                <w:color w:val="auto"/>
              </w:rPr>
            </w:pPr>
            <w:r>
              <w:rPr>
                <w:rFonts w:ascii="Arial" w:cs="Arial" w:eastAsia="Arial" w:hAnsi="Arial"/>
                <w:sz w:val="10"/>
                <w:szCs w:val="10"/>
                <w:b w:val="1"/>
                <w:bCs w:val="1"/>
                <w:color w:val="auto"/>
                <w:w w:val="71"/>
              </w:rPr>
              <w:t>$</w:t>
            </w:r>
          </w:p>
        </w:tc>
        <w:tc>
          <w:tcPr>
            <w:tcW w:w="2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1</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320" w:type="dxa"/>
            <w:vAlign w:val="bottom"/>
            <w:gridSpan w:val="2"/>
          </w:tcPr>
          <w:p>
            <w:pPr>
              <w:jc w:val="right"/>
              <w:ind w:right="230"/>
              <w:spacing w:after="0"/>
              <w:rPr>
                <w:sz w:val="20"/>
                <w:szCs w:val="20"/>
                <w:color w:val="auto"/>
              </w:rPr>
            </w:pPr>
            <w:r>
              <w:rPr>
                <w:rFonts w:ascii="Arial" w:cs="Arial" w:eastAsia="Arial" w:hAnsi="Arial"/>
                <w:sz w:val="5"/>
                <w:szCs w:val="5"/>
                <w:b w:val="1"/>
                <w:bCs w:val="1"/>
                <w:color w:val="auto"/>
                <w:w w:val="70"/>
              </w:rPr>
              <w:t>$</w:t>
            </w:r>
          </w:p>
        </w:tc>
        <w:tc>
          <w:tcPr>
            <w:tcW w:w="2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4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 w:type="dxa"/>
            <w:vAlign w:val="bottom"/>
            <w:gridSpan w:val="2"/>
          </w:tcPr>
          <w:p>
            <w:pPr>
              <w:jc w:val="right"/>
              <w:ind w:right="230"/>
              <w:spacing w:after="0" w:line="102" w:lineRule="exact"/>
              <w:rPr>
                <w:sz w:val="20"/>
                <w:szCs w:val="20"/>
                <w:color w:val="auto"/>
              </w:rPr>
            </w:pPr>
            <w:r>
              <w:rPr>
                <w:rFonts w:ascii="Arial" w:cs="Arial" w:eastAsia="Arial" w:hAnsi="Arial"/>
                <w:sz w:val="10"/>
                <w:szCs w:val="10"/>
                <w:b w:val="1"/>
                <w:bCs w:val="1"/>
                <w:color w:val="auto"/>
                <w:w w:val="71"/>
              </w:rPr>
              <w:t>$</w:t>
            </w:r>
          </w:p>
        </w:tc>
        <w:tc>
          <w:tcPr>
            <w:tcW w:w="1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0" w:type="dxa"/>
            <w:vAlign w:val="bottom"/>
            <w:gridSpan w:val="2"/>
          </w:tcPr>
          <w:p>
            <w:pPr>
              <w:jc w:val="right"/>
              <w:ind w:right="10"/>
              <w:spacing w:after="0"/>
              <w:rPr>
                <w:sz w:val="20"/>
                <w:szCs w:val="20"/>
                <w:color w:val="auto"/>
              </w:rPr>
            </w:pPr>
            <w:r>
              <w:rPr>
                <w:rFonts w:ascii="Arial" w:cs="Arial" w:eastAsia="Arial" w:hAnsi="Arial"/>
                <w:sz w:val="5"/>
                <w:szCs w:val="5"/>
                <w:b w:val="1"/>
                <w:bCs w:val="1"/>
                <w:color w:val="auto"/>
                <w:w w:val="70"/>
              </w:rPr>
              <w:t>$</w:t>
            </w:r>
          </w:p>
        </w:tc>
        <w:tc>
          <w:tcPr>
            <w:tcW w:w="4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1,880</w:t>
            </w:r>
          </w:p>
        </w:tc>
        <w:tc>
          <w:tcPr>
            <w:tcW w:w="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0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w:t>
            </w:r>
          </w:p>
        </w:tc>
        <w:tc>
          <w:tcPr>
            <w:tcW w:w="52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(61,498)</w:t>
            </w:r>
          </w:p>
        </w:tc>
        <w:tc>
          <w:tcPr>
            <w:tcW w:w="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12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w:t>
            </w:r>
          </w:p>
        </w:tc>
        <w:tc>
          <w:tcPr>
            <w:tcW w:w="5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(59,617)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gridSpan w:val="3"/>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(5,178)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(5,178)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June 30, 2020</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45,000,000</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44,899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left w:val="single" w:sz="8" w:color="CCEEFF"/>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648,277</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5"/>
                <w:szCs w:val="5"/>
                <w:b w:val="1"/>
                <w:bCs w:val="1"/>
                <w:color w:val="auto"/>
                <w:w w:val="70"/>
              </w:rPr>
              <w:t>$</w:t>
            </w:r>
          </w:p>
        </w:tc>
        <w:tc>
          <w:tcPr>
            <w:tcW w:w="2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1,952</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(66,676)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(64,723)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00" w:type="dxa"/>
            <w:vAlign w:val="bottom"/>
            <w:gridSpan w:val="6"/>
            <w:vMerge w:val="restart"/>
          </w:tcPr>
          <w:p>
            <w:pPr>
              <w:jc w:val="center"/>
              <w:ind w:right="80"/>
              <w:spacing w:after="0"/>
              <w:rPr>
                <w:sz w:val="20"/>
                <w:szCs w:val="20"/>
                <w:color w:val="auto"/>
              </w:rPr>
            </w:pPr>
            <w:r>
              <w:rPr>
                <w:rFonts w:ascii="Arial" w:cs="Arial" w:eastAsia="Arial" w:hAnsi="Arial"/>
                <w:sz w:val="11"/>
                <w:szCs w:val="11"/>
                <w:b w:val="1"/>
                <w:bCs w:val="1"/>
                <w:color w:val="auto"/>
                <w:w w:val="89"/>
              </w:rPr>
              <w:t>Convertible</w:t>
            </w: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5"/>
            <w:vMerge w:val="restart"/>
          </w:tcPr>
          <w:p>
            <w:pPr>
              <w:jc w:val="right"/>
              <w:ind w:right="170"/>
              <w:spacing w:after="0"/>
              <w:rPr>
                <w:sz w:val="20"/>
                <w:szCs w:val="20"/>
                <w:color w:val="auto"/>
              </w:rPr>
            </w:pPr>
            <w:r>
              <w:rPr>
                <w:rFonts w:ascii="Arial" w:cs="Arial" w:eastAsia="Arial" w:hAnsi="Arial"/>
                <w:sz w:val="11"/>
                <w:szCs w:val="11"/>
                <w:b w:val="1"/>
                <w:bCs w:val="1"/>
                <w:color w:val="auto"/>
              </w:rPr>
              <w:t>Class A</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5"/>
            <w:vMerge w:val="restart"/>
          </w:tcPr>
          <w:p>
            <w:pPr>
              <w:jc w:val="right"/>
              <w:ind w:right="170"/>
              <w:spacing w:after="0"/>
              <w:rPr>
                <w:sz w:val="20"/>
                <w:szCs w:val="20"/>
                <w:color w:val="auto"/>
              </w:rPr>
            </w:pPr>
            <w:r>
              <w:rPr>
                <w:rFonts w:ascii="Arial" w:cs="Arial" w:eastAsia="Arial" w:hAnsi="Arial"/>
                <w:sz w:val="11"/>
                <w:szCs w:val="11"/>
                <w:b w:val="1"/>
                <w:bCs w:val="1"/>
                <w:color w:val="auto"/>
              </w:rPr>
              <w:t>Class B</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00" w:type="dxa"/>
            <w:vAlign w:val="bottom"/>
            <w:gridSpan w:val="6"/>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00" w:type="dxa"/>
            <w:vAlign w:val="bottom"/>
            <w:gridSpan w:val="6"/>
          </w:tcPr>
          <w:p>
            <w:pPr>
              <w:jc w:val="center"/>
              <w:ind w:right="60"/>
              <w:spacing w:after="0"/>
              <w:rPr>
                <w:sz w:val="20"/>
                <w:szCs w:val="20"/>
                <w:color w:val="auto"/>
              </w:rPr>
            </w:pPr>
            <w:r>
              <w:rPr>
                <w:rFonts w:ascii="Arial" w:cs="Arial" w:eastAsia="Arial" w:hAnsi="Arial"/>
                <w:sz w:val="11"/>
                <w:szCs w:val="11"/>
                <w:b w:val="1"/>
                <w:bCs w:val="1"/>
                <w:color w:val="auto"/>
                <w:w w:val="87"/>
              </w:rPr>
              <w:t>Preferred Stock</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40" w:type="dxa"/>
            <w:vAlign w:val="bottom"/>
            <w:gridSpan w:val="5"/>
          </w:tcPr>
          <w:p>
            <w:pPr>
              <w:jc w:val="right"/>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5"/>
          </w:tcPr>
          <w:p>
            <w:pPr>
              <w:jc w:val="right"/>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5"/>
          </w:tcPr>
          <w:p>
            <w:pPr>
              <w:jc w:val="right"/>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2"/>
              </w:rPr>
              <w:t>Additional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4"/>
              </w:rPr>
              <w:t>Number of</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w w:val="94"/>
              </w:rPr>
              <w:t>Number of</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w w:val="98"/>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w w:val="92"/>
              </w:rPr>
              <w:t>Accumulated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88"/>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ind w:left="6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4"/>
          </w:tcPr>
          <w:p>
            <w:pPr>
              <w:ind w:left="8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b w:val="1"/>
                <w:bCs w:val="1"/>
                <w:color w:val="auto"/>
              </w:rPr>
              <w:t>Capital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2020</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00" w:type="dxa"/>
            <w:vAlign w:val="bottom"/>
            <w:tcBorders>
              <w:top w:val="single" w:sz="8" w:color="auto"/>
              <w:lef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gridSpan w:val="2"/>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7,091,960</w:t>
            </w: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gridSpan w:val="2"/>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3,134,162</w:t>
            </w:r>
          </w:p>
        </w:tc>
        <w:tc>
          <w:tcPr>
            <w:tcW w:w="120" w:type="dxa"/>
            <w:vAlign w:val="bottom"/>
            <w:tcBorders>
              <w:top w:val="single" w:sz="8" w:color="CCEEFF"/>
            </w:tcBorders>
            <w:gridSpan w:val="2"/>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3</w:t>
            </w:r>
          </w:p>
        </w:tc>
        <w:tc>
          <w:tcPr>
            <w:tcW w:w="1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101,080</w:t>
            </w: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(80,259)</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gridSpan w:val="2"/>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20,831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3,305</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1,562</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(7,452)</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(7,452)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June 30, 2021</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600" w:type="dxa"/>
            <w:vAlign w:val="bottom"/>
            <w:tcBorders>
              <w:top w:val="single" w:sz="8" w:color="auto"/>
              <w:left w:val="single" w:sz="8" w:color="CCEEFF"/>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7,095,265</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3,134,162</w:t>
            </w:r>
          </w:p>
        </w:tc>
        <w:tc>
          <w:tcPr>
            <w:tcW w:w="12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3</w:t>
            </w:r>
          </w:p>
        </w:tc>
        <w:tc>
          <w:tcPr>
            <w:tcW w:w="1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102,668</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(87,711)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14,967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88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Balance, December 31, 2019</w:t>
            </w:r>
          </w:p>
        </w:tc>
        <w:tc>
          <w:tcPr>
            <w:tcW w:w="5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8"/>
              </w:rPr>
              <w:t>44,550,230</w:t>
            </w:r>
          </w:p>
        </w:tc>
        <w:tc>
          <w:tcPr>
            <w:tcW w:w="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44,449</w:t>
            </w:r>
          </w:p>
        </w:tc>
        <w:tc>
          <w:tcPr>
            <w:tcW w:w="8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648,277</w:t>
            </w:r>
          </w:p>
        </w:tc>
        <w:tc>
          <w:tcPr>
            <w:tcW w:w="20" w:type="dxa"/>
            <w:vAlign w:val="bottom"/>
            <w:tcBorders>
              <w:top w:val="single" w:sz="8" w:color="auto"/>
            </w:tcBorders>
          </w:tcPr>
          <w:p>
            <w:pPr>
              <w:spacing w:after="0"/>
              <w:rPr>
                <w:sz w:val="8"/>
                <w:szCs w:val="8"/>
                <w:color w:val="auto"/>
              </w:rPr>
            </w:pPr>
          </w:p>
        </w:tc>
        <w:tc>
          <w:tcPr>
            <w:tcW w:w="120" w:type="dxa"/>
            <w:vAlign w:val="bottom"/>
            <w:gridSpan w:val="2"/>
          </w:tcPr>
          <w:p>
            <w:pPr>
              <w:spacing w:after="0"/>
              <w:rPr>
                <w:sz w:val="8"/>
                <w:szCs w:val="8"/>
                <w:color w:val="auto"/>
              </w:rPr>
            </w:pPr>
          </w:p>
        </w:tc>
        <w:tc>
          <w:tcPr>
            <w:tcW w:w="300" w:type="dxa"/>
            <w:vAlign w:val="bottom"/>
            <w:tcBorders>
              <w:top w:val="single" w:sz="8" w:color="auto"/>
            </w:tcBorders>
          </w:tcPr>
          <w:p>
            <w:pPr>
              <w:jc w:val="right"/>
              <w:ind w:right="190"/>
              <w:spacing w:after="0" w:line="102" w:lineRule="exact"/>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1</w:t>
            </w:r>
          </w:p>
        </w:tc>
        <w:tc>
          <w:tcPr>
            <w:tcW w:w="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300" w:type="dxa"/>
            <w:vAlign w:val="bottom"/>
            <w:tcBorders>
              <w:top w:val="single" w:sz="8" w:color="auto"/>
            </w:tcBorders>
          </w:tcPr>
          <w:p>
            <w:pPr>
              <w:jc w:val="right"/>
              <w:ind w:right="190"/>
              <w:spacing w:after="0" w:line="102" w:lineRule="exact"/>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gridSpan w:val="2"/>
          </w:tcPr>
          <w:p>
            <w:pPr>
              <w:jc w:val="right"/>
              <w:ind w:right="40"/>
              <w:spacing w:after="0" w:line="10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top w:val="single" w:sz="8" w:color="auto"/>
            </w:tcBorders>
            <w:gridSpan w:val="2"/>
          </w:tcPr>
          <w:p>
            <w:pPr>
              <w:jc w:val="right"/>
              <w:ind w:right="40"/>
              <w:spacing w:after="0" w:line="102" w:lineRule="exact"/>
              <w:rPr>
                <w:sz w:val="20"/>
                <w:szCs w:val="20"/>
                <w:color w:val="auto"/>
              </w:rPr>
            </w:pPr>
            <w:r>
              <w:rPr>
                <w:rFonts w:ascii="Arial" w:cs="Arial" w:eastAsia="Arial" w:hAnsi="Arial"/>
                <w:sz w:val="11"/>
                <w:szCs w:val="11"/>
                <w:b w:val="1"/>
                <w:bCs w:val="1"/>
                <w:color w:val="auto"/>
              </w:rPr>
              <w:t>—</w:t>
            </w:r>
          </w:p>
        </w:tc>
        <w:tc>
          <w:tcPr>
            <w:tcW w:w="120" w:type="dxa"/>
            <w:vAlign w:val="bottom"/>
            <w:gridSpan w:val="2"/>
          </w:tcPr>
          <w:p>
            <w:pPr>
              <w:spacing w:after="0"/>
              <w:rPr>
                <w:sz w:val="8"/>
                <w:szCs w:val="8"/>
                <w:color w:val="auto"/>
              </w:rPr>
            </w:pPr>
          </w:p>
        </w:tc>
        <w:tc>
          <w:tcPr>
            <w:tcW w:w="300" w:type="dxa"/>
            <w:vAlign w:val="bottom"/>
            <w:tcBorders>
              <w:top w:val="single" w:sz="8" w:color="auto"/>
            </w:tcBorders>
          </w:tcPr>
          <w:p>
            <w:pPr>
              <w:jc w:val="right"/>
              <w:ind w:right="190"/>
              <w:spacing w:after="0" w:line="102" w:lineRule="exact"/>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gridSpan w:val="2"/>
          </w:tcPr>
          <w:p>
            <w:pPr>
              <w:jc w:val="right"/>
              <w:ind w:right="40"/>
              <w:spacing w:after="0" w:line="102" w:lineRule="exact"/>
              <w:rPr>
                <w:sz w:val="20"/>
                <w:szCs w:val="20"/>
                <w:color w:val="auto"/>
              </w:rPr>
            </w:pPr>
            <w:r>
              <w:rPr>
                <w:rFonts w:ascii="Arial" w:cs="Arial" w:eastAsia="Arial" w:hAnsi="Arial"/>
                <w:sz w:val="11"/>
                <w:szCs w:val="11"/>
                <w:b w:val="1"/>
                <w:bCs w:val="1"/>
                <w:color w:val="auto"/>
              </w:rPr>
              <w:t>—</w:t>
            </w:r>
          </w:p>
        </w:tc>
        <w:tc>
          <w:tcPr>
            <w:tcW w:w="140" w:type="dxa"/>
            <w:vAlign w:val="bottom"/>
            <w:gridSpan w:val="2"/>
          </w:tcPr>
          <w:p>
            <w:pPr>
              <w:spacing w:after="0"/>
              <w:rPr>
                <w:sz w:val="8"/>
                <w:szCs w:val="8"/>
                <w:color w:val="auto"/>
              </w:rPr>
            </w:pPr>
          </w:p>
        </w:tc>
        <w:tc>
          <w:tcPr>
            <w:tcW w:w="60" w:type="dxa"/>
            <w:vAlign w:val="bottom"/>
            <w:tcBorders>
              <w:top w:val="single" w:sz="8" w:color="auto"/>
            </w:tcBorders>
          </w:tcPr>
          <w:p>
            <w:pPr>
              <w:spacing w:after="0" w:line="102"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1,826</w:t>
            </w:r>
          </w:p>
        </w:tc>
        <w:tc>
          <w:tcPr>
            <w:tcW w:w="20" w:type="dxa"/>
            <w:vAlign w:val="bottom"/>
            <w:tcBorders>
              <w:top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8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(56,938)</w:t>
            </w:r>
          </w:p>
        </w:tc>
        <w:tc>
          <w:tcPr>
            <w:tcW w:w="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0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(55,111)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4"/>
              </w:rPr>
              <w:t>Issuance of Convertible Preferred Stock</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449,770</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450</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126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(9,738)</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rPr>
              <w:t>Balance, June 30, 2020</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8"/>
              </w:rPr>
              <w:t>45,000,000</w:t>
            </w: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44,899</w:t>
            </w:r>
          </w:p>
        </w:tc>
        <w:tc>
          <w:tcPr>
            <w:tcW w:w="80" w:type="dxa"/>
            <w:vAlign w:val="bottom"/>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648,277</w:t>
            </w: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gridSpan w:val="2"/>
          </w:tcPr>
          <w:p>
            <w:pPr>
              <w:spacing w:after="0"/>
              <w:rPr>
                <w:sz w:val="10"/>
                <w:szCs w:val="10"/>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bottom w:val="single" w:sz="8" w:color="auto"/>
            </w:tcBorders>
          </w:tcPr>
          <w:p>
            <w:pPr>
              <w:spacing w:after="0"/>
              <w:rPr>
                <w:sz w:val="10"/>
                <w:szCs w:val="10"/>
                <w:color w:val="auto"/>
              </w:rPr>
            </w:pPr>
          </w:p>
        </w:tc>
        <w:tc>
          <w:tcPr>
            <w:tcW w:w="140" w:type="dxa"/>
            <w:vAlign w:val="bottom"/>
            <w:gridSpan w:val="2"/>
          </w:tcPr>
          <w:p>
            <w:pPr>
              <w:spacing w:after="0"/>
              <w:rPr>
                <w:sz w:val="10"/>
                <w:szCs w:val="10"/>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gridSpan w:val="2"/>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top w:val="single" w:sz="8" w:color="auto"/>
              <w:bottom w:val="single" w:sz="8" w:color="auto"/>
            </w:tcBorders>
            <w:gridSpan w:val="2"/>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120" w:type="dxa"/>
            <w:vAlign w:val="bottom"/>
            <w:gridSpan w:val="2"/>
          </w:tcPr>
          <w:p>
            <w:pPr>
              <w:spacing w:after="0"/>
              <w:rPr>
                <w:sz w:val="10"/>
                <w:szCs w:val="10"/>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gridSpan w:val="2"/>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gridSpan w:val="2"/>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1,952</w:t>
            </w:r>
          </w:p>
        </w:tc>
        <w:tc>
          <w:tcPr>
            <w:tcW w:w="20" w:type="dxa"/>
            <w:vAlign w:val="bottom"/>
            <w:tcBorders>
              <w:top w:val="single" w:sz="8" w:color="auto"/>
              <w:bottom w:val="single" w:sz="8" w:color="auto"/>
            </w:tcBorders>
          </w:tcPr>
          <w:p>
            <w:pPr>
              <w:spacing w:after="0"/>
              <w:rPr>
                <w:sz w:val="10"/>
                <w:szCs w:val="10"/>
                <w:color w:val="auto"/>
              </w:rPr>
            </w:pPr>
          </w:p>
        </w:tc>
        <w:tc>
          <w:tcPr>
            <w:tcW w:w="140" w:type="dxa"/>
            <w:vAlign w:val="bottom"/>
            <w:gridSpan w:val="2"/>
          </w:tcPr>
          <w:p>
            <w:pPr>
              <w:spacing w:after="0"/>
              <w:rPr>
                <w:sz w:val="10"/>
                <w:szCs w:val="10"/>
                <w:color w:val="auto"/>
              </w:rPr>
            </w:pPr>
          </w:p>
        </w:tc>
        <w:tc>
          <w:tcPr>
            <w:tcW w:w="8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(66,676)</w:t>
            </w:r>
          </w:p>
        </w:tc>
        <w:tc>
          <w:tcPr>
            <w:tcW w:w="6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(64,723)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Six Months Ended</w:t>
      </w:r>
    </w:p>
    <w:p>
      <w:pPr>
        <w:ind w:left="75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(7,452)</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Gain on forgiveness of debt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Amortization of deferred financing costs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 recorded as additional revenue interest obligation</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Prepaid expenses and other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Obligations to tissue suppliers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 and other liabilities</w:t>
            </w:r>
          </w:p>
        </w:tc>
        <w:tc>
          <w:tcPr>
            <w:tcW w:w="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Expenditures for property, plant and equipment</w:t>
            </w: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Convertible Promissory Note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Net borrowings (repayments) under revolving line of credit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Convertible Preferred Stock issuance, net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Proceeds from stock option exercises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long-term debt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Repayments of long-term debt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on revenue interest obligation</w:t>
            </w:r>
          </w:p>
        </w:tc>
        <w:tc>
          <w:tcPr>
            <w:tcW w:w="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(11,164)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restricted cash, beginning of period</w:t>
            </w: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39,532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end of period</w:t>
            </w:r>
          </w:p>
        </w:tc>
        <w:tc>
          <w:tcPr>
            <w:tcW w:w="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28,368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Supplemental Cash Flow and Non-Cash Financing Activities Disclosures: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2,522</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Forgiveness of SBA PPP loan</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3,029</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Aziyo Biologics, Inc. (together with its consolidated subsidiaries, "Aziyo” or the “Company”) is a regenerative medicine company, with a focus on patients receiving implantable medical devices. The Company has developed a portfolio of regenerative products using both human and porcine tissue that are designed to be as close to natural biological material as possible. Aziyo’s portfolio of core products span the implantable electronic devices/cardiovascular-related market, the orthopedic/spinal repair market and the soft tissue reconstruction market (“Core Products”). These products are primarily sold to healthcare providers or commercial partners. The Company also sells human tissue products under contract manufacturing and certain other arrangements (“Non-Core Products”) with corporate customers.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Reverse Stock Split and Initial Public Offering</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On September 25, 2020, the Company's Board of Directors and stockholders approved an amendment to the Company's amended and restated certificate of incorporation to effect a 1-for-13.9549 reverse stock split of the Company's common stock, which was effected on September 29, 2020. The par value of the common stock was not adjusted as a result of the reverse stock split. Accordingly, all share and share-related information presented in these condensed consolidated financial statements and the accompanying notes has been retroactively adjusted for all periods presented to give effect to the reverse stock split.</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October 13, 2020, in connection with the Company’s initial public offering ("IPO"), we issued and sold 2,941,176 shares of common stock, consisting of 2,205,882 shares of Class A common stock and 735,294 shares of Class B common stock, at a price to the public of $17.00 per share, resulting in net proceeds to the Company of approximately $43.0 million, after deducting the underwriting discount of approximately $3.5 million and offering expenses of approximately $3.5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(Annual Report) for the fiscal year ended December 31, 2020. The financial information as of June 30, 2021 and for the three and six months ended June 30, 2021 and 2020 is unaudited, but in the opinion of management, all adjustments considered necessary for a fair statement of the results for these interim periods have been included. The condensed consolidated balance sheet data as of December 31, 2020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spacing w:after="0" w:line="17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Intercompany accounts and transactions have been eliminated in consolidation.</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Ability to Continue as a Going Concern (Subtopic 205-40)</w:t>
      </w:r>
      <w:r>
        <w:rPr>
          <w:rFonts w:ascii="Arial" w:cs="Arial" w:eastAsia="Arial" w:hAnsi="Arial"/>
          <w:sz w:val="16"/>
          <w:szCs w:val="16"/>
          <w:color w:val="auto"/>
        </w:rPr>
        <w:t>, the Company has evaluated whether there are conditions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events, considered in the aggregate, that raise substantial doubt about the Company’s ability to continue as a going concern within one year after the date that the consolidated financial statements are issued. The Company believes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that the net proceeds from its IPO, together with its existing cash, availability under its Revolving Line of Credit (the “Revolver”) and cash generated from expected future commercial sales, will be sufficient to fund its operating expenses and capital expenditure requirements through at least one year after the issuance date of the accompanying condensed consolidated financial statements.</w:t>
      </w:r>
    </w:p>
    <w:p>
      <w:pPr>
        <w:spacing w:after="0" w:line="18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Company expects its losses to continue for the foreseeable future and these losses will continue to have an adverse effect on our financial position. Because of the numerous risks and uncertainties associated with the Company’s commercialization and development efforts, the Company is unable to predict when it will become profitable, and it may never become profitable. The Company’s inability to achieve and then maintain profitability would negatively affect its business, financial condition, results of operations and cash flows. As such, the Company may need additional funding to support its continuing operations and pursue its growth strategy.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Certain reclassifications have been made to prior year amounts to conform with current year financial statement presentation. The reclassifications relate to certain executive compensation costs and technical operations expenses at the Company’s Richmond, California plant. As follows are the total amounts reclassified for the three and six months ended June 30, 2020 along with the line items in the condensed consolidated statement of operations that were impacted (in thousands).</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Increase (Decrease) From Previously Reported Amounts</w:t>
            </w: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jc w:val="right"/>
              <w:ind w:right="40"/>
              <w:spacing w:after="0" w:line="119" w:lineRule="exact"/>
              <w:rPr>
                <w:sz w:val="20"/>
                <w:szCs w:val="20"/>
                <w:color w:val="auto"/>
              </w:rPr>
            </w:pPr>
            <w:r>
              <w:rPr>
                <w:rFonts w:ascii="Arial" w:cs="Arial" w:eastAsia="Arial" w:hAnsi="Arial"/>
                <w:sz w:val="13"/>
                <w:szCs w:val="13"/>
                <w:b w:val="1"/>
                <w:bCs w:val="1"/>
                <w:color w:val="auto"/>
              </w:rPr>
              <w:t>Three Months Ended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jc w:val="right"/>
              <w:ind w:right="340"/>
              <w:spacing w:after="0" w:line="119" w:lineRule="exact"/>
              <w:rPr>
                <w:sz w:val="20"/>
                <w:szCs w:val="20"/>
                <w:color w:val="auto"/>
              </w:rPr>
            </w:pPr>
            <w:r>
              <w:rPr>
                <w:rFonts w:ascii="Arial" w:cs="Arial" w:eastAsia="Arial" w:hAnsi="Arial"/>
                <w:sz w:val="13"/>
                <w:szCs w:val="13"/>
                <w:b w:val="1"/>
                <w:bCs w:val="1"/>
                <w:color w:val="auto"/>
              </w:rPr>
              <w:t>Six Months Ended</w:t>
            </w: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6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0"/>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These reclassifications did not impact the Company’s consolidated earnings or assets for the three and six months ended June 30, 2020.</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inventory, receivables, long-lived assets, the valuation of stock-based awards, the valuation of the preferred stock warrant liability and deferred income taxes are made at the end of each financial reporting period by management. Management continually re-evaluates its estimates, judgments and assumptions, and management's evaluation could change. Actual results could differ from those estimates.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continues to closely monitor the impact of the COVID-19 pandemic on its business. In March 2020, the World Health Organization declared COVID-19 a global pandemic and recommended various containment and mitigation measures worldwide. Since that time, the number of procedures performed using the Company's products has decreased significantly,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the Company's products have been postponed or cancelled, which has negatively impacted sales of its products. These measures and challenges will likely continue for the duration of the pandemic, which is uncertain, and will likely continue to reduce the Company's net sales and negatively impact its business, financial condition and results of operations while the pandemic continues.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Company calculates basic and diluted net loss per share attributable to common stockholders in conformity with the two-class method required for participating securities. The Convertible Preferred Stock was considered a participating security through the completion of the IPO. The two-class method requires income (loss) available to common stockholders for the period to be allocated between common and participating securities based upon their respective rights to share in the earnings as if all income (loss) for the period had been distributed. Under the two-class method, the net loss attributable to common stockholders is not allocated to the Convertible Preferred Stock as the holders of the preferred stock do not have a contractual obligation to share in losses.</w:t>
      </w:r>
    </w:p>
    <w:p>
      <w:pPr>
        <w:spacing w:after="0" w:line="17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common stock has a dual class structure, consisting of Class A common stock and Class B common stock. Other than voting rights, the Class B common stock has the same rights as the Class A common stock, and therefore both are treated as the same class of stock for purposes of the earnings per share calculation. 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Convertible Preferred Stock, stock options, and preferred and common stock warrants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Valuations based on quoted prices for identical assets and liabilities in active markets.</w:t>
      </w:r>
    </w:p>
    <w:p>
      <w:pPr>
        <w:spacing w:after="0" w:line="225" w:lineRule="exact"/>
        <w:rPr>
          <w:sz w:val="20"/>
          <w:szCs w:val="20"/>
          <w:color w:val="auto"/>
        </w:rPr>
      </w:pPr>
    </w:p>
    <w:p>
      <w:pPr>
        <w:jc w:val="both"/>
        <w:ind w:left="60" w:right="79" w:firstLine="648"/>
        <w:spacing w:after="0" w:line="289"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Valuations based on observable inputs other than quoted prices included in Level 1, such as quoted</w:t>
      </w:r>
      <w:r>
        <w:rPr>
          <w:rFonts w:ascii="Arial" w:cs="Arial" w:eastAsia="Arial" w:hAnsi="Arial"/>
          <w:sz w:val="17"/>
          <w:szCs w:val="17"/>
          <w:b w:val="1"/>
          <w:bCs w:val="1"/>
          <w:color w:val="auto"/>
        </w:rPr>
        <w:t xml:space="preserve"> </w:t>
      </w:r>
      <w:r>
        <w:rPr>
          <w:rFonts w:ascii="Arial" w:cs="Arial" w:eastAsia="Arial" w:hAnsi="Arial"/>
          <w:sz w:val="17"/>
          <w:szCs w:val="17"/>
          <w:color w:val="auto"/>
        </w:rPr>
        <w:t>prices for similar assets and liabilities in active markets, quoted prices for identical or similar assets and liabilities in markets that are not active, or other inputs that are observable or can be corroborated by observable market data.</w:t>
      </w:r>
    </w:p>
    <w:p>
      <w:pPr>
        <w:spacing w:after="0" w:line="158" w:lineRule="exact"/>
        <w:rPr>
          <w:sz w:val="20"/>
          <w:szCs w:val="20"/>
          <w:color w:val="auto"/>
        </w:rPr>
      </w:pPr>
    </w:p>
    <w:p>
      <w:pPr>
        <w:jc w:val="both"/>
        <w:ind w:left="60" w:right="59" w:firstLine="648"/>
        <w:spacing w:after="0" w:line="347" w:lineRule="auto"/>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Valuations based on unobservable inputs reflecting the Company’s own assumptions,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available assumptions made by other market participants. These valuations require significant judgment.</w:t>
      </w:r>
    </w:p>
    <w:p>
      <w:pPr>
        <w:spacing w:after="0" w:line="12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maintains its cash balances at banks and financial institutions. The balances are insured up to the legal limit. The Company maintains cash balances that may, at times, exceed this insured limit.</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Under the provisions of the Revolving Credit Facility (see Note 6), the Company has a lockbox arrangement with the banking institution whereby daily lockbox receipts are contractually utilized to pay down outstanding balances on the Revolving Credit Facility debt. Lockbox receipts that have not yet been applied to the Revolving Credit Facility are classified as restricted cash in the accompanying condensed consolidated balance sheets. The following table provides 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reconciliation of cash and restricted cash included in the condensed consolidated balance sheets to the amounts included in the statements of cash flows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28,302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9"/>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cash and restricted cash shown in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28,368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Accounts receivable in the accompanying balance sheets are presented net of allowances for doubtful accounts and other credits. The Company grants credit to customers in the normal course of business, but generally does not require collateral or any other security to support its receivables.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doubtful accounts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Inventory, consisting of purchased materials, direct labor and manufacturing overhead, are stated at the lower of cost or net realizable value, with cost determined generally using the average cost method. Inventory write-downs for unprocessed and certain processed donor tissue are recorded based on the estimated amount of inventory that will not pass the quality control process based on historical data. At each balance sheet date, the Company also evaluates inventory for excess quantities, obsolescence or shelf 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the straight-line method over the following estimated useful lives of the assets: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research equipment</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90"/>
              </w:rPr>
              <w:t>5 to 10 years</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760" w:type="dxa"/>
            <w:vAlign w:val="bottom"/>
          </w:tcPr>
          <w:p>
            <w:pPr>
              <w:jc w:val="center"/>
              <w:ind w:left="1710"/>
              <w:spacing w:after="0"/>
              <w:rPr>
                <w:sz w:val="20"/>
                <w:szCs w:val="20"/>
                <w:color w:val="auto"/>
              </w:rPr>
            </w:pPr>
            <w:r>
              <w:rPr>
                <w:rFonts w:ascii="Arial" w:cs="Arial" w:eastAsia="Arial" w:hAnsi="Arial"/>
                <w:sz w:val="18"/>
                <w:szCs w:val="18"/>
                <w:color w:val="auto"/>
                <w:w w:val="89"/>
              </w:rPr>
              <w:t>3 to 5 years</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84"/>
              </w:rPr>
              <w:t>3 years</w:t>
            </w:r>
          </w:p>
        </w:tc>
      </w:tr>
    </w:tbl>
    <w:p>
      <w:pPr>
        <w:spacing w:after="0" w:line="202"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Leasehold improvements are amortized on the straight-line method over the shorter of the lease term or the estimated useful life of the asset.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Repairs and maintenance costs are expensed as incurred.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Purchased intangible assets with finite lives are carried at acquired fair value, less accumulated amortization.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is computed over the estimated useful lives of the respective assets.</w:t>
      </w:r>
    </w:p>
    <w:p>
      <w:pPr>
        <w:spacing w:after="0" w:line="211"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three and six months ended June 30, 2021 or 2020.</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Company’s revenue is generated from contracts with customers in accordance with Financial Accounting Standards Board (FASB) Accounting Standards Codification (ASC) No. 606, “Revenue from Contracts with Customers”.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As noted above, the Company enters into contracts to primarily sell and distribute products to healthcare providers or commercial partners, or are produced and sold under contract manufacturing arrangements with corporate customers which are billed under ship and bill contract terms.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from inventory physically held by direct sales representatives. For these types of products sales, the Company retains control until the product has been used or implanted, at which time revenue is recognized.</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30 to 60 days of delivery. The Company, at times, extends volume discounts to customers.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recognizes rent expense by the straight-line method over the lease term. Funds received from the lessor used to reimburse the Company for the cost of leasehold improvements are recorded as a deferred credit resulting from a lease incentive and are amortized over the lease term as a reduction of rent expense.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 xml:space="preserve">The Company accounts for its stock-based compensation plans in accordance with FASB Accounting Standards Codification (“ASC”) 718, </w:t>
      </w:r>
      <w:r>
        <w:rPr>
          <w:rFonts w:ascii="Arial" w:cs="Arial" w:eastAsia="Arial" w:hAnsi="Arial"/>
          <w:sz w:val="16"/>
          <w:szCs w:val="16"/>
          <w:i w:val="1"/>
          <w:iCs w:val="1"/>
          <w:color w:val="auto"/>
        </w:rPr>
        <w:t>Accounting for Stock Compensation</w:t>
      </w:r>
      <w:r>
        <w:rPr>
          <w:rFonts w:ascii="Arial" w:cs="Arial" w:eastAsia="Arial" w:hAnsi="Arial"/>
          <w:sz w:val="16"/>
          <w:szCs w:val="16"/>
          <w:color w:val="auto"/>
        </w:rPr>
        <w:t>. FASB ASC 718 requires the measurement and recognition of compensation expense for all stock-based awards made to employees and directors, including employee stock options and restricted stock. Stock-based compensation cost is measured at the grant date, based on the calculated fair value of the award, and is recognized as an expense on a straight-line basis over the requisite service period of the entire award.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Research and development costs, which include mainly salaries, outside services and supplies, are expensed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incurred.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At June 30, 2021, the Company maintained $28.8 million in bank deposit accounts that are in excess of the $0.25 million insurance provided by the Federal Deposit Insurance Corporation in one federally insured financial institution. The Company has not experienced any losses in such accounts.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Comprehensive income (loss) comprises net income (loss) and other changes in equity that are excluded from net income (loss). For the three and six months ended June 30, 2021 and 2020, the Company’s net loss equaled its comprehensive loss and accordingly, no additional disclosure is presented.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spacing w:after="0" w:line="1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Recently Issued Accounting Standards</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In March 2020, the Financial Accounting Standards Board (“FASB”) issued ASU 2020-04, Reference Rate Reform (Topic 848), Facilitation of the Effects of Reference Rate Reform on Financial Reporting. The ASU provides temporary relief from some of the existing rules governing contract modifications when the modification is related to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replacement of the London Interbank Offered Rate (“LIBOR”) or other reference rates discontinued as a result of reference rate reform. The ASU specifically provides optional practical expedients for contract modification accounting related to contracts subject to ASC 310, Receivables, ASC 470, Debt, ASC 842, Leases, and ASC 815, Derivatives and Hedging. The ASU also establishes a general contract modification principle that entities can apply in other areas that may be affected by reference rate reform and certain elective hedge accounting expedients. For eligible contract modifications, the principle generally allows an entity to account for and present modifications as an event that does not require contract remeasurement at the modification date or reassessment of a previous accounting determination. That is, the modified contract is accounted for as a continuation of the existing contract. The standard was effective upon issuance on March 12, 2020, and the optional practical expedients can generally be applied to contract modifications made and hedging relationships entered into on or before December 31, 2022. Borrowings under the Company’s term loan facility and revolving line of credit bear interest based on LIBOR or an alternate rate. Provisions currently provide the Company with the ability to replace LIBOR with a different reference rate in the event that LIBOR ceases to exist.</w:t>
      </w:r>
    </w:p>
    <w:p>
      <w:pPr>
        <w:spacing w:after="0" w:line="16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which clarifies and simplifies certain aspects of the accounting for income taxes. The standard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years beginning after December 15, 2020, and interim periods within annual periods beginning after December 15, 2020. The adoption of this standard on January 1, 2021 did not have a material impact on the Company’s consolidated financial statements.</w:t>
      </w:r>
    </w:p>
    <w:p>
      <w:pPr>
        <w:spacing w:after="0" w:line="18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November 2019, the FASB issued ASU 2019-10, “Instruments - Credit Losses (Topic 326), Derivative and Hedging (Topic 815), and Leases (Topic 842), Effective Dates.” The FASB deferred the effective dates of the new credit losses standard for all entities except filers with the Securities and Exchange Commission (the “SEC”) that are not smaller reporting companies (SRCs) to fiscal years beginning after December 15, 2022, including interim periods within those fiscal years. The Board also aligned the effective dates of ASU 2017-04 on goodwill impairment with the new effective dates of the credit losses standard. The FASB deferred the effective dates of its new standards on hedging and leases for entities that are not public business entities (PBEs) (and for leases, for entities that are not non-for-profit (NFP) entities that have issues, or are conduit bond obligors for, certain securities; and are not employee benefit plans (EBPs) that file or furnish financial statements with or to the SEC) to fiscal years beginning after December 15, 2020, and interim periods in the following year. The FASB is also reconsidering its philosophy on establishing effective dates for major standards for private companies, NFPs, EBPs and smaller public companies. The board has developed a two-bucket approach that would give these entities more time to implement major new standards. The Company is evaluating this standard to determine if adoption will have a material impact on the Company’s consolidated financial statements.</w:t>
      </w:r>
    </w:p>
    <w:p>
      <w:pPr>
        <w:spacing w:after="0" w:line="17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February 2016, the FASB issued ASU 2016-02, Leases. The standard requires that lessees recognize a right-of-use asset and a lease liability for virtually all of their leases (other than leases that meet the definition of a short-term lease). The liability will be equal to the present value of lease payments. The asset will be based on the liability subject to certain adjustments.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In November 2019, the FASB issued 2019-10 which extended the adoption of ASU 2016-02 for the Company to be effective periods ending after December 15, 2022. While early adoption is permitted, the Company intends to adopt in accordance with the revised timeline provided by the FASB. The Company is evaluating this standard to determine if adoption will have a material impact on the Company’s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Stock-Based Compensation</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2015, the Company established the Aziyo Biologics, Inc. 2015 Stock Option/Stock Issuance Plan, as amended (the “2015 Plan”) which provided for the granting of incentive and non-qualified stock options to employees, directors and consultants of the Company. On October 7, 2020, in connection with the Company’s IPO, the Company adopted the Aziyo Biologics, Inc. 2020 Incentive Award Plan (the “2020 Plan”), which authorizes the grant of incentive and non-qualified stock options, restricted stock, restricted stock units and stock appreciation rights to employees, directors and consultants. Shares of Class A common stock totaling 1,636,000 were initially reserved for issuance pursuant to the 2020 Plan. In addition, the shares reserved for issuance under the 2020 Plan will also include shares reserved but not issued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under the 2015 Plan as well as an annual increase as set forth in the 2020 Plan. As of June 30, 2021, the Company had 432,864 shares of Class A common stock available for issuance under the 2020 Plan.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policy is to grant stock options at an exercise price equal to 100% of the market value of a share of Class A common stock at closing on the date of the grant. The Company’s stock options have contractual terms of seven to ten years, and vest over a four-year period from the date of grant.</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 summary of stock option activity under the Company’s 2015 Plan and 2020 Plan for the six months ended June 30, 2021 is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7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Number of Shares</w:t>
            </w: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(years)</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917,437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13.68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395,417</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13.80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(6,093)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16.32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1,303,456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8"/>
                <w:szCs w:val="18"/>
                <w:color w:val="auto"/>
              </w:rPr>
              <w:t>Vested and exercisable, June 30, 2021</w:t>
            </w: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208,505</w:t>
            </w: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-333375</wp:posOffset>
            </wp:positionV>
            <wp:extent cx="56489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-890905</wp:posOffset>
            </wp:positionV>
            <wp:extent cx="3137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8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As of June 30, 2021, there was approximately $7.7 million of total unrecognized compensation expense related to unvested stock options. These costs are expected to be recognized over a weighted-average period of 3.2 years. The weighted average grant date fair value of options granted during the six months ended June 30, 2021 was $7.98.</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Restricted stock units (“RSUs”) represent rights to receive common shares at a future date. There is no exercise price and no monetary payment is required for receipt of restricted stock units or the shares issued in settlement of the award.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the RSU activity under the Company’s 2020 Plan for the six months ended June 30, 2021 is as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0" w:type="dxa"/>
            <w:vAlign w:val="bottom"/>
            <w:gridSpan w:val="2"/>
          </w:tcPr>
          <w:p>
            <w:pPr>
              <w:jc w:val="center"/>
              <w:ind w:left="1596"/>
              <w:spacing w:after="0" w:line="149" w:lineRule="exact"/>
              <w:rPr>
                <w:sz w:val="20"/>
                <w:szCs w:val="20"/>
                <w:color w:val="auto"/>
              </w:rPr>
            </w:pPr>
            <w:r>
              <w:rPr>
                <w:rFonts w:ascii="Arial" w:cs="Arial" w:eastAsia="Arial" w:hAnsi="Arial"/>
                <w:sz w:val="14"/>
                <w:szCs w:val="14"/>
                <w:b w:val="1"/>
                <w:bCs w:val="1"/>
                <w:color w:val="auto"/>
                <w:w w:val="92"/>
              </w:rPr>
              <w:t>Underlying</w:t>
            </w:r>
          </w:p>
        </w:tc>
        <w:tc>
          <w:tcPr>
            <w:tcW w:w="8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4"/>
              </w:rPr>
              <w:t>Grant Date</w:t>
            </w: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RSUs</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2020</w:t>
            </w:r>
          </w:p>
        </w:tc>
        <w:tc>
          <w:tcPr>
            <w:tcW w:w="1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147,883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Granted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86,115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14.46</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June 30, 2021</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233,798</w:t>
            </w:r>
          </w:p>
        </w:tc>
        <w:tc>
          <w:tcPr>
            <w:tcW w:w="2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total fair value of the RSUs granted during the six months ended June 30, 2021 of $1.2 million was based on the fair market value of the Company's Class A common stock on the date of grant. The fair value at the time of the grant is amortized to expense on a straight-line basis over the vesting period of three to four years. As of June 30, 2021, $3.3 million of unrecognized compensation costs related to RSUs is expected to be recognized over a weighted average period of 3.0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Stock-based compensation expense recognized during the three and six months ended June 30, 2021 and 2020 was comprised of the following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6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36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42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uses the Black-Scholes model to value its stock option grants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Before the completion of the Company’s IPO, the Board of Directors determined the fair value of common stock considering the state of the business, input from management, third party valuations and other considerations. The Company uses the simplified method for estimating the expected term used to determine the fair value of options. The expected volatility of the Class A common stock is primarily based on the historical volatility of comparable companies in the industry whose share prices are publicly available.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and is recognized on a straight-line basis over the requisite service period for the entire award.</w:t>
      </w:r>
    </w:p>
    <w:p>
      <w:pPr>
        <w:spacing w:after="0" w:line="168" w:lineRule="exact"/>
        <w:rPr>
          <w:sz w:val="20"/>
          <w:szCs w:val="20"/>
          <w:color w:val="auto"/>
        </w:rPr>
      </w:pPr>
    </w:p>
    <w:p>
      <w:pPr>
        <w:ind w:left="100" w:right="59" w:firstLine="603"/>
        <w:spacing w:after="0" w:line="277" w:lineRule="auto"/>
        <w:rPr>
          <w:sz w:val="20"/>
          <w:szCs w:val="20"/>
          <w:color w:val="auto"/>
        </w:rPr>
      </w:pPr>
      <w:r>
        <w:rPr>
          <w:rFonts w:ascii="Arial" w:cs="Arial" w:eastAsia="Arial" w:hAnsi="Arial"/>
          <w:sz w:val="18"/>
          <w:szCs w:val="18"/>
          <w:color w:val="auto"/>
        </w:rPr>
        <w:t>The following weighted-average assumptions were used to determine the fair value of options during the six months ended June 30, 2021 and 2020:</w:t>
      </w:r>
    </w:p>
    <w:p>
      <w:pPr>
        <w:spacing w:after="0" w:line="39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9"/>
          </w:tcPr>
          <w:p>
            <w:pPr>
              <w:jc w:val="center"/>
              <w:ind w:right="234"/>
              <w:spacing w:after="0"/>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9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5"/>
          </w:tcPr>
          <w:p>
            <w:pPr>
              <w:jc w:val="center"/>
              <w:ind w:left="154"/>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900" w:type="dxa"/>
            <w:vAlign w:val="bottom"/>
          </w:tcPr>
          <w:p>
            <w:pPr>
              <w:spacing w:after="0"/>
              <w:rPr>
                <w:sz w:val="17"/>
                <w:szCs w:val="17"/>
                <w:color w:val="auto"/>
              </w:rPr>
            </w:pPr>
          </w:p>
        </w:tc>
        <w:tc>
          <w:tcPr>
            <w:tcW w:w="48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r>
      <w:tr>
        <w:trPr>
          <w:trHeight w:val="210"/>
        </w:trPr>
        <w:tc>
          <w:tcPr>
            <w:tcW w:w="9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0.99</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Dividend yield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877"/>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Note 5. Inventory</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5760" w:type="dxa"/>
            <w:vAlign w:val="bottom"/>
            <w:gridSpan w:val="2"/>
          </w:tcPr>
          <w:p>
            <w:pPr>
              <w:ind w:left="640"/>
              <w:spacing w:after="0"/>
              <w:rPr>
                <w:sz w:val="20"/>
                <w:szCs w:val="20"/>
                <w:color w:val="auto"/>
              </w:rPr>
            </w:pPr>
            <w:r>
              <w:rPr>
                <w:rFonts w:ascii="Arial" w:cs="Arial" w:eastAsia="Arial" w:hAnsi="Arial"/>
                <w:sz w:val="18"/>
                <w:szCs w:val="18"/>
                <w:color w:val="auto"/>
              </w:rPr>
              <w:t>Inventory was comprised of the following (in thousands):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5"/>
        </w:trPr>
        <w:tc>
          <w:tcPr>
            <w:tcW w:w="9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0" w:type="dxa"/>
            <w:vAlign w:val="bottom"/>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09"/>
        </w:trPr>
        <w:tc>
          <w:tcPr>
            <w:tcW w:w="9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7,373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7,902</w:t>
            </w:r>
          </w:p>
        </w:tc>
        <w:tc>
          <w:tcPr>
            <w:tcW w:w="160" w:type="dxa"/>
            <w:vAlign w:val="bottom"/>
            <w:shd w:val="clear" w:color="auto" w:fill="CCEEFF"/>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0"/>
              </w:rPr>
              <w:t>10,341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10,117</w:t>
            </w:r>
          </w:p>
        </w:tc>
        <w:tc>
          <w:tcPr>
            <w:tcW w:w="16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Long-Term Debt</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On May 31, 2017, in connection with the Company’s acquisition of CorMatrix described in Note 7, Aziyo entered into a $10 million term loan facility (the “Term Loan Facility”) and an $8 million asset-backed revolving line of credit (the “Revolving Credit Facility”), under which the Company’s borrowing capacity is limited by certain qualifying assets, with a financial institution (the “May 2017 Financing”). As of both June 30, 2021 and December 31, 2020, the Company’s borrowing capacity under its Revolving Credit Facility was $8.0 million. The Term Loan Facility was amended in December 2017, February 2018 and July 2019 (all amendments being considered modifications) such that an additional $1.5 million, $3.0 million, and $3.5 million, respectively were received by the Company bringing the total aggregate principal amount outstanding under the Term Loan Facility to $20 million. Borrowings under the Term Loan Facility, as amended, bear interest at a rate per annum equal to the sum of (x) the greater of (i) 2.25% and (ii) the applicable London Interbank Offered Rate for U.S. dollar deposits divided by 1.00 minus the maximum effective reserve percentage for Eurocurrency funding (“LIBOR”) plus (y) 7.25%. In January 2021, based on its IPO, the Company exercised its right to extend the interest-only payment period for the Term Loan Facility to August 1, 2021 and, accordingly, interest and equal principal payments will be made beginning August 1, 2021 through maturity in July 2024.</w:t>
      </w:r>
    </w:p>
    <w:p>
      <w:pPr>
        <w:spacing w:after="0" w:line="17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agreement that governs the Term Loan Facility, as amended, requires certain mandatory prepayments,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of the Revolving Credit Facility is calculated. In addition, the Company is required to prepay all outstanding obligations under the Term Loan Facility upon the termination of all commitments under the Revolving Credit Facility and the repayment of the outstanding borrowings thereunder. No such mandatory prepayments were required during the three and six months ended June 30, 2021 and 2020.</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Both the Term Loan Facility and the Revolving Credit Facility also permit optional prepayments.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agreement governing the Term Loan Facility also includes an exit fee of 6.5% of the aggregate principal amount and prepayment penalties of 2% to 4% if repaid prior to maturity. The weighted average interest rate on Term Loan Facility borrowings was 7.3% and 7.6%, respectively, for the three months ended June 30, 2021 and 2020 and 7.4% and 8.1%, respectively for the six months ended June 30 2021 and 2020. Borrowings under the Revolving Credit Facility bear interest at a rate per annum equal to the sum of (x) the greater of (i) 2.25% and (ii) LIBOR plus (y) 4.95%. The agreement governing the Revolving Credit Facility includes an unused line fee in an amount equal to 0.5% per annum of the unused borrowing capacity and prepayment penalties of 2% to 4% on the $8 million borrowing capacity if terminated by the Company prior to its expiration in July 2024. The weighted average interest rate on Revolving Credit Facility borrowings was 5.0% and 5.3%, respectively, for the three months ended June 30, 2021 and 2020 and 5.1% and 5.8%, respectively, for the six months ended June 30, 2021 and 2020 . Both debt instruments contain events of default, including, most significantly, a failure to timely pay interest or principal, insolvency, or an action by the United States Food and Drug Administration or such other material adverse event impacting the operations of Aziyo. The debt instruments also include a financial covenant based on cumulative minimum net product revenue, as defined, restrictions as to payment of dividends, and are secured by all assets of the Company. As of June 30, 2021, Aziyo was in compliance with this financial covenant.</w:t>
      </w:r>
    </w:p>
    <w:p>
      <w:pPr>
        <w:spacing w:after="0" w:line="171"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conjunction with the May 2017 Financing and the amendment thereto, the Company issued to the financial institution warrants to purchase 405,000 shares of Aziyo’s Convertible Preferred Stock at $1.00 per share. The warrants were exercisable through the first to occur of (a) May 31, 2027 (in the case of warrants to purchase 360,000 shares of Convertible Preferred Stock) or December 14, 2027 (in the case of warrants to purchase 45,000 shares of Convertible Preferred Stock), and (b) the earlier of (i) a Sale Transaction (as defined in the Company’s Certificate of Incorporation) or</w:t>
      </w:r>
    </w:p>
    <w:p>
      <w:pPr>
        <w:spacing w:after="0" w:line="2" w:lineRule="exact"/>
        <w:rPr>
          <w:sz w:val="20"/>
          <w:szCs w:val="20"/>
          <w:color w:val="auto"/>
        </w:rPr>
      </w:pPr>
    </w:p>
    <w:p>
      <w:pPr>
        <w:jc w:val="both"/>
        <w:ind w:left="60" w:right="59" w:hanging="10"/>
        <w:spacing w:after="0" w:line="253" w:lineRule="auto"/>
        <w:tabs>
          <w:tab w:leader="none" w:pos="346"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initial public offering of the Company’s common stock. All warrants were exercised in connection with the IPO noted in Note 1. Upon issuance, the Company valued such warrants at $286,267. The recognition of these warrants served to reduce the recorded value of the associated Term Loan Facility borrowings. This resulting debt discount will be recognized as interest expense through the maturity of the Term Loan Facility.</w:t>
      </w:r>
    </w:p>
    <w:p>
      <w:pPr>
        <w:spacing w:after="0" w:line="193"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During 2017, the Company restructured certain of its liabilities with a tissue supplier and entered into an unsecured promissory note totaling $2.1 million. The note bears interest at 5% and includes quarterly interest-only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payments in 2017 and quarterly interest and principal payments from March 31, 2018 through August 31, 2020. The notes are subordinated in payment to the Term Loan Facility and Revolving Credit Facility and in both 2021 and 2020, the Company’s senior lender restricted payment of the amounts due.</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May 2020, Aziyo entered into a promissory note with Silicon Valley Bank that provided for the receipt by the Company of loan proceeds totaling approximately $3.0 million (the “PPP Loan”) pursuant to the Paycheck Protection Program under the Coronavirus Aid, Relief and Economic Security Act (the “CARES Act”). In June 2021, Aziyo was notified by the U.S. Small Business Administration that the entire balance of the Company’s PPP Loan and all related accrued interest was forgiven. Such forgiveness resulted in a gain to the Company of approximately $3.0 million which has been recorded as other income in the accompanying condensed consolidated statements of operations for the three and six months ended June 30, 2021.</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was comprised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9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 net of unamortized discount and deferred financing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Note to Tissue Supplier</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PPP loan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10"/>
        </w:trPr>
        <w:tc>
          <w:tcPr>
            <w:tcW w:w="6940" w:type="dxa"/>
            <w:vAlign w:val="bottom"/>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21,186</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24,121</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r>
      <w:tr>
        <w:trPr>
          <w:trHeight w:val="209"/>
        </w:trPr>
        <w:tc>
          <w:tcPr>
            <w:tcW w:w="694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17,811</w:t>
            </w: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fair value of all debt instruments, which is based on inputs considered to be Level 2 under the fair value hierarchy, approximates the respective carrying values as of June 30, 2021 and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Revenue Interest Obligation</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May 31, 2017, the Company completed an asset purchase agreement with CorMatrix Cardiovascular, Inc. ("CorMatrix") and acquired all CorMatrix commercial assets and related intellectual property (the "CorMatrix Acquisition"). As part of the CorMatrix Acquisition, the Company assumed a restructured, long-term obligation (the “Revenue Interest Obligation”) to Ligand Pharmaceuticals (“Ligand”) with an estimated present value on the acquisition date of $27.7 million. Subject to annual minimum payments of $2.75 million per year, the terms of the Revenue Interest Obligation require Aziyo to pay Ligand, 5% of future sales of the products Aziyo acquired from CorMatrix, including CanGaroo, ProxiCor, Tyke and Vascure, as well as products substantially similar to those products, such as the version of CanGaroo Aziyo is currently developing that is designed to have anti-infective properties.</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Furthermore, a $5.0 million payment will be due to Ligand if cumulative sales of these products exceed $100.0 million and a second $5.0 million will be due if cumulative sales exceed $300.0 million during the ten-year term of the agreement which expires on May 31, 2027.</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has recorded the present value of the estimated total future payments under the Revenue Interest Obligation as a long-term obligation, with the annual minimum payments serving to establish the short-term portion. Total future payments, including contingent milestone payments and estimated sales-based payments, are based on assumptions related to future sales of the acquired products. At each reporting period, the value of the Revenue Interest Obligation is re-measured based on current estimates of future payments, with changes to be recorded in the condensed consolidated statements of operations using the catch-up method. There was no change to estimated future payments during the three and six months ended June 30, 2021 and 2020, and thus, no re-measurement gain or loss was recognized. Interest expense related to the Revenue Interest Obligation was approximately $0.7 million for both the three months ended June 30, 2021 and 2020, respectively, and approximately $1.3 million for both the six months ended June 30, 2021 and 2020,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leases two production facilities and one administrative and research facility under non-cancelable operating lease arrangements that expire through November 2025. All leases contain renewal options and escalation clauses based upon increases in the lessors’ operating expenses and other charges.</w:t>
      </w:r>
    </w:p>
    <w:p>
      <w:pPr>
        <w:spacing w:after="0" w:line="18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Company records rent expense on a straight-line basis over the life of the lease and the difference between the average rent expense and cash payments for rent is recorded as deferred rent and is included in other current and long-term liabilities on the balance sheet. Rent expense was approximately $0.3 million for both the three months ended June 30, 2021 and 2020, respectively, and was approximately $0.6 million for both the six months ended June 30, 2021 and 2020, respectively, and is included as a component of either cost of goods sold or general and administrative expenses.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Cook Biotech License and Supply Agreements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Aziyo has entered into a license agreement with Cook Biotech (“Cook”) for an exclusive, worldwide license to the porcine tissue for use in the Company’s Cardiac Patch and CanGaroo products, subject to certain co-exclusive rights retained by Cook. The term of such license is through the date of the last to expire of the licensed Cook patents, which is anticipated to be July 2031. Along with this license agreement, Aziyo entered into a supply agreement whereby Cook would be the exclusive supplier to Aziyo of the licensed porcine tissue. Under certain limited circumstances, Aziyo has the right to manufacture the licensed product and pay Cook a royalty of 3% of sales of the Aziyo-manufactured tissue. The supply agreement expires on the same date as the related license agreement. No royalties were paid to Cook during the three and six months ended June 31, 2021 or 2020. Aziyo has also entered into an amendment to the Cook license agreement (the “Cook Amendment”) in order to add fields of exclusive use. Specifically, the Cook Amendment provides for a worldwide exclusive license to the porcine tissue for use with neuromodulation devices in addition to cardiovascular devices. The Cook Amendment includes license fee payments of $0.1 million per year in each of the years 2020 through 2026. Such license payments would accelerate if a change in control, as defined, occurs within Aziyo. The Company, in its sole discretion, can terminate the license agreement at any time.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From time to time, we may be involved in claims and proceedings arising in the course of our business. The outcome of any such claims or proceedings, regardless of the merits, is inherently uncertain. The Company records accruals for contingencies when it is probable that a liability has been incurred and the amount can be reasonably estimated. These accruals are adjusted periodically as assessments change or additional information becomes available.</w:t>
      </w:r>
    </w:p>
    <w:p>
      <w:pPr>
        <w:spacing w:after="0" w:line="157"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Between June 21, 2021 to present, 27 lawsuits in Indiana, Delaware, Florida, and Maryland have been filed against Aziyo Biologics Inc., certain Medtronic entities, and others alleging that the plaintiffs contracted tuberculosis and suffered substantial symptoms and complications following the implantation of FiberCel during spinal fusion operations. Thirteen lawsuits were filed in Indiana state court, captioned, respectively: (1) John Dukes and Kimberly Smith v. Aziyo Biologics, Inc., et al., Case No. 49D06-2106- CT-020915; (2) Tamara and Richard Marksberry v. Aziyo Biologics, Inc., et al., Case No. 49D04-2106-CT-021649; (3) Ramon Cabello v. Aziyo Biologics, Inc., et al., Case No. 49D13-2106-CT-021650; (4) Luis Caban v. Aziyo Biologics, Inc., Case No. 49D13-2107-CT-022413; (5) Machell and Samuel Hargrave v. Aziyo Biologics, Inc., et al., Case No. 49D01-2106-CT-021275; (6) Georgia Flinn as Personal Representative of the Estate of Gregory Flinn v. Aziyo Biologics, Inc., et al., Case No. 49D12-2107-CT-024051; (7) Ruth and William Flynn v. v. Aziyo Biologics, Inc., et al., Case No. 49D12-2107-CT-024624; (8) Tracy Warner and Kristin Foate v. v. Aziyo Biologics, Inc., et al., Case No. 49D04-2107-CT-024631; (9) Donna Schilling v. v. Aziyo Biologics, Inc., et al., Case No. 49D04-2107-CT-024443; (10)Robby and Stephanie Anderson v. v. Aziyo Biologics, Inc., et al., Case No. 49D13-2107-CT-025221; (11) Max Shepard v. v. Aziyo Biologics, Inc., et al., Case No. 49D11-2108-CT-025984; (12) Leon Chew v. Aziyo Biologics, Inc., et al., Case No. 49D12-2108-CT-025967; and (13) Candace Kozor, Kenneth Largin and Anthony Young v. Aziyo Biologics, Inc., et al., Case No. 49D04-2107-CT-024626 (collectively, the “Indiana State Complaints”). One lawsuit was filed in the United States District Court for the Southern District of Indiana, Indianapolis Division, captioned, James and Lauri Ann Jackson v. v. Aziyo Biologics, Inc., et al., Case No. 1:21-cv-01823 (the “Indiana Federal</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Complaint”). Ten lawsuits were filed in the Superior Court of the State of Delaware, captioned respectively: (1) Richard Williams v. Aziyo, Biologics Inc., et al., C.A. No. N21C-06-166 EMD; (2) George and Jean Shante v. Aziyo, Biologics Inc., et al., C.A. No. N21C-06-256-DJB; (3) Marjorie Hitchens v. Aziyo, Biologics Inc., et al., C.A. No. N21C-06-214-DJB; (4) Larry and Joanne Fortner v. Aziyo, Biologics Inc., et al., C.A. No. N21C-06-215-DJB; (5) Nancy and John Smith v. Aziyo, Biologics Inc., et al., C.A. No. N21C-06-219-DJB; (6) Joan Trincia v. Aziyo, Biologics Inc., et al., C.A. No. N21C-06-220-DJB; (7) Bernadette Burgess v. Aziyo, Biologics Inc., et al., C.A. No. N21C-06-264-DJB; (8) Summer Fitzhugh v. Aziyo, Biologics Inc., et al., C.A. No. N21C-06-221-DJB; (9) Linda Shields v. Aziyo, Biologics Inc., et al., C.A. No. N21C-06-166-DJB; and (10) Sharon Riddick v. Aziyo, Biologics Inc., et al., C.A. No. N21C-07-005-EMD (collectively, the “Delaware State Complaints”). One lawsuit has been filed in the U.S. District Court for the Northern District of Florida and one lawsuit is pending in the U.S. District Court of Maryland. Those cases are captioned: Deborah Rice v. Aziyo Biologics, Inc., et al., Case No. 5:21-cv-00135-MW-MJF (“Florida Federal Complaint”) and Diana and James Hanson v. Aziyo Biologics, Inc., et al., Case No. 1:21-cv-01807-ADC (“Maryland Federal Complaint”) respectively. Lastly, one lawsuit has been filed in the state court of Maryland, captioned Tracey and Stan Gearhart v. Aziyo Biologics, Inc., et al., Case No. C-02-CV-21-000997. (“Maryland State Complaint.”)</w:t>
      </w:r>
    </w:p>
    <w:p>
      <w:pPr>
        <w:spacing w:after="0" w:line="184"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Plaintiffs in the Indiana State Complaints allege a cause of action under Indiana’s Product Liability Act, citing manufacturing defects, defective design and failure to properly warn and instruct, and several of the complaints allege loss of consortium. Plaintiffs in these actions assert that the defendants are strictly liable or have breached the duty of care owed to plaintiffs by failing to exercise reasonable care in designing, manufacturing, marketing and labeling FiberCel and are seeking various types of damages, including economic damages, non-economic damages and loss of consortium. Plaintiffs in the Indiana Federal Complaint have asserted causes of action for product liability, negligence, and breaches of implied and express warranties and allege as part of the negligence claim, that defendants breached their duty of care owed to plaintiffs. Plaintiffs in the Indiana Federal Complaint are seeking damages for loss of services, society and consortium. Each of the plaintiffs in the Delaware State Complaints allege negligence, breach of implied warranty, breach of express warranty, medical monitoring and punitive damages, and two also allege loss of consortium. Plaintiffs in the Delaware State Complaints are seeking economic, consequential, and punitive damages. Both the Florida and Maryland Federal Complaints assert claims of negligence, breach of implied warranty, breach of express warranty and claims for costs of medical monitoring. The Florida Federal Complaint also contains three strict liability claims for defective design, defective manufacture, and failure to warn. A claim for punitive damages is also pled. The Maryland State Complaint pleads eight counts against Aziyo; three strict liability claims alleging defective design, manufacturing and failure to warn; one count of negligence; breaches of express and implied warranties, and one claim of loss of consortium. The Maryland State Complaint also pleads punitive damages. We refer to all of the aforementioned litigation collectively as the “FiberCel Litigation.”</w:t>
      </w:r>
    </w:p>
    <w:p>
      <w:pPr>
        <w:spacing w:after="0" w:line="19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order to reasonably estimate a possible loss or range of possible loss for the FiberCel Litigation, the Company must assess a variety of factors, including, (i) what claims, if any, will survive dispositive motion practice, (ii) the extent of the claims, particularly when damages are not specified or are indeterminate, (iii) how the discovery process will affect the litigation, (iv) the settlement posture of the other parties to the litigation and (v) any other factors that may have a material effect on the litigation. At present, it is not possible for Aziyo to estimate a range of possible loss in the FiberCel Litigation; however, while unknown, the possible loss could have a material effect on the Company’s financial position and results of operations.</w:t>
      </w:r>
    </w:p>
    <w:p>
      <w:pPr>
        <w:spacing w:after="0" w:line="19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Should Aziyo be required to pay claims related to the FiberCel Litigation, the Company believes that certain settlements and judgments, as well as legal defense costs, may be covered in whole or in part under our insurance policies with two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 Amounts recovered under our insurance policies could be materially less than stated coverage limits and may not be adequate to cover damages, other relief and/or costs relating to claims. In addition, there is no guarantee that insurers will pay claims or that coverage will otherwise be available.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As of both June 30, 2021 and December 31, 2020, the Company was not a party to, or aware of, any material legal matters or claims except for the FiberCel Litigation.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Net Loss Per Share Attributable to Common Stockholders</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Net loss attributable to common stockholders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620"/>
        <w:spacing w:after="0" w:line="250" w:lineRule="auto"/>
        <w:rPr>
          <w:sz w:val="20"/>
          <w:szCs w:val="20"/>
          <w:color w:val="auto"/>
        </w:rPr>
      </w:pPr>
      <w:r>
        <w:rPr>
          <w:rFonts w:ascii="Arial" w:cs="Arial" w:eastAsia="Arial" w:hAnsi="Arial"/>
          <w:sz w:val="18"/>
          <w:szCs w:val="18"/>
          <w:color w:val="auto"/>
        </w:rPr>
        <w:t>Weighted average number of common shares, basic and diluted</w:t>
      </w:r>
    </w:p>
    <w:p>
      <w:pPr>
        <w:spacing w:after="0" w:line="1" w:lineRule="exact"/>
        <w:rPr>
          <w:sz w:val="20"/>
          <w:szCs w:val="20"/>
          <w:color w:val="auto"/>
        </w:rPr>
      </w:pPr>
    </w:p>
    <w:p>
      <w:pPr>
        <w:ind w:left="620" w:right="280"/>
        <w:spacing w:after="0" w:line="323" w:lineRule="auto"/>
        <w:rPr>
          <w:sz w:val="20"/>
          <w:szCs w:val="20"/>
          <w:color w:val="auto"/>
        </w:rPr>
      </w:pPr>
      <w:r>
        <w:rPr>
          <w:rFonts w:ascii="Arial" w:cs="Arial" w:eastAsia="Arial" w:hAnsi="Arial"/>
          <w:sz w:val="16"/>
          <w:szCs w:val="16"/>
          <w:color w:val="auto"/>
        </w:rPr>
        <w:t>Net loss per common share attributable to common stockholders, basic and diluted</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9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r>
      <w:tr>
        <w:trPr>
          <w:trHeight w:val="142"/>
        </w:trPr>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r>
      <w:tr>
        <w:trPr>
          <w:trHeight w:val="42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(2,385)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(5,178)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(9,738)</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615"/>
        </w:trPr>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10,228,296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648,277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10,227,240</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648,277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7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(0.23)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99)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02)</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-1010920</wp:posOffset>
            </wp:positionV>
            <wp:extent cx="505777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57775" cy="146050"/>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-719455</wp:posOffset>
            </wp:positionV>
            <wp:extent cx="50577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57775" cy="15430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-290830</wp:posOffset>
            </wp:positionV>
            <wp:extent cx="5057775"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57775" cy="27432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920" w:space="320"/>
            <w:col w:w="4779"/>
          </w:cols>
          <w:pgMar w:left="1440" w:top="517" w:right="1440" w:bottom="1440" w:gutter="0" w:footer="0" w:header="0"/>
          <w:type w:val="continuous"/>
        </w:sect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980" w:type="dxa"/>
            <w:vAlign w:val="bottom"/>
            <w:gridSpan w:val="4"/>
          </w:tcPr>
          <w:p>
            <w:pPr>
              <w:ind w:lef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Convertible Preferred Stock</w:t>
            </w: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40" w:type="dxa"/>
            <w:vAlign w:val="bottom"/>
            <w:gridSpan w:val="2"/>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3,224,674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1,303,456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40" w:type="dxa"/>
            <w:vAlign w:val="bottom"/>
          </w:tcPr>
          <w:p>
            <w:pPr>
              <w:jc w:val="right"/>
              <w:spacing w:after="0"/>
              <w:rPr>
                <w:sz w:val="20"/>
                <w:szCs w:val="20"/>
                <w:color w:val="auto"/>
              </w:rPr>
            </w:pPr>
            <w:r>
              <w:rPr>
                <w:rFonts w:ascii="Arial" w:cs="Arial" w:eastAsia="Arial" w:hAnsi="Arial"/>
                <w:sz w:val="18"/>
                <w:szCs w:val="18"/>
                <w:color w:val="auto"/>
              </w:rPr>
              <w:t>233,798</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Preferred stock warrants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1,537,254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3,568,454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Related Party Transactions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Prior to the IPO, the Company had a management services agreement with an affiliate of HighCape Partners through which strategic, operational and management consulting services are provided to the Company. During the three and six months ended June 30, 2020, the Company recorded expenses totaling $0.1 million. The management services agreement terminated upon completion of the IPO and all amounts due thereunder were paid as of December 31, 2020.</w:t>
      </w:r>
    </w:p>
    <w:p>
      <w:pPr>
        <w:spacing w:after="0" w:line="15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As part of the contribution of assets transacted from Tissue Banks International, now KeraLink International, to Aziyo upon formation of the Company, a provision existed which guaranteed a certain level of working capital, as defined, on the opening balance sheet of Aziyo. Such guarantee was largely finalized in 2016; however, an additional $0.4 million was received by the Company in connection with a settlement reached in 2018. Furthermore, as part of the 2018 settlement, it was agreed that when Keralink sells its Aziyo common shares for net proceeds greater than $550,000, Keralink is obligated to pay Aziyo $550,000 within three days of such cash being received. In May 2021, Keralink sold Aziyo common shares for proceeds in excess of $550,000, and as such, remitted $550,000 to Aziyo in full satisfaction of the 2018 settlement. Amounts received in connection with this settlement were recorded as other income in the accompanying condensed consolidated statements of operations for the three and six months ended June 30, 2021.</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operates as one segment, regenerative medicines. The segment is based on financial information that is utilized by the Company’s Chief Operating Decision Maker (“CODM”), who is the Company’s Chief Executive Officer, to assess performance and allocate resources.</w:t>
      </w:r>
    </w:p>
    <w:p>
      <w:pPr>
        <w:sectPr>
          <w:pgSz w:w="11900" w:h="16838" w:orient="portrait"/>
          <w:cols w:equalWidth="0" w:num="1">
            <w:col w:w="9019"/>
          </w:cols>
          <w:pgMar w:left="1440" w:top="517" w:right="1440" w:bottom="1440" w:gutter="0" w:footer="0" w:header="0"/>
          <w:type w:val="continuous"/>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For the three and six months ended June 30, 2021 and 2020, the Company’s net sales disaggregated by the major sources - Core Products and Non-Core Products (see Note 1) - were as follows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Sales by product</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100"/>
              <w:spacing w:after="0"/>
              <w:rPr>
                <w:sz w:val="20"/>
                <w:szCs w:val="20"/>
                <w:color w:val="auto"/>
              </w:rPr>
            </w:pPr>
            <w:r>
              <w:rPr>
                <w:rFonts w:ascii="Arial" w:cs="Arial" w:eastAsia="Arial" w:hAnsi="Arial"/>
                <w:sz w:val="18"/>
                <w:szCs w:val="18"/>
                <w:color w:val="auto"/>
              </w:rPr>
              <w:t>Core Products</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9,979</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7,375</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20,642</w:t>
            </w:r>
          </w:p>
        </w:tc>
        <w:tc>
          <w:tcPr>
            <w:tcW w:w="200" w:type="dxa"/>
            <w:vAlign w:val="bottom"/>
          </w:tcPr>
          <w:p>
            <w:pPr>
              <w:spacing w:after="0"/>
              <w:rPr>
                <w:sz w:val="18"/>
                <w:szCs w:val="18"/>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15,611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Non-Core Products</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2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900" w:type="dxa"/>
            <w:vAlign w:val="bottom"/>
          </w:tcPr>
          <w:p>
            <w:pPr>
              <w:ind w:left="100"/>
              <w:spacing w:after="0"/>
              <w:rPr>
                <w:sz w:val="20"/>
                <w:szCs w:val="20"/>
                <w:color w:val="auto"/>
              </w:rPr>
            </w:pPr>
            <w:r>
              <w:rPr>
                <w:rFonts w:ascii="Arial" w:cs="Arial" w:eastAsia="Arial" w:hAnsi="Arial"/>
                <w:sz w:val="18"/>
                <w:szCs w:val="18"/>
                <w:color w:val="auto"/>
              </w:rPr>
              <w:t>Total Net Sales</w:t>
            </w:r>
          </w:p>
        </w:tc>
        <w:tc>
          <w:tcPr>
            <w:tcW w:w="4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8,579</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18,442</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in conjunction with our unaudited condensed consolidated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our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and Part II, Item 1A. “Risk Factors” of this Quarterly Report and in the section entitled “Risk Factor Summary” and in Part I, Item IA. “Risk Factors” of our Annual Report.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are a commercial-stage regenerative medicine company focused on creating the next generation of differentiated products and improving outcomes in patients undergoing surgery, concentrating on patients receiving implantable medical devices. From our proprietary tissue processing platforms, we have developed a portfolio of advanced regenerative medical products that are designed to be very similar to natural biological material. Our proprietary products, which we refer to as our Core Products, are designed to address the implantable electronic device/cardiovascular, orthopedic/spinal repair and soft tissue reconstruction markets, which represented a combined $3 billion market opportunity in the United States in 2020. To expand our commercial reach, we have commercial relationships with major medical device companies, such as Boston Scientific and Medtronic, to promote and sell some of our Core Products. We believe our focus on our unique regenerative medicine platforms and our Core Products will ultimately maximize our probability of continued clinical and commercial success and will create a long-term competitive advantage for us.</w:t>
      </w:r>
    </w:p>
    <w:p>
      <w:pPr>
        <w:spacing w:after="0" w:line="1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estimate that, over the past two years, approximately two million patients per year in the United States are implanted with either medical devices, such as pacemakers, defibrillators, neuro-stimulators, spinal fusion and trauma fracture hardware or tissue expanders for breast reconstruction. This number is driven by advances in medical device technologies and an aging population with a growing incidence of comorbidities, including diabetes, obesity and cardiovascular and peripheral vascular diseases. These comorbidities can exacerbate various immune responses and other complications that can be triggered by a device implant.</w:t>
      </w:r>
    </w:p>
    <w:p>
      <w:pPr>
        <w:spacing w:after="0" w:line="19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Core Products are targeted to address unmet clinical needs with the goal of promoting healthy tissue formation and avoiding complications associated with medical device implants, such as scar-tissue formation, capsular contraction, erosion, migration, non-union of implants and implant rejection. We believe that we have developed the only biological envelope, which is covered by a number of patents that forms a natural, systemically vascularized pocket for holding implanted electronic devices. We have a proprietary processing technology for manufacturing bone regenerative products for use in orthopedic/spinal repair that preserves a cell’s ability to regenerate bone and decelerates cell apoptosis or programmed cell death. We have a patented cell removal technology that produces undamaged extracellular matrices for use in soft tissue reconstruction. In pre-clinical and clinical studies, our products have supported and, in some cases, accelerated tissue healing, and thereby improved patient outcomes.</w:t>
      </w:r>
    </w:p>
    <w:p>
      <w:pPr>
        <w:spacing w:after="0" w:line="16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Non-Core Products are those fulfilled through tissue processing contracts at our Richmond, California facility. These contracts serve to utilize as much as possible of the starting human biological material from which we produce our orthopedic/spinal repair and soft tissue reconstruction products, leverage our existing overhead and improve our cash flow. The resulting processed materials, including particulate bone, precision milled bone, cellular bone matrix, acellular dermis and other soft tissue products, are sold to medical/surgical companies as finished products and as a subcomponent of their products. Additionally, we process amniotic membrane as finished product for selected customers.</w:t>
      </w:r>
    </w:p>
    <w:p>
      <w:pPr>
        <w:spacing w:after="0" w:line="16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process all of our products at our two manufacturing facilities in Roswell, Georgia and Richmond, California, and stock inventory of raw materials, components and finished goods at those locations. We rely on a single or limited number of suppliers for certain raw materials and components. Except for the porcine tissue supplier of our raw materials for our CanGaroo and cardiovascular products, which is Cook Biotech, we generally have no long-term supply agreements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with our suppliers, as we obtain supplies on a purchase order basis. Specifically, we acquire donated human tissue directly through tissue procurement firms engaged by us. We primarily ship our Core Products from our facilities directly to hospital customers.</w:t>
      </w:r>
    </w:p>
    <w:p>
      <w:pPr>
        <w:spacing w:after="0" w:line="18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Since inception, we have financed our operations primarily through private placements of our convertible preferred stock, amounts borrowed under our credit facilities, sales of our products and registered sales of our common stock. We have devoted the majority of our resources to acquisitions and integration, manufacturing and administrative costs, research and development, clinical activity and investing in our commercial infrastructure through our direct sales force and our commercial partners in order to expand our presence and to promote awareness and adoption of our products. As of June 30, 2021, we had 175 employees, of which 34 were direct sales representatives.</w:t>
      </w:r>
    </w:p>
    <w:p>
      <w:pPr>
        <w:spacing w:after="0" w:line="178"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have incurred significant operating losses since our inception. We incurred a net loss of $21.8 million for the year ended December 31, 2020, and incurred a net loss of $7.5 million for the six months ended June 30, 2021. Our accumulated deficit as of June 30, 2021 was $87.7 million.</w:t>
      </w:r>
    </w:p>
    <w:p>
      <w:pPr>
        <w:spacing w:after="0" w:line="184"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We expect to continue to incur significant expenses and operating losses for the foreseeable future as we seek to grow our sales organization and expand our product development and clinical and research activities. In addition, we expect to continue to incur additional costs and expenses associated with operating as a public company.</w:t>
      </w:r>
    </w:p>
    <w:p>
      <w:pPr>
        <w:spacing w:after="0" w:line="16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ability to achieve profitability will depend on our ability to generate sales from existing or new products sufficient to exceed our ongoing operating expenses and capital requirements. Because of the numerous risks and uncertainties affecting product sales and our ongoing commercialization and product development efforts, we are unable to predict with any certainty whether we will be able to increase sales of our products or the timing or amount of ongoing expenditures we will be required to incur. Accordingly, even if we are able to increase sales of our products, we may not become profitable. As a result, we anticipate that we will need additional funding to support our continuing operations and pursue our growth strategy. Until such time as we are able to generate sufficient sales from our products, we expect to finance our operations through equity offerings, debt financings or other capital sources, which may include collaborations or license agreements with other companies or other strategic transactions. We may not be able to raise additional funds or enter into such other agreements or arrangements when needed on favorable terms or at all. If we fail to raise capital or enter into such agreements as and when needed, we will be unable to execute our growth strategy and may be forced to reduce or terminate some or all of our operations.</w:t>
      </w:r>
    </w:p>
    <w:p>
      <w:pPr>
        <w:spacing w:after="0" w:line="17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believe that the net proceeds from our initial public offering consummated on October 13, 2020 (“IPO”), together with our existing cash, our availability under our Revolving Credit Facility (as defined below) and cash generated from expected future sales, will be sufficient to fund our operating expenses and capital expenditure requirements through the third quarter of 2022. We have based this estimate on assumptions that may prove to be wrong, and we could exhaust our available capital resources sooner than we expect.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continue to closely monitor the impact of the pandemic related to COVID-19 and its variants such as Delta on our business. In March 2020, the World Health Organization declared COVID-19 a global pandemic and recommended various containment and mitigation measures worldwide. Since that time, the number of procedures performed using our products has decreased significantly,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our products have been postponed or cancelled, which has negatively impacted sales of our products. These measures and challenges will likely continue for the duration of the pandemic, which is uncertain, and will likely continue to reduce our net sales and negatively impact our business, financial condition and results of operations while the pandemic continues.</w:t>
      </w:r>
    </w:p>
    <w:p>
      <w:pPr>
        <w:spacing w:after="0" w:line="182"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In addition, numerous state and local jurisdictions, including those where our facilities are located, imposed, and others in the future may impose or re-impose, “shelter-in-place” orders, quarantines, executive orders and similar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government orders and restrictions for their residents to control the spread of COVID-19. Such orders or restrictions resulted in reduced operations at our manufacturing facilities, travel restrictions and cancellation of events, and have restricted the ability of our sales representatives and those of our commercial partners and independent sales agents to attend procedures in which our products are used, among other effects, thereby significantly and negatively impacting our operations.</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extent to which the COVID-19 pandemic impacts our future financial condition and results of operations will depend on future events and developments, which are highly uncertain and cannot be predicted, including the severity and spread of the disease and the effectiveness of actions to contain the disease or treat its impact, among others. As new information regarding COVID-19 continues to emerge, and, as variants of COVID-19 emerge, it is difficult to predict the degree to which this disease will ultimately have on our business.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recognize revenue on the sale of our Core Products and our Non-Core Products. With respect to our Core Products, CanGaroo and our cardiovascular products are sold to hospitals and other healthcare facilities primarily through our direct sales force, commercial partners or independent sales agents. Our orthopedic/spinal repair products are sold through commercial partners. Our soft tissue reconstruction product SimpliDerm is sold directly to hospitals and other healthcare facilities through direct sales and independent sales agents. Our contract manufacturing products are sold directly to corporate customers. Gross to net sales adjustments include sales returns and prompt payment and volume discounts.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recent years, we have incurred significant costs in the operation of our business. We expect our expenses to continue to increase for the foreseeable future as we grow our sales and marketing organization, expand our product development and clinical activities and increase our administrative infrastructure. As a result, we will need to generate significant net sales in order to achieve profitability. Below is a breakdown of our main expense categories and the related expenses incurred in each category: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Costs of Goods Sold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cost of goods sold relate to purchased raw materials and the processing and conversion costs of such raw materials consisting primarily of salaries and benefits, supplies, quality control testing and the manufacturing overhead incurred at our processing facilities in Richmond, California and Roswell, Georgia. Both facilities have additional capacity, which if utilized, would further leverage our fixed overhead. Cost of goods sold also includes the amortization of intangibles generated from the CorMatrix Acquisition in 2017.</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Sales and marketing expenses are primarily related to our direct sales force, consisting of salaries, commission compensation, fringe benefits, meals and other expenses. Auto and travel costs have also historically contributed to sales and marketing expenses, albeit to a lesser extent due to the COVID-19 pandemic. Outside of our direct sales force, we incur significant expenses relating to commissions to our CanGaroo commercial partners and independent sales agents. Additionally, this expense category includes distribution costs as well as market research, trade show attendance, advertising and public relations and customer service expenses. We expect sales and marketing expenses to grow commensurate with sales increases and the continued expansion of our CanGaroo direct sales force.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General and administrative (“G&amp;A”) expenses consist primarily of compensation, consulting, legal, human resources, information technology, accounting, insurance and general business expenses. G&amp;A expenses also include any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expenses we incur associated with the FiberCel Litigation described in Note 8 to the condensed consolidated financial statements included elsewhere in this Quarterly Report. We expect our G&amp;A expenses to increase as a result of operating as a public company, especially as a result of hiring additional personnel and incurring greater director and officer insurance premiums, greater investor and public relations costs, and additional costs associated with accounting, legal, tax-related and other services associated with maintaining compliance with exchange listing and SEC requirements. G&amp;A expenses will also increase to the extent any future costs associated with the FiberCel Litigation are incurred.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Research and development (“R&amp;D”) expenses consist primarily of salaries and fringe benefits, laboratory supplies, clinical trials and outside service costs. Our product development efforts primarily relate to new offerings in support of the orthopedic/spinal repair market and activities associated with the development of a CanGaroo Envelope with anti-infective properties. We also conduct clinical trials to validate the performance characteristics of our products and to capture patient data necessary to support our commercial efforts.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Certain reclassifications have been made to prior year amounts to conform with current year financial statement presentation. The reclassifications relate to certain executive compensation costs and technical operations expenses at the Company’s Richmond, California plant. As follows are the total amounts reclassified for the three and six months ended June 30, 2020 along with the line items in the condensed consolidated statement of operations that were impacted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54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Increase (Decrease) From Previously Reported Amounts</w:t>
            </w: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right"/>
              <w:ind w:right="120"/>
              <w:spacing w:after="0" w:line="119" w:lineRule="exact"/>
              <w:rPr>
                <w:sz w:val="20"/>
                <w:szCs w:val="20"/>
                <w:color w:val="auto"/>
              </w:rPr>
            </w:pPr>
            <w:r>
              <w:rPr>
                <w:rFonts w:ascii="Arial" w:cs="Arial" w:eastAsia="Arial" w:hAnsi="Arial"/>
                <w:sz w:val="13"/>
                <w:szCs w:val="13"/>
                <w:b w:val="1"/>
                <w:bCs w:val="1"/>
                <w:color w:val="auto"/>
              </w:rPr>
              <w:t>Three Months Ended</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right"/>
              <w:ind w:right="220"/>
              <w:spacing w:after="0" w:line="119" w:lineRule="exact"/>
              <w:rPr>
                <w:sz w:val="20"/>
                <w:szCs w:val="20"/>
                <w:color w:val="auto"/>
              </w:rPr>
            </w:pPr>
            <w:r>
              <w:rPr>
                <w:rFonts w:ascii="Arial" w:cs="Arial" w:eastAsia="Arial" w:hAnsi="Arial"/>
                <w:sz w:val="13"/>
                <w:szCs w:val="13"/>
                <w:b w:val="1"/>
                <w:bCs w:val="1"/>
                <w:color w:val="auto"/>
              </w:rPr>
              <w:t>Six Months Ended</w:t>
            </w:r>
          </w:p>
        </w:tc>
        <w:tc>
          <w:tcPr>
            <w:tcW w:w="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64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58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These reclassifications did not impact our consolidated earnings or assets for the three and six months ended June 30,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2"/>
              </w:rPr>
              <w:t>Three Months Ended 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vMerge w:val="restart"/>
          </w:tcPr>
          <w:p>
            <w:pPr>
              <w:jc w:val="right"/>
              <w:ind w:right="330"/>
              <w:spacing w:after="0"/>
              <w:rPr>
                <w:sz w:val="20"/>
                <w:szCs w:val="20"/>
                <w:color w:val="auto"/>
              </w:rPr>
            </w:pPr>
            <w:r>
              <w:rPr>
                <w:rFonts w:ascii="Arial" w:cs="Arial" w:eastAsia="Arial" w:hAnsi="Arial"/>
                <w:sz w:val="14"/>
                <w:szCs w:val="14"/>
                <w:b w:val="1"/>
                <w:bCs w:val="1"/>
                <w:color w:val="auto"/>
                <w:w w:val="95"/>
              </w:rPr>
              <w:t>Change 2020 / 2021</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272"/>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3"/>
          </w:tcPr>
          <w:p>
            <w:pPr>
              <w:jc w:val="center"/>
              <w:ind w:right="178"/>
              <w:spacing w:after="0"/>
              <w:rPr>
                <w:sz w:val="20"/>
                <w:szCs w:val="20"/>
                <w:color w:val="auto"/>
              </w:rPr>
            </w:pPr>
            <w:r>
              <w:rPr>
                <w:rFonts w:ascii="Arial" w:cs="Arial" w:eastAsia="Arial" w:hAnsi="Arial"/>
                <w:sz w:val="14"/>
                <w:szCs w:val="14"/>
                <w:b w:val="1"/>
                <w:bCs w:val="1"/>
                <w:color w:val="auto"/>
                <w:w w:val="87"/>
              </w:rPr>
              <w:t>Sales</w:t>
            </w:r>
          </w:p>
        </w:tc>
        <w:tc>
          <w:tcPr>
            <w:tcW w:w="860" w:type="dxa"/>
            <w:vAlign w:val="bottom"/>
            <w:gridSpan w:val="2"/>
            <w:vMerge w:val="continue"/>
          </w:tcPr>
          <w:p>
            <w:pPr>
              <w:spacing w:after="0"/>
              <w:rPr>
                <w:sz w:val="14"/>
                <w:szCs w:val="14"/>
                <w:color w:val="auto"/>
              </w:rPr>
            </w:pPr>
          </w:p>
        </w:tc>
        <w:tc>
          <w:tcPr>
            <w:tcW w:w="1020" w:type="dxa"/>
            <w:vAlign w:val="bottom"/>
            <w:gridSpan w:val="3"/>
          </w:tcPr>
          <w:p>
            <w:pPr>
              <w:jc w:val="right"/>
              <w:ind w:right="418"/>
              <w:spacing w:after="0"/>
              <w:rPr>
                <w:sz w:val="20"/>
                <w:szCs w:val="20"/>
                <w:color w:val="auto"/>
              </w:rPr>
            </w:pPr>
            <w:r>
              <w:rPr>
                <w:rFonts w:ascii="Arial" w:cs="Arial" w:eastAsia="Arial" w:hAnsi="Arial"/>
                <w:sz w:val="14"/>
                <w:szCs w:val="14"/>
                <w:b w:val="1"/>
                <w:bCs w:val="1"/>
                <w:color w:val="auto"/>
              </w:rPr>
              <w:t>Sales</w:t>
            </w: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   8,579</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6,546</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53.8 %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4,795</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55.9 %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1,751</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4,799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39.5 %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4,062</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47.3 %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737</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69.9 %</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1,408</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16.4 %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(4,595)</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(3,763)</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rPr>
              <w:t>(3,579)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18"/>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(3,579)</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44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Loss before provision of income taxes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sales grew $3.6 million, or 41.7%, to $12.2 million in the three months ended June 30, 2021 compared to $8.6 million in the three months ended June 30, 2020. The significant increase in net sales was due to growth in both the net sales of our Core Products and of our Non-Core Products, which grew $2.6 million and $1.0 million, respectively.</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information for our Core Products and Non-Core Products is summarized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2"/>
              </w:rPr>
              <w:t>Three Months Ended June 30,</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4"/>
            <w:vMerge w:val="restart"/>
          </w:tcPr>
          <w:p>
            <w:pPr>
              <w:jc w:val="right"/>
              <w:ind w:right="310"/>
              <w:spacing w:after="0"/>
              <w:rPr>
                <w:sz w:val="20"/>
                <w:szCs w:val="20"/>
                <w:color w:val="auto"/>
              </w:rPr>
            </w:pPr>
            <w:r>
              <w:rPr>
                <w:rFonts w:ascii="Arial" w:cs="Arial" w:eastAsia="Arial" w:hAnsi="Arial"/>
                <w:sz w:val="14"/>
                <w:szCs w:val="14"/>
                <w:b w:val="1"/>
                <w:bCs w:val="1"/>
                <w:color w:val="auto"/>
                <w:w w:val="97"/>
              </w:rPr>
              <w:t>Change 2020 / 2021</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w:t>
            </w:r>
          </w:p>
        </w:tc>
        <w:tc>
          <w:tcPr>
            <w:tcW w:w="340" w:type="dxa"/>
            <w:vAlign w:val="bottom"/>
            <w:gridSpan w:val="2"/>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2"/>
                <w:szCs w:val="12"/>
                <w:color w:val="auto"/>
              </w:rPr>
            </w:pPr>
          </w:p>
        </w:tc>
        <w:tc>
          <w:tcPr>
            <w:tcW w:w="6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960" w:type="dxa"/>
            <w:vAlign w:val="bottom"/>
            <w:gridSpan w:val="3"/>
          </w:tcPr>
          <w:p>
            <w:pPr>
              <w:jc w:val="right"/>
              <w:ind w:right="370"/>
              <w:spacing w:after="0" w:line="142" w:lineRule="exact"/>
              <w:rPr>
                <w:sz w:val="20"/>
                <w:szCs w:val="20"/>
                <w:color w:val="auto"/>
              </w:rPr>
            </w:pPr>
            <w:r>
              <w:rPr>
                <w:rFonts w:ascii="Arial" w:cs="Arial" w:eastAsia="Arial" w:hAnsi="Arial"/>
                <w:sz w:val="14"/>
                <w:szCs w:val="14"/>
                <w:b w:val="1"/>
                <w:bCs w:val="1"/>
                <w:color w:val="auto"/>
              </w:rPr>
              <w:t>Sales</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Amount</w:t>
            </w:r>
          </w:p>
        </w:tc>
        <w:tc>
          <w:tcPr>
            <w:tcW w:w="84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Sales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Core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9,979</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82.1 % $</w:t>
            </w:r>
          </w:p>
        </w:tc>
        <w:tc>
          <w:tcPr>
            <w:tcW w:w="660" w:type="dxa"/>
            <w:vAlign w:val="bottom"/>
          </w:tcPr>
          <w:p>
            <w:pPr>
              <w:jc w:val="right"/>
              <w:spacing w:after="0"/>
              <w:rPr>
                <w:sz w:val="20"/>
                <w:szCs w:val="20"/>
                <w:color w:val="auto"/>
              </w:rPr>
            </w:pPr>
            <w:r>
              <w:rPr>
                <w:rFonts w:ascii="Arial" w:cs="Arial" w:eastAsia="Arial" w:hAnsi="Arial"/>
                <w:sz w:val="18"/>
                <w:szCs w:val="18"/>
                <w:color w:val="auto"/>
              </w:rPr>
              <w:t>7,375</w:t>
            </w: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86.0 % $</w:t>
            </w:r>
          </w:p>
        </w:tc>
        <w:tc>
          <w:tcPr>
            <w:tcW w:w="640" w:type="dxa"/>
            <w:vAlign w:val="bottom"/>
          </w:tcPr>
          <w:p>
            <w:pPr>
              <w:jc w:val="right"/>
              <w:spacing w:after="0"/>
              <w:rPr>
                <w:sz w:val="20"/>
                <w:szCs w:val="20"/>
                <w:color w:val="auto"/>
              </w:rPr>
            </w:pPr>
            <w:r>
              <w:rPr>
                <w:rFonts w:ascii="Arial" w:cs="Arial" w:eastAsia="Arial" w:hAnsi="Arial"/>
                <w:sz w:val="18"/>
                <w:szCs w:val="18"/>
                <w:color w:val="auto"/>
              </w:rPr>
              <w:t>2,604</w:t>
            </w:r>
          </w:p>
        </w:tc>
        <w:tc>
          <w:tcPr>
            <w:tcW w:w="18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w w:val="96"/>
              </w:rPr>
              <w:t>35.3 %</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Non-Core Products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6"/>
              </w:rPr>
              <w:t>81.1 %</w:t>
            </w:r>
          </w:p>
        </w:tc>
        <w:tc>
          <w:tcPr>
            <w:tcW w:w="0" w:type="dxa"/>
            <w:vAlign w:val="bottom"/>
          </w:tcPr>
          <w:p>
            <w:pPr>
              <w:spacing w:after="0"/>
              <w:rPr>
                <w:sz w:val="1"/>
                <w:szCs w:val="1"/>
                <w:color w:val="auto"/>
              </w:rPr>
            </w:pPr>
          </w:p>
        </w:tc>
      </w:tr>
      <w:tr>
        <w:trPr>
          <w:trHeight w:val="210"/>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Net Sales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12,160</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8,579</w:t>
            </w: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3,581</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41.7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Net sales generated by our Core Products grew $2.6 million, or 35.3%, to $10.0 million in the three months ended June 30, 2021 compared to $7.4 million in the three months ended June 30, 2020. The Core Products net sales growth can be largely attributed to the volume growth in all of our Core Product categories due to increased market demand along with the lessened impact COVID-19 had on revenue in the three months ended June 30, 2021 versus such impact in the three months ended June 30, 2020. Due to the FiberCel Litigation described in Note 8 to the condensed consolidated financial statements included elsewhere in this Quarterly Report and the resulting suspension of Medtronic’s purchases of FiberCel, we estimate net sales of our Core Products for the three months ended June 30, 2021 were reduced by approximately $1.1 million and that our sales of Core Products in the coming quarters will likely decline from current levels.</w:t>
      </w:r>
    </w:p>
    <w:p>
      <w:pPr>
        <w:spacing w:after="0" w:line="16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sales generated by our Non-Core Products increased $1.0 million, or 81.1%, to $2.2 million in the three months ended June 30, 2021 compared to $1.2 million in the three months ended June 30, 2020. The Non-Core Products net sales increase was primarily due to revenues associated with new contracts signed in the latter half of 2020 along with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lessened impact COVID-19 had on revenue in the three months ended June 30, 2021 versus such impact in the three months June 30,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Cost of goods sold was $6.5 million and $5.0 million in the three months ended June 30, 2021 and 2020, respectively, and included, in each case, $0.8 million of intangible asset amortization expenses. Gross margin in the three months ended June 30, 2021 was 46.2%, an increase from 44.1% in the corresponding prior year period. Gross margin, excluding intangible asset amortization, in the three months ended June 30, 2021 was 53.1%, a decline from 54.0% in the corresponding prior year period. Gross margin, excluding intangible asset amortization, is a non-GAAP financial measure. See "Non-GAAP Financial Measures” for a discussion regarding our use of gross margin, excluding intangible asset amortization, including its limitations and a reconciliation to the most directly comparable GAAP financial measure. The decline in gross margin, excluding intangible asset amortization, was due mainly to the impact of the FiberCel Recall (as defined in Part II, Item 1A. “Risk Factors” of this Quarterly Report), which, along with product returns impacting gross margin, caused a write-down to inventory due to recent changes made in donor clearance criteria.</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Sales and marketing expenses increased $0.7 million, or 18.1%, to $4.8 million in the three months ended June 30, 2021 compared to $4.1 million in the three months ended June 30, 2020. As a percentage of sales, sales and marketing expenses fell to 39.5% in the three months ended June 30, 2021 from 47.3% in the three months ended June 30, 2020. Along with slightly lower marketing costs, the decrease as a percentage of sales was the result of the growth in our orthopedic/spinal repair revenues during the second quarter of 2021, as such revenues have limited associated selling costs.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G&amp;A expenses increased $1.5 million, or 69.9%, to $3.5 million in the three months ended June 30, 2021 compared to $2.1 million in the three months ended June 31, 2020. As a percentage of net sales, G&amp;A expenses increased to 29.0% in the three months ended June 30, 2021 from 24.2% in the three months ended June 30, 2020. The increase in expense was primarily due to costs of being a public company, most notably increases in directors and officers insurance, legal fees and stock-based compensation. The increase was also due to $0.1 million in expenses incurred in the three months ended June 30, 2021 associated with the FiberCel Litigation described in Note 8 to the condensed consolidated financial statements included elsewhere in this Quarterly Report.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R&amp;D expenses increased to $1.9 million in the three months ended June 30, 2021 compared to $1.4 million in the three months ended June 30, 2020. We continue to focus our R&amp;D efforts on the development of our pipeline products with the growth in R&amp;D expenses in the three months ended June 30, 2021 largely attributable to the work performed on the development of our CanGaroo anti-infective product, which achieved its next development milestone in the three months ended June 30, 2021 with the completion of manufacturing validation. With respect to the costs of the individual development projects, the majority of our costs are internal salaries and benefits as well as laboratory supplies. These costs represent shared resources amongst all projects.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Interest expense was approximately $1.4 million in both the three months ended June 30, 2021 and 2020. These expenses relate primarily to the debt agreements noted below and the Revenue Interest Obligation defined and described in Note 7 to the condensed consolidated financial statements included elsewhere in this Quarterly Report.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Other (Income) Expense, net was approximately $3.6 million of income in the three months ended June 30, 2021. Such other income relates to the forgiveness of our PPP Loan totaling approximately $3.0 million and the Company’s receipt of $550,000 in satisfaction of a 2018 settlement with Keralink. For further discussion on these items, see Notes 6 and 10 to the condensed consolidated financial statements shown elsewhere in this Quarterly Report.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4"/>
              </w:rPr>
              <w:t>Six Months Ended June 30,</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w w:val="94"/>
              </w:rPr>
              <w:t>Change 2020 / 2021</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right"/>
              <w:ind w:right="228"/>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51"/>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4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Sales</w:t>
            </w:r>
          </w:p>
        </w:tc>
        <w:tc>
          <w:tcPr>
            <w:tcW w:w="840" w:type="dxa"/>
            <w:vAlign w:val="bottom"/>
            <w:gridSpan w:val="2"/>
            <w:vMerge w:val="continue"/>
          </w:tcPr>
          <w:p>
            <w:pPr>
              <w:spacing w:after="0"/>
              <w:rPr>
                <w:sz w:val="14"/>
                <w:szCs w:val="14"/>
                <w:color w:val="auto"/>
              </w:rPr>
            </w:pPr>
          </w:p>
        </w:tc>
        <w:tc>
          <w:tcPr>
            <w:tcW w:w="98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Sales</w:t>
            </w: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25,044</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13,101</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52.3 %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9,443</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51.2 %</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3,658</w:t>
            </w:r>
          </w:p>
        </w:tc>
        <w:tc>
          <w:tcPr>
            <w:tcW w:w="2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38.7 %</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9,502</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37.9 %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8,544</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46.3 %</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52.3 %</w:t>
            </w:r>
          </w:p>
        </w:tc>
        <w:tc>
          <w:tcPr>
            <w:tcW w:w="0" w:type="dxa"/>
            <w:vAlign w:val="bottom"/>
          </w:tcPr>
          <w:p>
            <w:pPr>
              <w:spacing w:after="0"/>
              <w:rPr>
                <w:sz w:val="1"/>
                <w:szCs w:val="1"/>
                <w:color w:val="auto"/>
              </w:rPr>
            </w:pPr>
          </w:p>
        </w:tc>
      </w:tr>
      <w:tr>
        <w:trPr>
          <w:trHeight w:val="216"/>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3,601</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2,717</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14.7 %</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884</w:t>
            </w:r>
          </w:p>
        </w:tc>
        <w:tc>
          <w:tcPr>
            <w:tcW w:w="2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80" w:type="dxa"/>
            <w:vAlign w:val="bottom"/>
            <w:gridSpan w:val="2"/>
          </w:tcPr>
          <w:p>
            <w:pPr>
              <w:ind w:left="1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(8,294)</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(6,945)</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1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(3,579)</w:t>
            </w:r>
          </w:p>
        </w:tc>
        <w:tc>
          <w:tcPr>
            <w:tcW w:w="1040" w:type="dxa"/>
            <w:vAlign w:val="bottom"/>
            <w:gridSpan w:val="2"/>
          </w:tcPr>
          <w:p>
            <w:pPr>
              <w:jc w:val="right"/>
              <w:ind w:right="3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38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Loss before provision of income taxes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18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w:t>
            </w:r>
          </w:p>
        </w:tc>
        <w:tc>
          <w:tcPr>
            <w:tcW w:w="20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210.0 %</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left="60" w:right="59" w:firstLine="693"/>
        <w:spacing w:after="0" w:line="311" w:lineRule="auto"/>
        <w:rPr>
          <w:sz w:val="20"/>
          <w:szCs w:val="20"/>
          <w:color w:val="auto"/>
        </w:rPr>
      </w:pPr>
      <w:r>
        <w:rPr>
          <w:rFonts w:ascii="Arial" w:cs="Arial" w:eastAsia="Arial" w:hAnsi="Arial"/>
          <w:sz w:val="16"/>
          <w:szCs w:val="16"/>
          <w:color w:val="auto"/>
        </w:rPr>
        <w:t>Net sales grew $6.6 million, or 35.8%, to $25.0 million in the six months ended June 30, 2021 compared to $18.4 million in the six months ended June 30, 2020. The significant increase in net sales was due to growth in both the net sales of our Core Products and of our Non-Core Products, which grew $5.0 million and $1.6 million, respectively.</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information for our Core Products and Non-Core Products is summarized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4"/>
              </w:rPr>
              <w:t>Six Months Ended June 30,</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vMerge w:val="restart"/>
          </w:tcPr>
          <w:p>
            <w:pPr>
              <w:jc w:val="right"/>
              <w:ind w:right="135"/>
              <w:spacing w:after="0"/>
              <w:rPr>
                <w:sz w:val="20"/>
                <w:szCs w:val="20"/>
                <w:color w:val="auto"/>
              </w:rPr>
            </w:pPr>
            <w:r>
              <w:rPr>
                <w:rFonts w:ascii="Arial" w:cs="Arial" w:eastAsia="Arial" w:hAnsi="Arial"/>
                <w:sz w:val="14"/>
                <w:szCs w:val="14"/>
                <w:b w:val="1"/>
                <w:bCs w:val="1"/>
                <w:color w:val="auto"/>
                <w:w w:val="94"/>
              </w:rPr>
              <w:t>Change 2020 / 2021</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2"/>
                <w:szCs w:val="12"/>
                <w:color w:val="auto"/>
              </w:rPr>
            </w:pPr>
          </w:p>
        </w:tc>
        <w:tc>
          <w:tcPr>
            <w:tcW w:w="6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64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Amount</w:t>
            </w:r>
          </w:p>
        </w:tc>
        <w:tc>
          <w:tcPr>
            <w:tcW w:w="64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6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Core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20,642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82.4</w:t>
            </w:r>
          </w:p>
        </w:tc>
        <w:tc>
          <w:tcPr>
            <w:tcW w:w="300" w:type="dxa"/>
            <w:vAlign w:val="bottom"/>
            <w:gridSpan w:val="2"/>
          </w:tcPr>
          <w:p>
            <w:pPr>
              <w:spacing w:after="0"/>
              <w:rPr>
                <w:sz w:val="20"/>
                <w:szCs w:val="20"/>
                <w:color w:val="auto"/>
              </w:rPr>
            </w:pPr>
            <w:r>
              <w:rPr>
                <w:rFonts w:ascii="Arial" w:cs="Arial" w:eastAsia="Arial" w:hAnsi="Arial"/>
                <w:sz w:val="18"/>
                <w:szCs w:val="18"/>
                <w:color w:val="auto"/>
                <w:w w:val="90"/>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15,611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84.6</w:t>
            </w:r>
          </w:p>
        </w:tc>
        <w:tc>
          <w:tcPr>
            <w:tcW w:w="340" w:type="dxa"/>
            <w:vAlign w:val="bottom"/>
            <w:gridSpan w:val="2"/>
          </w:tcPr>
          <w:p>
            <w:pPr>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5,031</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Non-Core Products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Net Sales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25,044</w:t>
            </w: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18,442</w:t>
            </w: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6,602</w:t>
            </w: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87.7</w:t>
            </w:r>
          </w:p>
        </w:tc>
        <w:tc>
          <w:tcPr>
            <w:tcW w:w="38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Net sales generated by our Core Products grew $5.0 million, or 32.2%, to $20.6 million in the six months ended June 30, 2021 compared to $15.6 million in the six months ended June 30, 2020. The Core Products net sales growth can be largely attributed to the volume growth in all of our Core Product categories due to increased market demand along with the lessened revenue impact of COVID-19 in the six months ended June 30, 2021 versus such impact in the six months ended June 30. 2020. Due to the FiberCel Litigation described in Note 8 to the condensed consolidated financial statements included elsewhere in this Quarterly Report and the resulting suspension of Medtronic’s purchases of FiberCel, we estimate net sales of our Core Products for the six months ended June 30, 2021 were reduced by approximately $1.1 million and that our sales of Core Products in the coming quarters will likely decline from current levels.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Net sales generated by our Non-Core Products increased $1.6 million, or 55.5%, to $4.4 million in the six months ended June 30, 2021 compared to $2.8 million in the six months ended June 30, 2020. The Non-Core Products net sales increase was primarily due to revenues associated with new contracts signed in the latter half of 2020 along with the lessened revenue impact of COVID-19 in the six months ended June 30, 2021 versus such impact in the six months ended June 30,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Cost of goods sold was $13.1 million and $9.4 million in the six months ended June 30, 2021 and 2020, respectively, and included, in each case, $1.7 million of intangible asset amortization expenses. Gross margin in the six months ended June 30, 2021 was 47.7%, a decrease from 48.8% in the corresponding prior year period. Gross margin, excluding intangible asset amortization, in the six months ended June 30, 2021 was 54.5%, a decline from 58.0% in the corresponding prior year period. Gross margin, excluding intangible asset amortization, is a non-GAAP financial measure. See "Non-GAAP Financial Measures” for a discussion regarding our use of gross margin, excluding intangible asset amortization, including its limitations and a reconciliation to the most directly comparable GAAP financial measure. The decline in gross margin, excluding intangible asset amortization, was due mainly to the impact of the FiberCel Recall (as defined in Part II, Item 1A. “Risk Factors” of this Quarterly Report), which, along with product returns impacting gross margin, also caused a write-down to inventory due to recent changes made in donor clearance criteria. Additionally, product mix (higher Non-Core revenues in 2021 with lower gross margins) contributed to the gross margin decline.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Sales and marketing expenses increased $1.0 million, or 11.2%, to $9.5 million in the six months ended June 30, 2021 compared to $8.5 million in the six months ended June 30, 2020. As a percentage of sales, sales and marketing expenses fell to 37.9% in the six months ended June 30, 2021 from 46.3% in the six months ended June 30, 2020. Along with slightly lower marketing costs, the decrease as a percentage of sales is the result of the growth in our orthopedic/spinal repair revenues during the first half of 2021, as such revenues have limited associated selling costs.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G&amp;A expenses increased $2.5 million, or 52.3%, to $7.1 million in the six months ended June 30, 2021 compared to $4.7 million in the six months ended June 31, 2020. As a percentage of net sales, G&amp;A expenses increased to 28.5% in the six months ended June 30, 2021 from 25.4% in the six months ended June 30, 2020. The dollar increase was primarily due to costs of being a public company, most notably increases in directors and officers insurance, legal fees and stock-based compensation. The increase was also due to $0.1 million in expenses incurred in the six months ended June 30, 2021 associated with the FiberCel Litigation described in Note 8 to the condensed consolidated financial statements included elsewhere in this Quarterly Report.</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R&amp;D expenses increased to $3.6 million in the six months ended June 30, 2021 compared to $2.7 million in the six months ended June 30, 2020. We continue to focus our R&amp;D efforts on the development of our pipeline products with the growth in R&amp;D expenses in the six months ended June 30, 2021 largely attributable to the work performed on the development of our CanGaroo anti-infective product which achieved its next development milestone in the six months ended June 30, 2021 with the completion of manufacturing validation. With respect to the costs of the individual development projects, the majority of our costs are internal salaries and benefits as well as laboratory supplies. These costs represent shared resources amongst all projects.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Interest expense was approximately $2.7 million and $2.8 million in the six months ended June 30, 2021 and 2020, respectively. These expenses relate primarily to the debt agreements noted below and the Revenue Interest</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Obligation defined and described in Note 7 to the condensed consolidated financial statements included elsewhere in this Quarterly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Other (Income) Expense, net was approximately $3.6 million of income in the six months ended June 30, 2021. Such other income relates to the forgiveness of our PPP Loan totaling approximately $3.0 million and the Company’s receipt of $550,000 in satisfaction of a 2018 settlement with Keralink. For further discussion on these items, see Notes 6 and 10 to the condensed consolidated financial statements included elsewhere in this Quarterly Report.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This Quarterly Report presents our gross margin, excluding intangible asset amortization, for the three and six months ended June 30, 2021 and 2020.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in assessing the health of our business and our operating performance, and we believe investors’ understanding of our operating performance is similarly enhanced by our presentation of this metric. In addition, other companies, including companies in our industry, may use other measures to evaluate their performance, which could reduce the usefulness of this non-GAAP financial measure as a tool for comparison.</w:t>
      </w:r>
    </w:p>
    <w:p>
      <w:pPr>
        <w:spacing w:after="0" w:line="18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presents a reconciliation of our gross margin, excluding intangible asset amortization, for the three and six months ended June 30, 2021 and 2020 to the most directly comparable GAAP financial measure, which is our GAAP gross margin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12,160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13,101</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9,443</w:t>
            </w: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Intangible asset amortization expense</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excluding intangible asset amortization</w:t>
            </w: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10,698</w:t>
            </w:r>
          </w:p>
        </w:tc>
        <w:tc>
          <w:tcPr>
            <w:tcW w:w="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6"/>
        </w:trPr>
        <w:tc>
          <w:tcPr>
            <w:tcW w:w="41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46.2</w:t>
            </w:r>
          </w:p>
        </w:tc>
        <w:tc>
          <w:tcPr>
            <w:tcW w:w="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44.1</w:t>
            </w:r>
          </w:p>
        </w:tc>
        <w:tc>
          <w:tcPr>
            <w:tcW w:w="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47.7</w:t>
            </w:r>
          </w:p>
        </w:tc>
        <w:tc>
          <w:tcPr>
            <w:tcW w:w="1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48.8</w:t>
            </w: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7"/>
              </w:rPr>
              <w:t>Gross margin, excluding intangible asset amortization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Historically, we have experienced seasonality, with lower sales in our first and second quarter and higher sales in our fourth quarter, and we expect this trend to continue.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As of June 30, 2021, we had cash and restricted cash of approximately $28.4 million and availability under our Revolving Credit Facility of $5.1 million. We have historically financed our operations primarily through private placements of our convertible preferred stock, amounts borrowed under our credit facilities and sales of our products and, more recently, with proceeds from our IPO. Our historical cash outflows have primarily been associated with acquisition and integration, manufacturing costs, general and marketing,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June 30, 2021, our accumulated deficit was $87.7 million.</w:t>
      </w:r>
    </w:p>
    <w:p>
      <w:pPr>
        <w:spacing w:after="0" w:line="16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On October 13, 2020, in connection with our IPO, we issued and sold 2,941,176 shares of common stock, consisting of 2,205,882 shares of Class A common stock and 735,294 shares of Class B common stock, at a price to the public of $17.00 per share, resulting in net proceeds to us of approximately $43.0 million, after deducting the underwriting discount of approximately $3.5 million and offering expenses of approximately $3.5 million.</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expect our losses to continue for the foreseeable future and these losses will continue to have an adverse effect on our financial position.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 As discussed below under “— Funding Requirements,” we may need additional funding to support our continuing operations and pursue our growth strategy.</w:t>
      </w:r>
    </w:p>
    <w:p>
      <w:pPr>
        <w:spacing w:after="0" w:line="17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believe that the net proceeds from our IPO, together with our existing cash, availability under our Revolving Credit Facility and cash generated from expected future commercial sales will be sufficient to fund our operating expenses and capital expenditure requirements through the third quarter of 2022. We have based this estimate on assumptions that may prove to be wrong, and we could exhaust our available capital resources sooner than we expect.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for the Six Months Ended June 30, 2021 and 2020</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320" w:type="dxa"/>
            <w:vAlign w:val="bottom"/>
            <w:gridSpan w:val="7"/>
          </w:tcPr>
          <w:p>
            <w:pPr>
              <w:ind w:left="152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4"/>
          </w:tcPr>
          <w:p>
            <w:pPr>
              <w:jc w:val="right"/>
              <w:ind w:right="334"/>
              <w:spacing w:after="0" w:line="129"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(5,961)</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 activities</w:t>
            </w:r>
          </w:p>
        </w:tc>
        <w:tc>
          <w:tcPr>
            <w:tcW w:w="1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w:t>
            </w:r>
          </w:p>
        </w:tc>
        <w:tc>
          <w:tcPr>
            <w:tcW w:w="8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w:t>
            </w: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(11,164)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operating activities for the six months ended June 30, 2021 was $6.0 million compared to $7.0 million for the six months ended June 30, 2020. The year-over-year change was primarily due to a lower net loss (after adjustment for non-cash charges and gains) and improved working capital performance, particularly as it relates to our management of inventory levels.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cash used in investing activities for the six months ended June 30, 2021 was $0.2 million and approximately $0.1 million for the six months ended June 30, 2020. In both periods, the use of cash related to the purchase of property and equipment, the majority of which are used in the production activities of our Richmond, California facility.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225"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Net cash used in financing activities for the six months ended June 30, 2021 totaled $5.0 million compared to $5.6 million of cash provided by financing activities for the six months ended June 30, 2020. The year-over-year net increase of approximately $10.6 million was primarily due to the capital raises in the 2020 period totaling approximately $7.1 million necessary to fund our operations prior to the IPO in contrast to only the net repayments of $3.6 million on our Revolving Credit Facility during the 2021 (post-IPO)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July 15, 2019, Aziyo and Aziyo Med, LLC, which we refer to collectively as the Borrowers, entered into an amended and restated term loan credit agreement (the “Term Loan Credit Agreement”), with Midcap Financial Trust, as agent and lender, and the other lenders party thereto, which provided for the conversion of our existing term loans into borrowing under the Term Loan Credit Agreement (consisting of a $8.5 million tranche (Term Loan Tranche 1), a $5.0 million tranche (Term Loan Tranche 2) and a $3.0 million tranche (Term Loan Tranche 3)), and established a new $3.5 million tranche (Term Loan Tranche 4) and a new $5.0 million tranche (Term Loan Tranche 5). Commitments in respect of Term Loan Tranche 5 terminated without being borrowed on June 30, 2020. We refer to Term Loan Tranche 1, Term Loan Tranche 2, Term Loan Tranche 3 and Term Loan Tranche 4 collectively as the Term Loan Facility.</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July 15, 2019, the Borrowers also entered into an amended and restated revolving credit agreement (the “Revolving Credit Agreement”), with Midcap Funding IV Trust, as agent and lender, and the other lenders party thereto, which provided for an $8.0 million asset-based revolving credit facility (the “Revolving Credit Facility”).</w:t>
      </w:r>
    </w:p>
    <w:p>
      <w:pPr>
        <w:spacing w:after="0" w:line="16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As of June 30, 2021, we had $19.8 million of indebtedness outstanding under our Term Loan Facility (net of $0.2 million of unamortized discount and deferred financing costs), and $2.9 million outstanding under our Revolving Credit Facility (with $5.1 million of additional borrowings available thereunder).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Rates and Fees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Borrowings under the Term Loan Facility accrue interest at a rate per year equal to the LIBOR Rate (as defined below) plus a margin of 7.25%. Borrowings under the Revolving Credit Facility bear interest at the per annum rate equal to the LIBOR Rate plus a margin of 4.95%. The LIBOR Rate is defined as the greater of 2.25% and the applicable London Interbank Offered Rate for U.S. dollar deposits divided by 1.00 minus the maximum effective reserve percentage for Eurocurrency funding.</w:t>
      </w:r>
    </w:p>
    <w:p>
      <w:pPr>
        <w:spacing w:after="0" w:line="18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Under the terms of the Revolving Credit Facility, we can borrow up to an amount (the “Borrowing Base”), equal to (1) 85.0% of the aggregate net amount at such time of the Eligible Accounts (as defined in the Revolving Credit Agreement), plus (2) 50% of the value of the Eligible Inventory (as defined in the Revolving Credit Agreement), valued at the lower of first-in-first-out cost or market cost, and after factoring in all rebates, discounts and other incentives or rewards associated with the purchase of the applicable Eligible Inventory (provided that the Borrowing Base will be automatically adjusted down, if necessary, such that the aggregate availability from Eligible Inventory shall never exceed the lesser of (x) an amount equal to 40.0% of the Borrowing Base and (y) $2,000,000). The amount available for borrowing under the Revolving Credit Facility may also be reduced by certain reserve amounts that may be established by the administrative agent from time to time</w:t>
      </w:r>
      <w:r>
        <w:rPr>
          <w:rFonts w:ascii="Arial" w:cs="Arial" w:eastAsia="Arial" w:hAnsi="Arial"/>
          <w:sz w:val="17"/>
          <w:szCs w:val="17"/>
          <w:i w:val="1"/>
          <w:iCs w:val="1"/>
          <w:color w:val="auto"/>
        </w:rPr>
        <w:t>.</w:t>
      </w:r>
    </w:p>
    <w:p>
      <w:pPr>
        <w:spacing w:after="0" w:line="18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Revolving Credit Facility, we are required to pay an unused line fee to the lenders under the Revolving Credit Facility in respect of the unutilized commitments thereunder equal to 0.50% multiplied by the lesser of (1) the unutilized commitments and (2) $8,000,000 minus 40% of the Borrowing Base.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Mandatory Prepayments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Term Loan Credit Agreement requires the Borrowers to prepay amounts outstanding under the Term Loan Facility,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is calculated. In addition, the Borrowers are required to prepay all outstanding obligations under the Term Loan Facility upon the termination of all commitments under the Revolving Credit Facility and the repayment of the outstanding borrowings thereunder. No such mandatory prepayments were required during the six months ended June 30, 2021 and 2020.</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Revolving Credit Agreement requires the Borrowers to prepay amounts outstanding under the Revolving Credit Facility (or provide cash collateral up to the amount of any outstanding letter of credit obligations) to the extent outstanding borrowings under the Revolving Credit Facility exceed the lesser of (1) $8,000,000 and (2) the Borrowing Base.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Optional Prepayment</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Borrowers may prepay the Term Loan Facility in whole but not in part at any time with at least 10 business days’ prior written notice, provided, however, that such prepayment shall be accompanied by a portion of the Exit Fee (as defined below) equal to the amount prepaid divided by the then-outstanding principal amount of borrowings outstanding under the Term Loan Facility, and a prepayment fee equal to the amount prepaid multiplied by, in the case of Term Loan Tranche 1, Term Loan Tranche 2 or Term Loan Tranche 3, 3.0% until July 15, 2021 and 2.0% thereafter, and, in the case of Term Loan Tranche 4, 4.0% until November 21, 2020, 3.0% until November 21, 2021 and 2.0% thereafter. The “Exit Fee” is defined as an amount equal to 6.50% multiplied by the aggregate principal amount of all borrowings advanced to the Borrowers under the Term Loan Facility.</w:t>
      </w:r>
    </w:p>
    <w:p>
      <w:pPr>
        <w:spacing w:after="0" w:line="178"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Borrowers may prepay the Revolving Credit Facility in whole or in part at any time, provided, however, that any such partial prepayment shall be in an amount equal to $100,000 or a higher integral multiple of $25,000.</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Amortization and Final Maturity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Borrowers are required to make interest-only payments prior to the principal amortization start date. The Term Loan Facility provided that if certain conditions were satisfied prior to December 1, 2020 (including our completion of a qualified initial public offering and no continuing default or event of default), the principal amortization start date may, upon our request, be extended to August 1, 2021 (from the previous principal amortization start date of February 1, 2021). Based on the completion of our IPO, in January 2021, we exercised this interest-only period extension right and as such, the principal payments in respect of borrowings under the Term Loan Facility commenced on August 1, 2021. Such principal payments shall be in an amount equal to the total principal amount of borrowings under the Term Loan Facility divided by 36, for a 36-month straight-line amortization of equal monthly principal payments. The remaining unpaid balance on the Term Loan Facility, together with all accrued and unpaid interest thereon and any remaining unpaid amount of the Exit Fee, is due and payable on July 15, 2024.</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Outstanding borrowings under the Revolving Credit Facility do not amortize and are due and payable on July 15,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2024.</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Security</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All obligations under the Term Loan Facility and the Revolving Credit Facility are, and any future guarantees of those obligations will be, secured by, among other things, and in each case subject to certain exceptions, a first priority lien on and security interest in, upon, and to all of each Borrower’s assets, including all goods, equipment, inventory, contract rights or rights to payment of money, leases, license agreements, franchise agreements, general intangibles, commercial tort claims, documents, instruments (including any promissory notes), chattel paper (whether tangible or electronic), cash, deposit accounts, securities accounts, fixtures, letter of credit rights (whether or not the letter of credit is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evidenced by a writing), securities, and all other investment property, supporting obligations, and financial assets, whether now owned or hereafter acquired, wherever located.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Covenants and Other Matters</w:t>
      </w:r>
    </w:p>
    <w:p>
      <w:pPr>
        <w:spacing w:after="0" w:line="22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Term Loan Credit Agreement and the Revolving Credit Agreement each contain a number of covenants that, among other things and subject to certain exceptions, restrict the ability of the Borrowers to:</w:t>
      </w:r>
    </w:p>
    <w:p>
      <w:pPr>
        <w:spacing w:after="0" w:line="170"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agreements restricting their subsidiaries’ ability to pay dividends;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In addition, the Term Loan Credit Agreement and the Revolving Credit Agreement contain a financial covenant, which is tested on a monthly basis, and requires us to achieve a specified Minimum Net Product Revenue (as defined in the applicable credit agreement) for the preceding 12-month period.</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Term Loan Credit Agreement and the Revolving Credit Agreement each contains events of default, including, most significantly, a failure to timely pay interest or principal, insolvency, or an action by the FDA or such other material adverse event impacting the operations of Aziyo.</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Term Loan Credit Agreement and the Revolving Credit Agreement also contain certain customary representations and warranties and affirmative covenants, and certain reporting obligations. In addition, the lenders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In May 2020, we entered into a promissory note with Silicon Valley Bank, or SVB, under the Paycheck Protection Program of the CARES Act pursuant to which SVB agreed to make a loan to us in the amount of approximately $3.0 million. The PPP Loan bears interest at a rate of 1.0% per annum with monthly principal and interest payments beginning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March 2021 and ending on the maturity date of May 7, 2022; however such repayment commencement was deferred by the U.S. Small Business Administration while they evaluated the Company’s forgiveness application. In June 2021, Aziyo was notified by the U.S. Small Business Administration that the entire balance of the Company’s PPP Loan and all related accrued interest was forgiven. Such forgiveness resulted in a gain to the Company of approximately $3.0 million which has been recorded as other income in the accompanying condensed consolidated statements of operations for the three and six months ended June 30, 2021.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Bridge Notes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April 2020, we entered into a bridge note purchase agreement pursuant to which we issued approximately $2.0 million in aggregate principal amount of convertible promissory notes (the “2020 Bridge Notes”), to HighCape Partners QP, HighCape Partners and Deerfield. The 2020 Bridge Notes had a maturity date of April 1, 2025 and accrued interest at a rate of 5.0% per year. The aggregate principal amount of, and accrued interest on, the 2020 Bridge Notes automatically converted into an aggregate of 2,039,427 shares of our Series A convertible preferred stock upon the closing of our Series A convertible preferred stock financing in September 2020.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grow our sales organization and expand our product development and clinical and research activities. In addition, we expect to incur additional costs and expenses associated with operating as a public company.</w:t>
      </w:r>
    </w:p>
    <w:p>
      <w:pPr>
        <w:spacing w:after="0" w:line="18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Based on our current and planned business operations, we believe that the net proceeds from the IPO, together with our existing cash, our availability under our Revolving Credit Facility, and cash generated from expected future sales will be sufficient to fund our operating expenses and capital expenditure requirements through the third quarter of 2022. We have based this estimate on assumptions that may prove to be wrong, and we could exhaust our available capital resources sooner than we expect. If our available cash balances and cash flow from operations, if any, are insufficient to satisfy our liquidity requirements, we may seek to raise additional capital through equity offerings, debt financings, collaborations or licensing arrangements. We may also consider raising additional capital in the future to expand our business, pursue strategic investments or take advantage of financing opportunities. Our present and future funding requirements will depend on many factors, including, among other things:</w:t>
      </w:r>
    </w:p>
    <w:p>
      <w:pPr>
        <w:spacing w:after="0" w:line="181"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studies and clinical trials;</w:t>
      </w:r>
    </w:p>
    <w:p>
      <w:pPr>
        <w:spacing w:after="0" w:line="225"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and timing of commercializing new products or technologies;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maintaining, defending and enforcing our patent or other intellectual property rights;</w:t>
      </w:r>
    </w:p>
    <w:p>
      <w:pPr>
        <w:spacing w:after="0" w:line="170"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70" w:lineRule="exact"/>
        <w:rPr>
          <w:rFonts w:ascii="Arial" w:cs="Arial" w:eastAsia="Arial" w:hAnsi="Arial"/>
          <w:sz w:val="18"/>
          <w:szCs w:val="18"/>
          <w:color w:val="auto"/>
        </w:rPr>
      </w:pPr>
    </w:p>
    <w:p>
      <w:pPr>
        <w:ind w:left="720" w:right="1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defending against or the damages payable (to the extent above the applicable insurance coverage), for example, in connection with claims involving the recall of FiberCel;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225"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225" w:lineRule="exact"/>
        <w:rPr>
          <w:rFonts w:ascii="Arial" w:cs="Arial" w:eastAsia="Arial" w:hAnsi="Arial"/>
          <w:sz w:val="18"/>
          <w:szCs w:val="18"/>
          <w:color w:val="auto"/>
        </w:rPr>
      </w:pPr>
    </w:p>
    <w:p>
      <w:pPr>
        <w:ind w:left="720" w:right="9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on any of the above of the current COVID-19 pandemic, including variants of the disease, or any other pandemic, epidemic or outbreak of infectious disease.</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our Annual Report, Part I, Item 1A. “Risk Factors — Risks Related to our Business — Our future capital needs are uncertain and we may need to raise funds in the future, and such funds may not be available on acceptable terms or at all.”</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June 30, 2021, we did not have any off-balance sheet arrangements, as defined under SEC Regulation S-K Item 303(a)(4)(ii).</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Not applicable as permitted based on our classification as a “smaller reporting company” as defined in Rule 12b-2 of the Exchange Act.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Refer to Note 2, “Summary of Significant Accounting Policies,” to our condensed consolidated financial statements included elsewhere in this Quarterly Report for information regarding our critical accounting estimates and policies.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Refer to Note 3, “Recently Issued Accounting Standards,” to our condensed consolidated financial statements included elsewhere in this Quarterly Report for information regarding recently issued accounting pronouncements.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including risks relating to changes in interest rates, foreign currency and inflation. The following discussion provides additional information regarding these risks.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primary exposure to market risk relates to changes in interest rates. Borrowings under our Term Loan Facility and Revolving Credit Facility bear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on our variable rate indebtedness outstanding at June 30, 2021 would not have had a material effect on our financial statements. We do not currently engage in hedging transactions to manage our exposure to interest rate risk.</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June 30, 2021, our cash and cash equivalents were maintained with one financial institution in the United States. While our deposit accounts are insured up to the legal limit, the balances we maintain may, at times, exceed this insured limit. We believe this financial institution has sufficient assets and liquidity to conduct its operations in the ordinary course of business with little or no credit risk to us.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accounts receivable relate to sales to customers. To minimize credit risk, ongoing credit evaluations of all customers’ financial condition are performed. One customer represented 10% or more of our accounts receivable as of June 30,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six months ended June 30, 2021 and 2020.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Section 107 of the JOBS Act permits us, as an “emerging growth company,” to take advantage of an extended transition period for adopting new or revised accounting standards until those standards would otherwise apply to private 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66"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We will remain an emerging growth company until the earliest of: (i) the last day of the first fiscal year in which our annual gross revenues are $1.07 billion or more; (ii) the last day of 2025; (iii) the date that we become a “large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8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Company’s management has evaluated, with the participation of the Chief Executive Officer and the Chief Financial Officer, the effectiveness of our disclosure controls and procedures (as defined in Rule 13a-15(e) and 15d-15(e) under the Exchange Act) as of the end of the period covered by this Quarterly Report. Based on this evaluation, management concluded that the Company’s disclosure controls and procedures were effective as of June 30, 2021.</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six months ended June 30, 2021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For information about legal proceedings in which we are involved, see Note 8 to the condensed consolidated financial statements included elsewhere in this Quarterly Report.</w:t>
      </w:r>
    </w:p>
    <w:p>
      <w:pPr>
        <w:spacing w:after="0" w:line="399"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business, financial condition and operating results can be affected by a number of factors, whether current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For a discussion of these potential risks and uncertainties, see Part I, Item 1A. “Risk Factors” of our Annual Report, as updated and supplemented by the risk factors below. Any of these factors, in whole or in part, could materially and adversely affect our business, financial condition, operating results and the price of our common stock.</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success depends on our ability to maintain the value and reputation of the Aziyo name.</w:t>
      </w:r>
    </w:p>
    <w:p>
      <w:pPr>
        <w:spacing w:after="0" w:line="19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believe that the “Aziyo” name is important to attracting and retaining customers, and enhancing our name depends largely on our ability to provide high-quality and safe products. Our name could be harmed if we fail to achieve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these objectives or if our public image were to be tarnished by events yielding negative perceptions and publicity. For example, on June 2, 2021, we issued a voluntary recall pertaining to a single donor lot of our FiberCel Fiber Viable Bone Matrix (“FiberCel”), a bone repair product made from human tissue that is used in various orthopedic and spinal procedures. Notice of the voluntary recall was issued to hospitals that received products from this specific lot, following the Company’s learning of post-surgical infections in patients treated with FiberCel, including some patients who tested positive for tuberculosis, including eight cases that resulted in fatalities (the “FiberCel Recall”). Following the public announcement of our voluntary recall, there has been various media coverage surrounding the recall and patients impacted, as well as lawsuits filed against Aziyo, which are described in Part II, Item 1, “Legal Proceedings” and Note 8 to the condensed consolidated financial statements included elsewhere in this Quarterly Report. Such negative publicity related to the perceived quality and safety of our products could affect our brand image, decrease confidence in our products or have an adverse effect on our ability to retain existing and attract new customers, suppliers and distribution partners, any one of which could result in decreased revenue, having an adverse effect on our business, financial condition and operating results.</w:t>
      </w:r>
    </w:p>
    <w:p>
      <w:pPr>
        <w:spacing w:after="0" w:line="10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 substantial portion of our net sales is generated through our commercial partners and independent sales agents, which subjects us to various risks.</w:t>
      </w:r>
    </w:p>
    <w:p>
      <w:pPr>
        <w:spacing w:after="0" w:line="143"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We currently rely on the efforts of our commercial partners and independent sales agents to generate a substantial portion of our net sales, and we expect to continue to rely on these third parties to generate a substantial portion of our net sales in the future while we work to grow our direct sales force. As a result, the impairment or termination of these relationships for any reason, or the failure of these parties to diligently sell our products and comply with applicable laws and regulations, could materially and adversely affect our ability to generate revenue and profits. Because our commercial partners and independent sales agents control the relationships with our end customers, if our relationship with any commercial partner or independent sales agent ends, we will likely also lose our relationship with their customers. Furthermore, our success is partially dependent on the willingness and ability of the sales representatives and other employees of our commercial partners and independent sales agents to diligently sell our products. However, we cannot guarantee that they will be successful in marketing our products. In addition, because our commercial partners and independent sales agents do not sell our products exclusively, they may focus their sales efforts and resources on other products that produce better margins or greater commissions for them or are incorporated into a broader strategic relationship with a partner. Because we do not control the sales representatives and other employees of our commercial partners, we cannot guarantee that our sales processes, regulatory compliance and other priorities will be consistently communicated and executed. In addition, we do not have staff in many of the areas covered by our commercial partners and independent sales agents, which makes it particularly difficult for us to monitor their performance. While we may take steps to mitigate the risks associated with noncompliance by our commercial partners and independent sales agents, there remains a risk that they will not comply with regulatory requirements or our requirements and policies. Actions by the sales representatives and other employees of our commercial partners and independent sales agents that are beyond our control could result in flat or declining sales in that territory, harm to the reputation of our company or our products or legal liability, any of which could have a material adverse effect on our business, financial condition and results of operations. In addition to the risk of losing customers, the operation of local laws and our agreements with our commercial partners and independent sales agents would make it difficult for us to replace a commercial partner or independent sales agent we feel is underperforming.</w:t>
      </w:r>
    </w:p>
    <w:p>
      <w:pPr>
        <w:spacing w:after="0" w:line="35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order to increase our sales, particularly with respect to our Core Products, we intend to develop relationships and arrangements with additional commercial partners and/or independent sales agents, which we may not be able to do on commercially reasonable terms or at all. If we are unable to establish new commercial partner and independent sales agent relationships and maintain our relationships with our existing commercial partners and independent sales agents, in each case, on commercially reasonable terms, we will be unable to increase sales of our products and our business, financial condition and results of operations could be materially and adversely affected.</w:t>
      </w:r>
    </w:p>
    <w:p>
      <w:pPr>
        <w:spacing w:after="0" w:line="13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certain of our commercial partners may, from time to time, account for a significant portion of our net sales and/or accounts receivable. Sales to Surgalign Spine Technologies, one of our commercial partners, accounted for 11% of our net sales during the six months ended June 30, 2021 and represented 13% of our accounts receivable as of June 30, 2021. Sales to Medtronic, also one of our commercial partners, accounted for 20% of our net sales during the six months ended June 30, 2021 and represented 30% of our accounts receivable as of June 30, 2021. As more fully described elsewhere in this Quarterly Report, we issued a voluntary recall on June 2, 2021 pertaining to a single donor lot of our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FiberCel product after learning of post-surgical infections in several patients treated with the product, including some of whom tested positive for tuberculosis, and eight of whom suffered a fatal outcome. FiberCel is distributed by Medtronic and, in June 2021, Medtronic notified us that sales of FiberCel as well as all such other Non-Core products supplied to Medtronic would be suspended until further notice.</w:t>
      </w:r>
    </w:p>
    <w:p>
      <w:pPr>
        <w:spacing w:after="0" w:line="16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loss of one or more significant commercial partners, a material reduction in their purchases of our products, such as what we are currently experiencing with Medtronic, or their inability to perform their contractual obligations, including, for example, committed purchase requirements, could adversely affect our business, financial condition and results of operations. We are also subject to the risk that any such commercial partner will experience financial difficulties that prevent them from making payments to us on a timely basis or at all.</w:t>
      </w:r>
    </w:p>
    <w:p>
      <w:pPr>
        <w:spacing w:after="0" w:line="1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incurred operating losses since our inception, expect to continue to incur significant expenses and operating losses in the future, and may not be able to achieve or sustain profitability.</w:t>
      </w:r>
    </w:p>
    <w:p>
      <w:pPr>
        <w:spacing w:after="0" w:line="13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have incurred net losses since our inception in 2015. For the six months ended June 30, 2021 and 2020, we had net losses of $7.5 million and $9.7 million, respectively. As of June 30, 2021, we had an accumulated deficit of $87.7 million. To date, we have financed our operations primarily through private placements of our convertible preferred stock, amounts borrowed under our credit facilities and sales of our products. We have devoted the majority of our resources to acquisition and integration, manufacturing costs, research and development, clinical activity and investing in our commercial infrastructure through our direct sales force and commercial partners in order to expand our presence and to promote awareness and adoption of our products.</w:t>
      </w:r>
    </w:p>
    <w:p>
      <w:pPr>
        <w:spacing w:after="0" w:line="15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expect that our operating expenses will continue to increase as we grow our sales organization, expand our product development and clinical and research activities, and incur additional costs associated with being a public company. Sales of our products or meaningful reductions or suspensions of such sales, such as the suspension of sales of FiberCel, may not offset our operating expenses As a result, we expect to continue to incur operating losses in the future and may never achieve profitability. Furthermore, even if we do achieve profitability, we may not be able to sustain or increase profitability on an ongoing basis. If we do not achieve or sustain profitability, it will be more difficult for us to finance our business and accomplish our strategic objectives, either of which would have a material adverse effect on our business, financial condition and results of operations and cause the market price of our Class A common stock to decline. In addition, failure of our products to significantly penetrate existing or new markets would negatively affect our business, financial condition and results of operations.</w:t>
      </w:r>
    </w:p>
    <w:p>
      <w:pPr>
        <w:spacing w:after="0" w:line="14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future growth depends on physician awareness of the distinctive characteristics, benefits, safety, clinical efficacy and cost-effectiveness of our products.</w:t>
      </w:r>
    </w:p>
    <w:p>
      <w:pPr>
        <w:spacing w:after="0" w:line="13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focus our sales, marketing and training efforts on physicians, surgeons and other healthcare professionals. The acceptance of our products depends in part on our ability to educate these individuals as to the distinctive characteristics, benefits, safety, clinical efficacy and cost-effectiveness of our products compared to alternative products, procedures and therapies. We support our direct sales force, commercial partners and independent sales agents through in-person educational programs and online medical educational materials, among other things. We also produce marketing materials, including materials outlining our products, for our sales teams using printed, video and multimedia formats. However, our efforts to educate physicians, surgeons and other healthcare professionals regarding our products may not be successful, particularly with respect to our Bone Repair products in light of the recent events involving the FiberCel Recall, and in markets where we rely exclusively on the efforts of our commercial partners and independent sales agents. If we do not adequately educate physicians, surgeons and other healthcare professionals about our products, as well as any adverse events involving these products, our products may not gain or maintain market acceptance, which may adversely affect our business, financial condition and results of operations.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success depends on the continued and future acceptance of our products by the medical community.</w:t>
      </w:r>
    </w:p>
    <w:p>
      <w:pPr>
        <w:spacing w:after="0" w:line="19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Even if we are able to increase awareness of our products among healthcare professionals, there can be no assurance that this will translate into greater acceptance of our products by the medical community. We believe physicians, surgeons and other healthcare professionals will only adopt our products if they determine, based on experience, clinical data and published peer reviewed journal articles, that the use of our products in a particular procedure is a favorable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6"/>
          <w:szCs w:val="16"/>
          <w:color w:val="auto"/>
        </w:rPr>
        <w:t>alternative to other available methods. In light of the events surrounding the FiberCel Recall, described in Part II, Item 1, “Legal Proceedings” and Note 8 to the condensed consolidated financial statements included elsewhere in this Quarterly Report, such positive evaluation of our Bone Repair products may become more challenging. Physicians also are more interested in using cost-effective products as they face increasing cost-containment pressure. In general, physicians may be slow to change their medical treatment practices and adopt our products for a variety of reasons, including, among others:</w:t>
      </w:r>
    </w:p>
    <w:p>
      <w:pPr>
        <w:spacing w:after="0" w:line="134" w:lineRule="exact"/>
        <w:rPr>
          <w:sz w:val="20"/>
          <w:szCs w:val="20"/>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their lack of experience using our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lack of evidence supporting additional patient benefits from use of our products over conventional methods;</w:t>
      </w:r>
    </w:p>
    <w:p>
      <w:pPr>
        <w:spacing w:after="0" w:line="207" w:lineRule="exact"/>
        <w:rPr>
          <w:rFonts w:ascii="Arial" w:cs="Arial" w:eastAsia="Arial" w:hAnsi="Arial"/>
          <w:sz w:val="16"/>
          <w:szCs w:val="16"/>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pressure to contain costs;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preference for other treatment modalities or our competitors’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availability of coverage and/or reimbursement from third-party payors; and</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that must be dedicated to learning how to use our products.</w:t>
      </w:r>
    </w:p>
    <w:p>
      <w:pPr>
        <w:spacing w:after="0" w:line="18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degree of market acceptance of our products will continue to depend on a number of factors, some of which are outside of our control, including, among other things:</w:t>
      </w:r>
    </w:p>
    <w:p>
      <w:pPr>
        <w:spacing w:after="0" w:line="130" w:lineRule="exact"/>
        <w:rPr>
          <w:sz w:val="20"/>
          <w:szCs w:val="20"/>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actual and perceived safety and efficacy of our products;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products over alternative treatments;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data and the clinical indications for which our products are approved;</w:t>
      </w:r>
    </w:p>
    <w:p>
      <w:pPr>
        <w:spacing w:after="0" w:line="184"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European Union or other regulatory authorities, including any limitations or warnings contained in approved labeling;</w:t>
      </w:r>
    </w:p>
    <w:p>
      <w:pPr>
        <w:spacing w:after="0" w:line="14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using our products relative to the use of our competitors’ products or alternative treatment modalities;</w:t>
      </w:r>
    </w:p>
    <w:p>
      <w:pPr>
        <w:spacing w:after="0" w:line="129"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and the reputation of our products;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prevalence and severity of any adverse events patients experience involving our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shelf life of our products and our ability to manage the logistics of the end-user supply chain; and</w:t>
      </w:r>
    </w:p>
    <w:p>
      <w:pPr>
        <w:spacing w:after="0" w:line="19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sufficient and readily accessible third-party insurance coverage and reimbursement for procedures incorporating our products.</w:t>
      </w:r>
    </w:p>
    <w:p>
      <w:pPr>
        <w:spacing w:after="0" w:line="143"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In addition, we believe recommendations for, and support of our products by, influential physicians are essential for market acceptance and adoption. If we do not receive this support (e.g., because we are unable to demonstrate favorable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long-term clinical data or otherwise), physicians and hospitals may not use our products, which would significantly impair our ability to increase our sales and prevent us from achieving and sustaining profitability.</w:t>
      </w:r>
    </w:p>
    <w:p>
      <w:pPr>
        <w:spacing w:after="0" w:line="143"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face 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143"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operate in highly competitive markets that are characterized by intense competition, subject to rapid change and significantly affected by new product introductions, technological advancements and other market activities of industry participants. Our competitors have historically dedicated, and will continue to dedicate, significant resources to promote their products and to develop new products that compete with ours. Customers in our target markets consider many factors when selecting a product, including product efficacy, ease of use, price, availability of payor coverage and adequate third-party reimbursement for procedures using the product, customer support services for technical-, clinical- and reimbursement-related matters and customer preference for, and loyalty to, particular products or a particular manufacturer. We expect competition to remain intense as competitors introduce additional competing products and enhancements to their existing products, and continue expanding into geographic markets where we currently operate or plan to expand. Product introductions or enhancements by competitors, which may have advanced technology, better features or lower pricing, may make our products obsolete or less competitive. As a result, we will be required to devote continued efforts and financial resources to develop and commercialize new products and enhancements to our existing products, deliver cost-effective clinical outcomes, manage our costs and expand our geographic reach.</w:t>
      </w:r>
    </w:p>
    <w:p>
      <w:pPr>
        <w:spacing w:after="0" w:line="13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Many of our current and potential competitors have longer operating histories and substantially greater financial, technical, marketing, sales, distribution and other resources than we do, which may prevent us from achieving significant market penetration or improved operating results. Certain competitors’ products, such as competitors of SimpliDerm, are subject to a simpler reimbursement process than are our products. Competitors may also be able to leverage their market share and other resources to set prices at a level below that which is profitable for us. These companies may also enjoy other competitive advantages, including, without limitation:</w:t>
      </w:r>
    </w:p>
    <w:p>
      <w:pPr>
        <w:spacing w:after="0" w:line="165"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company, product and brand recognition;</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better quality and greater volume of clinical data;</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effective marketing to and education of physicians and other healthcare professionals;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greater control of key intellectual property and more expansive portfolios of intellectual property rights;</w:t>
      </w:r>
    </w:p>
    <w:p>
      <w:pPr>
        <w:spacing w:after="0" w:line="19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experience in obtaining and maintaining regulatory clearances or approvals for products and product enhancements;</w:t>
      </w:r>
    </w:p>
    <w:p>
      <w:pPr>
        <w:spacing w:after="0" w:line="129"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established relationships with hospitals and other healthcare providers, physicians, suppliers, customers and third-party payors;</w:t>
      </w:r>
    </w:p>
    <w:p>
      <w:pPr>
        <w:spacing w:after="0" w:line="14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lines of products, and the ability to bundle products to offer greater incentives to gain a competitive advantage;</w:t>
      </w:r>
    </w:p>
    <w:p>
      <w:pPr>
        <w:spacing w:after="0" w:line="129"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established sales, marketing and worldwide distribution networks;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better product support and service;</w:t>
      </w:r>
    </w:p>
    <w:p>
      <w:pPr>
        <w:spacing w:after="0" w:line="198"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superior reliability, durability and product safety, with such product safety particularly in light of the events involving the FiberCel Recall;</w:t>
      </w:r>
    </w:p>
    <w:p>
      <w:pPr>
        <w:spacing w:after="0" w:line="129"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effective pricing and revenue strategies; and</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effective clinical training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ability to achieve and maintain profitability will depend, in part, on our ability to develop or acquire proprietary products that reach the market in a timely manner, receive adequate coverage and reimbursement for procedures using our products, and are safer and more effective than their alternatives, as well as our ability to otherwise compete effectively on the factors listed above. If we are unable to do so, our sales and/or margins will decrease, which could have a material adverse effect on our business, financial condition and results of operations.</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processing of human and porcine tissue for our products is technically complex, requiring high levels of quality control and precision, which subjects us to increased production risks.</w:t>
      </w:r>
    </w:p>
    <w:p>
      <w:pPr>
        <w:spacing w:after="0" w:line="13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manufacture our human and porcine tissue products using technically complex processes requiring specialized facilities, highly specific raw materials, skill and diligence by our personnel and other production constraints. The complexity of these processes, as well as strict company and government standards for the manufacture and storage of our products, subjects us to production risks. In addition to ongoing production risks, process deviations or unanticipated effects of approved process changes may result in non-compliance with regulatory requirements, including stability requirements or specifications. For example, our bone allograft products, such as ViBone and OsteGro V, must be shipped and maintained within a specified temperature range. If environmental conditions deviate from that range, our products’ remaining shelf-lives could be impaired or their safety and efficacy could be adversely affected, making them unsuitable for use. The occurrence of this or any other actual or suspected production or distribution problem can lead to lost inventory, customer returns and, in some cases, recalls, with consequential damage to our reputation and customer relationships and the risk of product liability.</w:t>
      </w:r>
    </w:p>
    <w:p>
      <w:pPr>
        <w:spacing w:after="0" w:line="141"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 xml:space="preserve">For example, on June 2, 2021, we issued a voluntary recall pertaining to a single donor lot of our FiberCel Fiber Viable Bone Matrix, a bone repair product made from human tissue that is used in various orthopedic and spinal procedures. Notice of the voluntary recall was issued to hospitals that received product from this specific lot following the Company’s learning of post-surgical infections in patients treated with FiberCel, including some patients that tested positive for tuberculosis. The lot consisted of 154 units of FiberCel, all derived from a single donor, that were shipped to facilities in 20 states. We have investigated the source of the infections in coordination with our distributor, the FDA and the U.S. Centers for Disease Control and Prevention (“CDC”). The FDA inspected our Richmond, California production facility, and this inspection did not result in any Form-483 observations. Additionally, multiple product liability lawsuits have been filed against Aziyo. </w:t>
      </w:r>
      <w:r>
        <w:rPr>
          <w:rFonts w:ascii="Arial" w:cs="Arial" w:eastAsia="Arial" w:hAnsi="Arial"/>
          <w:sz w:val="16"/>
          <w:szCs w:val="16"/>
          <w:color w:val="565C63"/>
        </w:rPr>
        <w:t>See “</w:t>
      </w:r>
      <w:r>
        <w:rPr>
          <w:rFonts w:ascii="Arial" w:cs="Arial" w:eastAsia="Arial" w:hAnsi="Arial"/>
          <w:sz w:val="16"/>
          <w:szCs w:val="16"/>
          <w:i w:val="1"/>
          <w:iCs w:val="1"/>
          <w:color w:val="auto"/>
        </w:rPr>
        <w:t>We face the risk of product liability claims and may not be able to obtain or maintain</w:t>
      </w:r>
      <w:r>
        <w:rPr>
          <w:rFonts w:ascii="Arial" w:cs="Arial" w:eastAsia="Arial" w:hAnsi="Arial"/>
          <w:sz w:val="16"/>
          <w:szCs w:val="16"/>
          <w:color w:val="auto"/>
        </w:rPr>
        <w:t xml:space="preserve"> </w:t>
      </w:r>
      <w:r>
        <w:rPr>
          <w:rFonts w:ascii="Arial" w:cs="Arial" w:eastAsia="Arial" w:hAnsi="Arial"/>
          <w:sz w:val="16"/>
          <w:szCs w:val="16"/>
          <w:i w:val="1"/>
          <w:iCs w:val="1"/>
          <w:color w:val="auto"/>
        </w:rPr>
        <w:t>adequate product liability insurance</w:t>
      </w:r>
      <w:r>
        <w:rPr>
          <w:rFonts w:ascii="Arial" w:cs="Arial" w:eastAsia="Arial" w:hAnsi="Arial"/>
          <w:sz w:val="16"/>
          <w:szCs w:val="16"/>
          <w:i w:val="1"/>
          <w:iCs w:val="1"/>
          <w:color w:val="565C63"/>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for additional information about these product liability lawsuits.</w:t>
      </w:r>
    </w:p>
    <w:p>
      <w:pPr>
        <w:spacing w:after="0" w:line="14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This investigation, as well as others that may occur in the future, and the remediation of any potential or identified problems can cause production delays and result in substantial additional expenses and lost revenue. In addition, we may experience difficulties in scaling up processing and production of our human and porcine tissue products, including problems related to yields, quality control and assurance, tissue availability, adequacy of control policies and procedures and availability of skilled personnel. Furthermore, developing and maintaining our production capabilities has required, and will continue to require, the investment of significant resources, and we cannot guarantee that we will be able to achieve economies of scale. If we are unable to process and produce our human tissue products on a timely basis, at acceptable quality and costs and in sufficient quantities, or if we experience technological problems, delays in production, failure in the storage of our products or other loss of supply, our business would be materially and adversely affected.</w:t>
      </w:r>
    </w:p>
    <w:p>
      <w:pPr>
        <w:spacing w:after="0" w:line="12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face the risk of product liability claims and may not be able to obtain or maintain adequate product liability insurance.</w:t>
      </w:r>
    </w:p>
    <w:p>
      <w:pPr>
        <w:spacing w:after="0" w:line="13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business exposes us to the risk of product liability claims that are inherent in the manufacturing, processing, investigating and marketing of medical devices and human and animal tissue products. We are, and may in the future be, subject to product liability claims and lawsuits, including potential class actions or mass tort claims, alleging that our products have resulted or could result in an unsafe condition or injury. Product liability claims may be made by patients and their families, healthcare providers or others selling our products. Product liability claims may include, among other things, allegations of defects in manufacturing, defects in design, a failure to warn of dangers inherent in the product, negligence, strict liability or a breach of warranties. For example, the Company and certain Medtronic entities have been named in complaints alleging that plaintiffs contracted tuberculosis following the implantation of FiberCel during spinal fusion operations and seeking unspecified compensatory and punitive damages and medical monitoring. See Part II, Item</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1, “Legal Proceedings” and Note 8 to the condensed consolidated financial statements included elsewhere in this Quarterly Report.</w:t>
      </w:r>
    </w:p>
    <w:p>
      <w:pPr>
        <w:spacing w:after="0" w:line="143"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Additionally, we may be subject to product liability claims, proceedings and lawsuits, even if the apparent injury is due to the actions of others or the pre-existing health of the patient. For example, we rely on physicians and other healthcare providers to properly and correctly use our products. If these physicians or other healthcare providers are not properly trained or are negligent in using our products, the capabilities of our products may be diminished or the patient may suffer critical injury. In addition, we may be subject to product liability claims, as well as a number of other risks, as a result of physicians and other healthcare providers using our products “off-label.” See the risk factor entitled “</w:t>
      </w:r>
      <w:r>
        <w:rPr>
          <w:rFonts w:ascii="Arial" w:cs="Arial" w:eastAsia="Arial" w:hAnsi="Arial"/>
          <w:sz w:val="16"/>
          <w:szCs w:val="16"/>
          <w:i w:val="1"/>
          <w:iCs w:val="1"/>
          <w:color w:val="auto"/>
        </w:rPr>
        <w:t>The misuse</w:t>
      </w:r>
      <w:r>
        <w:rPr>
          <w:rFonts w:ascii="Arial" w:cs="Arial" w:eastAsia="Arial" w:hAnsi="Arial"/>
          <w:sz w:val="16"/>
          <w:szCs w:val="16"/>
          <w:color w:val="auto"/>
        </w:rPr>
        <w:t xml:space="preserve"> </w:t>
      </w:r>
      <w:r>
        <w:rPr>
          <w:rFonts w:ascii="Arial" w:cs="Arial" w:eastAsia="Arial" w:hAnsi="Arial"/>
          <w:sz w:val="16"/>
          <w:szCs w:val="16"/>
          <w:i w:val="1"/>
          <w:iCs w:val="1"/>
          <w:color w:val="auto"/>
        </w:rPr>
        <w:t>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Arial" w:cs="Arial" w:eastAsia="Arial" w:hAnsi="Arial"/>
          <w:sz w:val="16"/>
          <w:szCs w:val="16"/>
          <w:color w:val="auto"/>
        </w:rPr>
        <w:t>” included in our Annual Report on Form 10-K.</w:t>
      </w:r>
    </w:p>
    <w:p>
      <w:pPr>
        <w:spacing w:after="0" w:line="12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Defending any current or future claims, proceedings or lawsuits, regardless of merit, could be costly, divert management attention and result in adverse publicity, which could result in the withdrawal of, or reduced acceptance of, our products in the market. If we cannot successfully defend against product liability claims, we could incur substantial liability and costs. In addition, regardless of merit or eventual outcome, product liability claims may result in:</w:t>
      </w:r>
    </w:p>
    <w:p>
      <w:pPr>
        <w:spacing w:after="0" w:line="117" w:lineRule="exact"/>
        <w:rPr>
          <w:sz w:val="20"/>
          <w:szCs w:val="20"/>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harm to our business reputation;</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investigations by regulators;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legal costs;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8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product liability insurance is subject to deductibles and coverage limitations, and we may not be able to maintain this insurance. It is also possible that claims could exceed the limits of, or be excluded from, coverage under our policy, and claims against us could also increase the cost of maintaining our coverage. If we are unable to maintain product liability insurance at an acceptable cost or on acceptable terms with adequate coverage or otherwise protect ourselves against potential product liability claims, or if we underestimate the amount of insurance we need, we could be exposed to significant liabilities, which may harm our business. One or more product liability claims could have a significant adverse effect on our business, financial condition and results of operations.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bear the risk of warranty claims on our products.</w:t>
      </w:r>
    </w:p>
    <w:p>
      <w:pPr>
        <w:spacing w:after="0" w:line="19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bear the risk of warranty claims on our products. We may not be successful in claiming recovery under any warranty or indemnity provided to us by our suppliers or vendors in the event of a successful warranty claim against us by a customer, and any recovery from such supplier or vendor may not be adequate. Furthermore, we may not have any, or have an adequate, warranty provided by our supplier. In addition, warranty claims brought by our customers related to third-party components may arise after our ability to bring corresponding warranty claims against such suppliers expires, which could result in costs to us. In addition, we have been, and in the future could be, subject to costs related to product recalls, and we could incur significant costs to correct any defects, warranty claims or other problems. Any such events could adversely affect our business, financial condition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Defects, failures or quality issues associated with our products could lead to product recalls or safety alerts, adverse regulatory actions, litigation, including product liability claims, and negative publicity, any of which may erode our competitive advantage and market share and have a material adverse effect on our reputation, business, financial condition and results of operations.</w:t>
      </w:r>
    </w:p>
    <w:p>
      <w:pPr>
        <w:spacing w:after="0" w:line="16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Quality is extremely important to us and our customers due to the serious and costly consequences of product failure. Quality and safety issues may occur with respect to any of our products, and our future operating results will depend on our ability to maintain an effective quality control system and effectively train and manage our workforce with respect to our quality system. The development, manufacture and control of our products are subject to extensive and rigorous regulation by numerous government agencies, including the FDA, the Competent Authorities of the European Union and similar foreign agencies. Compliance with these regulatory requirements, including but not limited to the QSR, current Good Manufacturing Practices (“GMPs”) and adverse events/recall reporting requirements in the United States and other applicable regulations worldwide, is subject to continual review and is monitored rigorously through periodic inspections by the FDA and foreign regulatory authorities. If we fail to comply with our reporting obligations, the FDA, the Competent Authorities of the European Union or other regulatory authority could take action, including issuance of warning letters and/or untitled letters, administrative actions, criminal prosecution, imposition of civil monetary penalties, revocation of our device clearance, seizure of our products or delay in the clearance of future products.</w:t>
      </w:r>
    </w:p>
    <w:p>
      <w:pPr>
        <w:spacing w:after="0" w:line="12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FDA and foreign regulatory authorities may also require post-market testing and surveillance to monitor the performance of approved products. Our facilities and those of our suppliers, commercial partners and independent sales agents are also subject to periodic regulatory inspections. If the FDA or a foreign authority were to conclude that we have failed to comply with any of these requirements, it could institute a wide variety of enforcement actions, ranging from a public warning letter to more severe sanctions, such as product recalls or seizures, withdrawals, monetary penalties, consent decrees, injunctive actions to halt the manufacture or distribution of products, import detentions of products made outside the United States, export restrictions, restrictions on operations or other civil or criminal sanctions. Civil or criminal sanctions could be assessed against our officers, employees, or us. Any adverse regulatory action, depending on its magnitude, may restrict us from effectively manufacturing, marketing and selling our products.</w:t>
      </w:r>
    </w:p>
    <w:p>
      <w:pPr>
        <w:spacing w:after="0" w:line="12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If our products do not function as designed, or are designed improperly, we or the third-party manufacturer of such products may withdraw such products from the market, whether by choice or as a result of regulatory requirements. In August 2019, we recalled and discarded certain production lots of CanGaroo from the market due to suture breakage. In January 2018, we recalled five of our allograft tissue implants because a pre-sterilized donor culture should have been disqualified, each of which had a negative effect on our business, financial condition and results of operations. Furthermore, in June 2021, we issued a voluntary recall pertaining to a single donor lot of our FiberCel Fiber Viable Bone Matrix, a bone repair product made from human tissue that is used in various orthopedic and spinal procedures, following our learning of post-surgical infections in patients treated with FiberCel, including some patients that tested positive for tuberculosis. This recall had a negative effect on our business, financial condition and results of operations. Any product recall we or a third-party manufacturer may conduct in the future, whether voluntary or required, may also negatively affect our business financial condition and results of operations, and this effect may be material.</w:t>
      </w:r>
    </w:p>
    <w:p>
      <w:pPr>
        <w:spacing w:after="0" w:line="14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addition, we cannot predict the results of future legislative activity or future court decisions, any of which could increase regulatory requirements, subject us to government investigations or expose us to unexpected litigation. Any regulatory action or litigation, regardless of the merits, may result in substantial costs, divert management’s attention from other business concerns and place additional restrictions on our sales or the use of our products. In addition, negative publicity, including regarding a quality or safety issue, could damage our reputation, reduce market acceptance of our products, cause us to lose customers and decrease demand for our products. Any actual or perceived quality issues may also result in issuances of physician’s advisories against our products or cause us to conduct voluntary recalls. Any product defects or problems, regulatory action, litigation, negative publicity or recalls could disrupt our business and have a material adverse effect on our business, financial condition and results of operations.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face significant litigation related to FiberCel.</w:t>
      </w:r>
    </w:p>
    <w:p>
      <w:pPr>
        <w:spacing w:after="0" w:line="18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has been named in several lawsuits alleging that the plaintiffs contracted tuberculosis and are suffering substantial adverse symptoms following the implantation of FiberCel during spinal fusion operations. See Part II, Item 1, “Legal Proceedings” and Note 8 to the condensed consolidated financial statements included elsewhere in this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Quarterly Report. We have incurred and will continue to incur costs to defend these lawsuits and are not currently able to estimate damage amounts, if any, that we may be required to pay in connection with these lawsuits. Furthermore, these proceedings are still expected to continue for the reasonably foreseeable future, and we cannot predict the course the proceedings will take or their ultimate outcome. Given the inherent difficulty of predicting the outcome of litigation and costs involved to defend against the claims, we are currently unable to reasonably estimate the possible loss or range of loss with respect to the these lawsuits. Any unfavorable outcome that results in the payment of substantial damages could have a material adverse effect on our business, cash flow, results of operations, financial position and prospects.</w:t>
      </w:r>
    </w:p>
    <w:p>
      <w:pPr>
        <w:spacing w:after="0" w:line="13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indebtedness and our Revenue Interest Obligation to Ligand Pharmaceuticals Incorporated may limit our flexibility in operating our business and adversely affect our financial health and competitive position.</w:t>
      </w:r>
    </w:p>
    <w:p>
      <w:pPr>
        <w:spacing w:after="0" w:line="10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As of June 30, 2021, we had $21.2 million of indebtedness outstanding, consisting of $19.8 million outstanding under our Term Loan Facility (net of $0.2 million of unamortized discount and deferred financing costs), $2.9 million outstanding under our Revolving Credit Facility (with $5.1 million of additional borrowings available thereunder), and a $1.4 million promissory note payable to one of our suppliers. In addition, we are party to a royalty agreement with Ligand Pharmaceuticals Incorporated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and certain milestone payments if sales of the acquired products exceed certain thresholds. See Note 7 to the condensed consolidated financial statements included elsewhere in this Quarterly Report.</w:t>
      </w:r>
    </w:p>
    <w:p>
      <w:pPr>
        <w:spacing w:after="0" w:line="12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order to service this indebtedness and our Revenue Interest Obligation, and any additional indebtedness or other long-term obligations we may incur in the future, we need to generate sufficient levels of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levels of cash from operations or that future borrowings or other financings will be available to us in an amount sufficient to enable us to service our indebtedness, satisfy our obligations under the Revenue Interest Obligation and fund our other liquidity needs. To the extent we are required to use cash from operations or the proceeds of any future financing to service our indebtedness and satisfy our obligations under the Revenue Interest Obligation instead of funding working capital, 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spacing w:after="0" w:line="14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the agreements governing our Term Loan Facility and Revolving Credit Facility contain, and any agreements evidencing or governing other future indebtedness may also contain, certain covenants that limit our ability to engage in certain transactions that may be in our long-term best interests. Subject to certain limited exceptions, these covenants limit our ability to, among other things:</w:t>
      </w:r>
    </w:p>
    <w:p>
      <w:pPr>
        <w:spacing w:after="0" w:line="146"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our assets;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 or modify our governing documents;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alter the business conducted by us and our subsidiaries; and</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8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addition to these covenants, the agreements governing our Term Loan Facility and Revolving Credit Facility also contain a financial covenant, which is tested on a monthly basis, and requires us to achieve a specified minimum net product revenue (as defined therein) for the preceding 12-month period. While we were in compliance with all covenants under these agreements as of June 30, 2021, we have had past breaches requiring waivers and there can be no guarantee that we will not breach these covenants in the future. Our ability to comply with these covenants may be affected by events and factors beyond our control. In the event that we breach one or more covenants, our lenders may choose to declare an event of default and require that we immediately repay all amounts outstanding, terminate any commitment to extend further credit and foreclose on the collateral granted to them to collateralize such indebtedness. The occurrence of any of these events could have a material adverse effect on our business, financial condition and results of operations.</w:t>
      </w:r>
    </w:p>
    <w:p>
      <w:pPr>
        <w:spacing w:after="0" w:line="13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we may be able to incur significant additional indebtedness in the future. Although the agreements governing our Term Loan Facility and Revolving Credit Facility contain restrictions on the incurrence of additional indebtedness by us, such restrictions are subject to a number of qualifications and exceptions, and the indebtedness incurred in compliance with these restrictions could be substantial. Also, these restrictions do not prohibit us from incurring obligations that do not constitute indebtedness as defined therein. To the extent that we incur additional indebtedness or such other obligations, the risks associated with our substantial indebtedness described above will increase.</w:t>
      </w:r>
    </w:p>
    <w:p>
      <w:pPr>
        <w:spacing w:after="0" w:line="124" w:lineRule="exact"/>
        <w:rPr>
          <w:sz w:val="20"/>
          <w:szCs w:val="20"/>
          <w:color w:val="auto"/>
        </w:rPr>
      </w:pPr>
    </w:p>
    <w:p>
      <w:pPr>
        <w:jc w:val="both"/>
        <w:ind w:left="60" w:right="79" w:firstLine="648"/>
        <w:spacing w:after="0" w:line="275" w:lineRule="auto"/>
        <w:rPr>
          <w:sz w:val="20"/>
          <w:szCs w:val="20"/>
          <w:color w:val="auto"/>
        </w:rPr>
      </w:pPr>
      <w:r>
        <w:rPr>
          <w:rFonts w:ascii="Arial" w:cs="Arial" w:eastAsia="Arial" w:hAnsi="Arial"/>
          <w:sz w:val="17"/>
          <w:szCs w:val="17"/>
          <w:color w:val="auto"/>
        </w:rPr>
        <w:t>Various events permit the lender under the Term Loan Facility and Revolving Credit Facility to terminate the agreement, following a cure period. Such events include, without limitation, legal proceedings or the termination of a material contract, both of which could be implicated based on the facts involving the FiberCel Recall and the FiberCel Litigation. If the lender were to terminate either the Term Loan Facility or the Revolving Credit Facility, the lender may declare all or any portion of these obligations to become immediately due and payable.</w:t>
      </w:r>
    </w:p>
    <w:p>
      <w:pPr>
        <w:spacing w:after="0" w:line="1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funds in the future, and such funds may not be available on acceptable terms or at all.</w:t>
      </w:r>
    </w:p>
    <w:p>
      <w:pPr>
        <w:spacing w:after="0" w:line="143"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believe that the net proceeds from our IPO, together with our existing cash, availability under our Revolving Credit Facility and cash generated from expected future commercial sales, will enable us to fund our operating expenses and capital expenditure requirements through the third quarter of 2022. However, we have based these estimates on assumptions that may prove to be incorrect, and we could spend our available financial resources much faster than we currently expect. Any future funding requirements will depend on many factors, including, among other things:</w:t>
      </w:r>
    </w:p>
    <w:p>
      <w:pPr>
        <w:spacing w:after="0" w:line="121"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studies and clinical trials;</w:t>
      </w:r>
    </w:p>
    <w:p>
      <w:pPr>
        <w:spacing w:after="0" w:line="198"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of commercializing new products or technologies;</w:t>
      </w:r>
    </w:p>
    <w:p>
      <w:pPr>
        <w:spacing w:after="0" w:line="129"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184"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maintaining, defending and enforcing our patent or other intellectual property rights;</w:t>
      </w:r>
    </w:p>
    <w:p>
      <w:pPr>
        <w:spacing w:after="0" w:line="14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29"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defending against or damages payable (to the extent above the applicable insurance coverage), for example, in connection with claims involving the FiberCel Recall;</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developing and commercializing new products or technologies;</w:t>
      </w:r>
    </w:p>
    <w:p>
      <w:pPr>
        <w:spacing w:after="0" w:line="184"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12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184"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on any of the above of the COVID-19 pandemic, incluing due to variants thereof, or any other pandemic, epidemic or outbreak of infectious disease.</w:t>
      </w:r>
    </w:p>
    <w:p>
      <w:pPr>
        <w:spacing w:after="0" w:line="13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our operating plan may change as a result of any number of factors, including those set forth above and other factors currently unknown to us, and we may need additional funds sooner than anticipated. Any additional equity or debt financing that we raise may contain terms that are not favorable to us or our stockholders. If we raise additional funds by selling additional shares of our common stock or other securities convertible (directly or indirectly) into or exercisable or exchangeable for shares of our common stock, the issuance of such securities will result in dilution to our stockholders. The price per share at which we sell additional shares of our common stock, or securities convertible into or exercisable or exchangeable for shares of our common stock, in future transactions may be higher or lower than the price per share paid by you. Furthermore, investors purchasing any securities we may issue in the future may have rights superior to your rights as a holder of our common stock.</w:t>
      </w:r>
    </w:p>
    <w:p>
      <w:pPr>
        <w:spacing w:after="0" w:line="15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If we raise additional funds through collaboration and licensing arrangements with third parties, it may be necessary to relinquish some rights to our technologies or our products, or grant licenses on terms that are not favorable to us.</w:t>
      </w:r>
    </w:p>
    <w:p>
      <w:pPr>
        <w:spacing w:after="0" w:line="13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Furthermore, we cannot be certain that additional funding will be available to us on acceptable terms, if at all.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business, financial condition and results of operations.</w:t>
      </w:r>
    </w:p>
    <w:p>
      <w:pPr>
        <w:spacing w:after="0" w:line="121"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Our estimates of market opportunity and forecasts of market and sales growth may prove to be inaccurate, and even if the markets in which we compete achieve the forecasted growth, our business could fail to grow at similar rates, if at all.</w:t>
      </w:r>
    </w:p>
    <w:p>
      <w:pPr>
        <w:spacing w:after="0" w:line="73"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Market opportunity estimates and growth forecasts are inherently uncertain. Our estimates of the annual total addressable markets for our products are based on a number of internal and third-party estimates and assumptions, including, without limitation, the number of implantable electronic device procedures and orthopedic/spinal repair procedures, as well as the number of procedures using biologic products annually in the United States.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any of our products may prove to be incorrect. If the actual number of procedures, the price at which we are able to sell any of our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products, or the annual total addressable market is smaller than we have estimated, it may impair our sales growth and have an adverse impact on our business, financial condition and results of operations.</w:t>
      </w:r>
    </w:p>
    <w:p>
      <w:pPr>
        <w:spacing w:after="0" w:line="14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face additional issues associated with the voluntary recall of the single donor lot of FiberCel if we are unable to show that we initiated a timely recall and recalled all deficient lots.</w:t>
      </w:r>
    </w:p>
    <w:p>
      <w:pPr>
        <w:spacing w:after="0" w:line="13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June 2, 2021, we issued a voluntary recall pertaining to a single donor lot of FiberCel Fiber Viable Bone Matrix, a bone repair product made from human tissue that is used in various orthopedic and spinal procedures. Notice of the voluntary recall was issued to hospitals that received product from this specific lot following the Company’s learning of post-surgical infections in patients treated with FiberCel, including some patients who tested positive for tuberculosis. We investigated the source of the infections in coordination with our distributor of the product, the FDA and the CDC. The FDA has since inspected our Richmond, California production facility and this did not result in any Form-483 observations. If it is determined that there are other lots that are similarly affected or we experience the same or similar circumstances in the future, this could adversely affect our ability to generate revenue and have an adverse effect on our financial condition and results of operations. Moreover, we may face additional issues associated with our voluntary recall if we are unable to show that we initiated a timely recall.</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Government Regulation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6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Some of our marketed products are subject to Medical Device Reporting (“MDR”) obligations, which require that we report to the FDA or the Competent Authorities of the European Union, any incident in which our products may have caused or contributed to a death or serious injury, or in which our products malfunctioned and, if the malfunction were to recur, it could likely cause or contribute to a death or serious injury. The timing of our obligation to report under the MDR regulations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our product. If we fail to comply with our reporting obligations, the FDA, or the Competent Authorities of the European Union,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13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FDA, the Competent Authorities of the European Union,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for a medical device must be based on a finding that there is reasonable probability that the device could cause serious injury or death. With respect to HCT/Ps, the FDA may also require a recall where the conditions of manufacture of the HCT/P do not provide adequate protections against risks of communicable disease transmission, or where the HCT/P is infected or contaminated so as to be a source of dangerous infections to humans.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4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expect that the price of our Class A common stock will fluctuate substantially and you may not be able to sell the shares you purchase at or above the price you paid for such shares.</w:t>
      </w:r>
    </w:p>
    <w:p>
      <w:pPr>
        <w:spacing w:after="0" w:line="13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market price of our Class A common stock is likely to be highly volatile and may fluctuate substantially due to a variety of factors, many of which are outside of our control, including, among other things:</w:t>
      </w:r>
    </w:p>
    <w:p>
      <w:pPr>
        <w:spacing w:after="0" w:line="130"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volume and timing of sales of our products;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related to the COVID-19 pandemic;</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198"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obtain regulatory clearance or approval for, and market new and enhanced products on a timely basis;</w:t>
      </w:r>
    </w:p>
    <w:p>
      <w:pPr>
        <w:spacing w:after="0" w:line="129"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129"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liability claims or damages related thereto, including those related to FiberCel described in this Quarterly Report, as well as other litigation or regulatory investigations;</w:t>
      </w:r>
    </w:p>
    <w:p>
      <w:pPr>
        <w:spacing w:after="0" w:line="14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or quarterly variations in our results of operations or those of others in our industry, or results of operations that otherwise vary from those expected by securities analysts and investors;</w:t>
      </w:r>
    </w:p>
    <w:p>
      <w:pPr>
        <w:spacing w:after="0" w:line="129"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publications, reports or other media exposure of our products or those of others in our industry, or of our industry generally;</w:t>
      </w:r>
    </w:p>
    <w:p>
      <w:pPr>
        <w:spacing w:after="0" w:line="129" w:lineRule="exact"/>
        <w:rPr>
          <w:rFonts w:ascii="Arial" w:cs="Arial" w:eastAsia="Arial" w:hAnsi="Arial"/>
          <w:sz w:val="18"/>
          <w:szCs w:val="18"/>
          <w:color w:val="auto"/>
        </w:rPr>
      </w:pPr>
    </w:p>
    <w:p>
      <w:pPr>
        <w:jc w:val="both"/>
        <w:ind w:left="1040" w:right="79" w:hanging="315"/>
        <w:spacing w:after="0" w:line="279"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144" w:lineRule="exact"/>
        <w:rPr>
          <w:rFonts w:ascii="Arial" w:cs="Arial" w:eastAsia="Arial" w:hAnsi="Arial"/>
          <w:sz w:val="17"/>
          <w:szCs w:val="17"/>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governmental regulations or in reimbursement;</w:t>
      </w:r>
    </w:p>
    <w:p>
      <w:pPr>
        <w:spacing w:after="0" w:line="184"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56"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Class A common stock;</w:t>
      </w:r>
    </w:p>
    <w:p>
      <w:pPr>
        <w:spacing w:after="0" w:line="184"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and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factors discussed in Part II, Item 1A. “Risk Factors” of this Quarterly Report and Part I, Item 1A, “Risk Factors” of our Annual Report.</w:t>
      </w:r>
    </w:p>
    <w:p>
      <w:pPr>
        <w:spacing w:after="0" w:line="143"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those companies, including, as a result of the pandemic related to COVID-19 and variants such as Delta. Broad market and industry factors may significantly affect the market price of our Class A common stock, regardless of our actual operating performance. If the market price of shares of our Class A common stock does not ever exceed the price you paid for your shares, you may not realize any return on your investment in us and may lose some or all of your investment.</w:t>
      </w:r>
    </w:p>
    <w:p>
      <w:pPr>
        <w:spacing w:after="0" w:line="13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away from our business.</w:t>
      </w:r>
    </w:p>
    <w:p>
      <w:pPr>
        <w:spacing w:after="0" w:line="11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Stock Market LLC (“Nasdaq”) and, as a result, qualify for, and may rely on, exemptions from certain corporate governance requirements.</w:t>
      </w:r>
    </w:p>
    <w:p>
      <w:pPr>
        <w:spacing w:after="0" w:line="143"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Affiliates of HighCape Partners control a majority of our outstanding common stock. As a result, we qualify as a “controlled company” within the meaning of Nasdaq’s corporate governance standards. A company of which more than 50% of the voting power for the election of directors is held by an individual, a group or another company is a “controlled company” within the meaning of Nasdaq’s rules and may elect not to comply with certain corporate governance requirements of Nasdaq, including, among others:</w:t>
      </w:r>
    </w:p>
    <w:p>
      <w:pPr>
        <w:spacing w:after="0" w:line="147" w:lineRule="exact"/>
        <w:rPr>
          <w:sz w:val="20"/>
          <w:szCs w:val="20"/>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84"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requirement that we have a nominating and corporate governance committee that is comprised entirely of independent directors with a written charter addressing the committee’s purpose and responsibilities;</w:t>
      </w:r>
    </w:p>
    <w:p>
      <w:pPr>
        <w:spacing w:after="0" w:line="96"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comprised entirely of independent directors with a written charter addressing the committee’s purpose and responsibilities;</w:t>
      </w:r>
    </w:p>
    <w:p>
      <w:pPr>
        <w:spacing w:after="0" w:line="129"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13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For so long as we remain a controlled company, we may at any time and from time to time, utilize any or all of these exemptions. As a result, our board of directors and those committees may have more directors who do not meet Nasdaq’s independence standards than they would if those standards were to apply. The independence standards are intended to ensure that directors who meet those standards are free of any conflicting interest that could influence their actions as directors. Accordingly, you may not have the same protections afforded to shareholders of companies that are subject to all of the corporate governance requirements of Nasdaq.</w:t>
      </w:r>
    </w:p>
    <w:p>
      <w:pPr>
        <w:spacing w:after="0" w:line="36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42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b w:val="1"/>
                <w:bCs w:val="1"/>
                <w:color w:val="auto"/>
              </w:rPr>
              <w:t>File</w:t>
            </w: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Furnished</w:t>
            </w:r>
          </w:p>
        </w:tc>
        <w:tc>
          <w:tcPr>
            <w:tcW w:w="0" w:type="dxa"/>
            <w:vAlign w:val="bottom"/>
          </w:tcPr>
          <w:p>
            <w:pPr>
              <w:spacing w:after="0"/>
              <w:rPr>
                <w:sz w:val="1"/>
                <w:szCs w:val="1"/>
                <w:color w:val="auto"/>
              </w:rPr>
            </w:pPr>
          </w:p>
        </w:tc>
      </w:tr>
      <w:tr>
        <w:trPr>
          <w:trHeight w:val="220"/>
        </w:trPr>
        <w:tc>
          <w:tcPr>
            <w:tcW w:w="8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880" w:type="dxa"/>
            <w:vAlign w:val="bottom"/>
          </w:tcPr>
          <w:p>
            <w:pPr>
              <w:jc w:val="center"/>
              <w:ind w:left="310"/>
              <w:spacing w:after="0"/>
              <w:rPr>
                <w:sz w:val="20"/>
                <w:szCs w:val="20"/>
                <w:color w:val="auto"/>
              </w:rPr>
            </w:pPr>
            <w:r>
              <w:rPr>
                <w:rFonts w:ascii="Arial" w:cs="Arial" w:eastAsia="Arial" w:hAnsi="Arial"/>
                <w:sz w:val="18"/>
                <w:szCs w:val="18"/>
                <w:b w:val="1"/>
                <w:bCs w:val="1"/>
                <w:color w:val="auto"/>
                <w:w w:val="97"/>
              </w:rPr>
              <w:t>Form</w:t>
            </w:r>
          </w:p>
        </w:tc>
        <w:tc>
          <w:tcPr>
            <w:tcW w:w="500" w:type="dxa"/>
            <w:vAlign w:val="bottom"/>
          </w:tcPr>
          <w:p>
            <w:pPr>
              <w:ind w:left="120"/>
              <w:spacing w:after="0"/>
              <w:rPr>
                <w:sz w:val="20"/>
                <w:szCs w:val="20"/>
                <w:color w:val="auto"/>
              </w:rPr>
            </w:pPr>
            <w:r>
              <w:rPr>
                <w:rFonts w:ascii="Arial" w:cs="Arial" w:eastAsia="Arial" w:hAnsi="Arial"/>
                <w:sz w:val="18"/>
                <w:szCs w:val="18"/>
                <w:b w:val="1"/>
                <w:bCs w:val="1"/>
                <w:color w:val="auto"/>
              </w:rPr>
              <w:t>No.</w:t>
            </w: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4420" w:type="dxa"/>
            <w:vAlign w:val="bottom"/>
            <w:gridSpan w:val="2"/>
            <w:vMerge w:val="restart"/>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Restated Certificate of Incorporation of Aziyo Biologics, Inc.</w:t>
              </w:r>
            </w:hyperlink>
          </w:p>
        </w:tc>
        <w:tc>
          <w:tcPr>
            <w:tcW w:w="880" w:type="dxa"/>
            <w:vAlign w:val="bottom"/>
            <w:vMerge w:val="restart"/>
          </w:tcPr>
          <w:p>
            <w:pPr>
              <w:jc w:val="center"/>
              <w:ind w:left="310"/>
              <w:spacing w:after="0"/>
              <w:rPr>
                <w:sz w:val="20"/>
                <w:szCs w:val="20"/>
                <w:color w:val="auto"/>
              </w:rPr>
            </w:pPr>
            <w:r>
              <w:rPr>
                <w:rFonts w:ascii="Arial" w:cs="Arial" w:eastAsia="Arial" w:hAnsi="Arial"/>
                <w:sz w:val="18"/>
                <w:szCs w:val="18"/>
                <w:color w:val="auto"/>
                <w:w w:val="99"/>
              </w:rPr>
              <w:t>8-K</w:t>
            </w:r>
          </w:p>
        </w:tc>
        <w:tc>
          <w:tcPr>
            <w:tcW w:w="5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0"/>
              </w:rPr>
              <w:t>10/13/2020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860" w:type="dxa"/>
            <w:vAlign w:val="bottom"/>
          </w:tcPr>
          <w:p>
            <w:pPr>
              <w:spacing w:after="0"/>
              <w:rPr>
                <w:sz w:val="7"/>
                <w:szCs w:val="7"/>
                <w:color w:val="auto"/>
              </w:rPr>
            </w:pPr>
          </w:p>
        </w:tc>
        <w:tc>
          <w:tcPr>
            <w:tcW w:w="4420" w:type="dxa"/>
            <w:vAlign w:val="bottom"/>
            <w:tcBorders>
              <w:bottom w:val="single" w:sz="8" w:color="0000EE"/>
            </w:tcBorders>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87"/>
              </w:rPr>
              <w:t>39577</w:t>
            </w:r>
          </w:p>
        </w:tc>
        <w:tc>
          <w:tcPr>
            <w:tcW w:w="6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4040" w:type="dxa"/>
            <w:vAlign w:val="bottom"/>
            <w:vMerge w:val="restart"/>
          </w:tcPr>
          <w:p>
            <w:pPr>
              <w:spacing w:after="0"/>
              <w:rPr>
                <w:rFonts w:ascii="Arial" w:cs="Arial" w:eastAsia="Arial" w:hAnsi="Arial"/>
                <w:sz w:val="18"/>
                <w:szCs w:val="18"/>
                <w:color w:val="0000EE"/>
                <w:w w:val="92"/>
              </w:rPr>
            </w:pPr>
            <w:hyperlink r:id="rId77">
              <w:r>
                <w:rPr>
                  <w:rFonts w:ascii="Arial" w:cs="Arial" w:eastAsia="Arial" w:hAnsi="Arial"/>
                  <w:sz w:val="18"/>
                  <w:szCs w:val="18"/>
                  <w:color w:val="0000EE"/>
                  <w:w w:val="92"/>
                </w:rPr>
                <w:t>Amended and Restated Bylaws of Aziyo Biologics, Inc.</w:t>
              </w:r>
            </w:hyperlink>
          </w:p>
        </w:tc>
        <w:tc>
          <w:tcPr>
            <w:tcW w:w="380" w:type="dxa"/>
            <w:vAlign w:val="bottom"/>
          </w:tcPr>
          <w:p>
            <w:pPr>
              <w:spacing w:after="0"/>
              <w:rPr>
                <w:sz w:val="24"/>
                <w:szCs w:val="24"/>
                <w:color w:val="auto"/>
              </w:rPr>
            </w:pPr>
          </w:p>
        </w:tc>
        <w:tc>
          <w:tcPr>
            <w:tcW w:w="880" w:type="dxa"/>
            <w:vAlign w:val="bottom"/>
            <w:vMerge w:val="restart"/>
          </w:tcPr>
          <w:p>
            <w:pPr>
              <w:jc w:val="center"/>
              <w:ind w:left="310"/>
              <w:spacing w:after="0"/>
              <w:rPr>
                <w:sz w:val="20"/>
                <w:szCs w:val="20"/>
                <w:color w:val="auto"/>
              </w:rPr>
            </w:pPr>
            <w:r>
              <w:rPr>
                <w:rFonts w:ascii="Arial" w:cs="Arial" w:eastAsia="Arial" w:hAnsi="Arial"/>
                <w:sz w:val="18"/>
                <w:szCs w:val="18"/>
                <w:color w:val="auto"/>
                <w:w w:val="99"/>
              </w:rPr>
              <w:t>8-K</w:t>
            </w:r>
          </w:p>
        </w:tc>
        <w:tc>
          <w:tcPr>
            <w:tcW w:w="5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7"/>
              </w:rPr>
              <w:t>3.2</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0"/>
              </w:rPr>
              <w:t>10/13/2020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60" w:type="dxa"/>
            <w:vAlign w:val="bottom"/>
          </w:tcPr>
          <w:p>
            <w:pPr>
              <w:spacing w:after="0"/>
              <w:rPr>
                <w:sz w:val="7"/>
                <w:szCs w:val="7"/>
                <w:color w:val="auto"/>
              </w:rPr>
            </w:pPr>
          </w:p>
        </w:tc>
        <w:tc>
          <w:tcPr>
            <w:tcW w:w="4040" w:type="dxa"/>
            <w:vAlign w:val="bottom"/>
            <w:tcBorders>
              <w:bottom w:val="single" w:sz="8" w:color="0000EE"/>
            </w:tcBorders>
            <w:vMerge w:val="continue"/>
          </w:tcPr>
          <w:p>
            <w:pPr>
              <w:spacing w:after="0"/>
              <w:rPr>
                <w:sz w:val="7"/>
                <w:szCs w:val="7"/>
                <w:color w:val="auto"/>
              </w:rPr>
            </w:pPr>
          </w:p>
        </w:tc>
        <w:tc>
          <w:tcPr>
            <w:tcW w:w="380" w:type="dxa"/>
            <w:vAlign w:val="bottom"/>
            <w:vMerge w:val="restart"/>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87"/>
              </w:rPr>
              <w:t>39577</w:t>
            </w:r>
          </w:p>
        </w:tc>
        <w:tc>
          <w:tcPr>
            <w:tcW w:w="6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9019"/>
          </w:cols>
          <w:pgMar w:left="1440" w:top="517" w:right="1440" w:bottom="1440" w:gutter="0" w:footer="0" w:header="0"/>
        </w:sect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4820" w:type="dxa"/>
            <w:vAlign w:val="bottom"/>
            <w:gridSpan w:val="10"/>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Second Amended and Restated Investor Rights Agreement, dated</w:t>
              </w:r>
            </w:hyperlink>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7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78">
              <w:r>
                <w:rPr>
                  <w:rFonts w:ascii="Arial" w:cs="Arial" w:eastAsia="Arial" w:hAnsi="Arial"/>
                  <w:sz w:val="18"/>
                  <w:szCs w:val="18"/>
                  <w:color w:val="0000EE"/>
                  <w:w w:val="88"/>
                </w:rPr>
                <w:t>as of September 14, 2020, among the Registrant and the investors</w:t>
              </w:r>
            </w:hyperlink>
          </w:p>
        </w:tc>
        <w:tc>
          <w:tcPr>
            <w:tcW w:w="8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78">
              <w:r>
                <w:rPr>
                  <w:rFonts w:ascii="Arial" w:cs="Arial" w:eastAsia="Arial" w:hAnsi="Arial"/>
                  <w:sz w:val="18"/>
                  <w:szCs w:val="18"/>
                  <w:color w:val="0000EE"/>
                  <w:w w:val="88"/>
                </w:rPr>
                <w:t>named therein</w:t>
              </w:r>
            </w:hyperlink>
          </w:p>
        </w:tc>
        <w:tc>
          <w:tcPr>
            <w:tcW w:w="3780" w:type="dxa"/>
            <w:vAlign w:val="bottom"/>
            <w:gridSpan w:val="8"/>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4320" w:type="dxa"/>
            <w:vAlign w:val="bottom"/>
            <w:tcBorders>
              <w:bottom w:val="single" w:sz="8" w:color="0000EE"/>
            </w:tcBorders>
            <w:gridSpan w:val="5"/>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Specimen stock certificate evidencing the shares of Class A</w:t>
              </w:r>
            </w:hyperlink>
          </w:p>
        </w:tc>
        <w:tc>
          <w:tcPr>
            <w:tcW w:w="500" w:type="dxa"/>
            <w:vAlign w:val="bottom"/>
            <w:gridSpan w:val="5"/>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4820" w:type="dxa"/>
            <w:vAlign w:val="bottom"/>
            <w:gridSpan w:val="10"/>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common stock</w:t>
              </w:r>
            </w:hyperlink>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4300" w:type="dxa"/>
            <w:vAlign w:val="bottom"/>
            <w:tcBorders>
              <w:bottom w:val="single" w:sz="8" w:color="0000EE"/>
            </w:tcBorders>
            <w:gridSpan w:val="4"/>
          </w:tcPr>
          <w:p>
            <w:pPr>
              <w:spacing w:after="0"/>
              <w:rPr>
                <w:rFonts w:ascii="Arial" w:cs="Arial" w:eastAsia="Arial" w:hAnsi="Arial"/>
                <w:sz w:val="18"/>
                <w:szCs w:val="18"/>
                <w:color w:val="0000EE"/>
                <w:w w:val="89"/>
              </w:rPr>
            </w:pPr>
            <w:hyperlink r:id="rId80">
              <w:r>
                <w:rPr>
                  <w:rFonts w:ascii="Arial" w:cs="Arial" w:eastAsia="Arial" w:hAnsi="Arial"/>
                  <w:sz w:val="18"/>
                  <w:szCs w:val="18"/>
                  <w:color w:val="0000EE"/>
                  <w:w w:val="89"/>
                </w:rPr>
                <w:t>Specimen stock certificate evidencing the shares of Class B</w:t>
              </w:r>
            </w:hyperlink>
          </w:p>
        </w:tc>
        <w:tc>
          <w:tcPr>
            <w:tcW w:w="520" w:type="dxa"/>
            <w:vAlign w:val="bottom"/>
            <w:gridSpan w:val="6"/>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4820" w:type="dxa"/>
            <w:vAlign w:val="bottom"/>
            <w:gridSpan w:val="10"/>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common stock</w:t>
              </w:r>
            </w:hyperlink>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482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Certification of Principal Executive Officer Pursuant to Rules 13a-</w:t>
              </w:r>
            </w:hyperlink>
          </w:p>
        </w:tc>
      </w:tr>
      <w:tr>
        <w:trPr>
          <w:trHeight w:val="196"/>
        </w:trPr>
        <w:tc>
          <w:tcPr>
            <w:tcW w:w="860" w:type="dxa"/>
            <w:vAlign w:val="bottom"/>
          </w:tcPr>
          <w:p>
            <w:pPr>
              <w:spacing w:after="0"/>
              <w:rPr>
                <w:sz w:val="17"/>
                <w:szCs w:val="17"/>
                <w:color w:val="auto"/>
              </w:rPr>
            </w:pPr>
          </w:p>
        </w:tc>
        <w:tc>
          <w:tcPr>
            <w:tcW w:w="48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14(a) and 15d-14(a) under the Securities Exchange Act of 1934, as</w:t>
              </w:r>
            </w:hyperlink>
          </w:p>
        </w:tc>
      </w:tr>
      <w:tr>
        <w:trPr>
          <w:trHeight w:val="196"/>
        </w:trPr>
        <w:tc>
          <w:tcPr>
            <w:tcW w:w="860" w:type="dxa"/>
            <w:vAlign w:val="bottom"/>
          </w:tcPr>
          <w:p>
            <w:pPr>
              <w:spacing w:after="0"/>
              <w:rPr>
                <w:sz w:val="17"/>
                <w:szCs w:val="17"/>
                <w:color w:val="auto"/>
              </w:rPr>
            </w:pPr>
          </w:p>
        </w:tc>
        <w:tc>
          <w:tcPr>
            <w:tcW w:w="4820" w:type="dxa"/>
            <w:vAlign w:val="bottom"/>
            <w:gridSpan w:val="10"/>
          </w:tcPr>
          <w:p>
            <w:pPr>
              <w:spacing w:after="0" w:line="196"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Adopted Pursuant to Section 302 of the Sarbanes-Oxley Act of</w:t>
              </w:r>
            </w:hyperlink>
          </w:p>
        </w:tc>
      </w:tr>
      <w:tr>
        <w:trPr>
          <w:trHeight w:val="196"/>
        </w:trPr>
        <w:tc>
          <w:tcPr>
            <w:tcW w:w="8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2002.</w:t>
              </w:r>
            </w:hyperlink>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4820" w:type="dxa"/>
            <w:vAlign w:val="bottom"/>
            <w:gridSpan w:val="10"/>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Certification of Principal Financial Officer Pursuant to Rules 13a-</w:t>
              </w:r>
            </w:hyperlink>
          </w:p>
        </w:tc>
      </w:tr>
      <w:tr>
        <w:trPr>
          <w:trHeight w:val="20"/>
        </w:trPr>
        <w:tc>
          <w:tcPr>
            <w:tcW w:w="860" w:type="dxa"/>
            <w:vAlign w:val="bottom"/>
          </w:tcPr>
          <w:p>
            <w:pPr>
              <w:spacing w:after="0" w:line="20" w:lineRule="exact"/>
              <w:rPr>
                <w:sz w:val="1"/>
                <w:szCs w:val="1"/>
                <w:color w:val="auto"/>
              </w:rPr>
            </w:pPr>
          </w:p>
        </w:tc>
        <w:tc>
          <w:tcPr>
            <w:tcW w:w="476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8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14(a) and 15d-14(a) under the Securities Exchange Act of 1934, as</w:t>
              </w:r>
            </w:hyperlink>
          </w:p>
        </w:tc>
      </w:tr>
      <w:tr>
        <w:trPr>
          <w:trHeight w:val="196"/>
        </w:trPr>
        <w:tc>
          <w:tcPr>
            <w:tcW w:w="860" w:type="dxa"/>
            <w:vAlign w:val="bottom"/>
          </w:tcPr>
          <w:p>
            <w:pPr>
              <w:spacing w:after="0"/>
              <w:rPr>
                <w:sz w:val="17"/>
                <w:szCs w:val="17"/>
                <w:color w:val="auto"/>
              </w:rPr>
            </w:pPr>
          </w:p>
        </w:tc>
        <w:tc>
          <w:tcPr>
            <w:tcW w:w="4820" w:type="dxa"/>
            <w:vAlign w:val="bottom"/>
            <w:gridSpan w:val="10"/>
          </w:tcPr>
          <w:p>
            <w:pPr>
              <w:spacing w:after="0" w:line="196"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Adopted Pursuant to Section 302 of the Sarbanes-Oxley Act of</w:t>
              </w:r>
            </w:hyperlink>
          </w:p>
        </w:tc>
      </w:tr>
      <w:tr>
        <w:trPr>
          <w:trHeight w:val="196"/>
        </w:trPr>
        <w:tc>
          <w:tcPr>
            <w:tcW w:w="8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2002.</w:t>
              </w:r>
            </w:hyperlink>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333-</w:t>
      </w:r>
    </w:p>
    <w:p>
      <w:pPr>
        <w:spacing w:after="0"/>
        <w:tabs>
          <w:tab w:leader="none" w:pos="1040" w:val="left"/>
          <w:tab w:leader="none" w:pos="1440" w:val="left"/>
        </w:tabs>
        <w:rPr>
          <w:sz w:val="20"/>
          <w:szCs w:val="20"/>
          <w:color w:val="auto"/>
        </w:rPr>
      </w:pPr>
      <w:r>
        <w:rPr>
          <w:rFonts w:ascii="Arial" w:cs="Arial" w:eastAsia="Arial" w:hAnsi="Arial"/>
          <w:sz w:val="18"/>
          <w:szCs w:val="18"/>
          <w:color w:val="auto"/>
        </w:rPr>
        <w:t xml:space="preserve">S-1 </w:t>
      </w:r>
      <w:r>
        <w:rPr>
          <w:rFonts w:ascii="Arial" w:cs="Arial" w:eastAsia="Arial" w:hAnsi="Arial"/>
          <w:sz w:val="35"/>
          <w:szCs w:val="35"/>
          <w:color w:val="auto"/>
          <w:vertAlign w:val="subscript"/>
        </w:rPr>
        <w:t>248788</w:t>
      </w:r>
      <w:r>
        <w:rPr>
          <w:rFonts w:ascii="Arial" w:cs="Arial" w:eastAsia="Arial" w:hAnsi="Arial"/>
          <w:sz w:val="18"/>
          <w:szCs w:val="18"/>
          <w:color w:val="auto"/>
        </w:rPr>
        <w:tab/>
        <w:t>4.1</w:t>
      </w:r>
      <w:r>
        <w:rPr>
          <w:sz w:val="20"/>
          <w:szCs w:val="20"/>
          <w:color w:val="auto"/>
        </w:rPr>
        <w:tab/>
      </w:r>
      <w:r>
        <w:rPr>
          <w:rFonts w:ascii="Arial" w:cs="Arial" w:eastAsia="Arial" w:hAnsi="Arial"/>
          <w:sz w:val="16"/>
          <w:szCs w:val="16"/>
          <w:color w:val="auto"/>
        </w:rPr>
        <w:t>09/14/2020</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333-</w:t>
      </w:r>
    </w:p>
    <w:p>
      <w:pPr>
        <w:spacing w:after="0"/>
        <w:tabs>
          <w:tab w:leader="none" w:pos="1040" w:val="left"/>
          <w:tab w:leader="none" w:pos="1440" w:val="left"/>
        </w:tabs>
        <w:rPr>
          <w:sz w:val="20"/>
          <w:szCs w:val="20"/>
          <w:color w:val="auto"/>
        </w:rPr>
      </w:pPr>
      <w:r>
        <w:rPr>
          <w:rFonts w:ascii="Arial" w:cs="Arial" w:eastAsia="Arial" w:hAnsi="Arial"/>
          <w:sz w:val="18"/>
          <w:szCs w:val="18"/>
          <w:color w:val="auto"/>
        </w:rPr>
        <w:t xml:space="preserve">S-1 </w:t>
      </w:r>
      <w:r>
        <w:rPr>
          <w:rFonts w:ascii="Arial" w:cs="Arial" w:eastAsia="Arial" w:hAnsi="Arial"/>
          <w:sz w:val="35"/>
          <w:szCs w:val="35"/>
          <w:color w:val="auto"/>
          <w:vertAlign w:val="subscript"/>
        </w:rPr>
        <w:t>248788</w:t>
      </w:r>
      <w:r>
        <w:rPr>
          <w:rFonts w:ascii="Arial" w:cs="Arial" w:eastAsia="Arial" w:hAnsi="Arial"/>
          <w:sz w:val="18"/>
          <w:szCs w:val="18"/>
          <w:color w:val="auto"/>
        </w:rPr>
        <w:tab/>
        <w:t>4.2</w:t>
      </w:r>
      <w:r>
        <w:rPr>
          <w:sz w:val="20"/>
          <w:szCs w:val="20"/>
          <w:color w:val="auto"/>
        </w:rPr>
        <w:tab/>
      </w:r>
      <w:r>
        <w:rPr>
          <w:rFonts w:ascii="Arial" w:cs="Arial" w:eastAsia="Arial" w:hAnsi="Arial"/>
          <w:sz w:val="16"/>
          <w:szCs w:val="16"/>
          <w:color w:val="auto"/>
        </w:rPr>
        <w:t>09/14/2020</w:t>
      </w:r>
    </w:p>
    <w:p>
      <w:pPr>
        <w:spacing w:after="0" w:line="202" w:lineRule="exact"/>
        <w:rPr>
          <w:sz w:val="20"/>
          <w:szCs w:val="20"/>
          <w:color w:val="auto"/>
        </w:rPr>
      </w:pPr>
    </w:p>
    <w:p>
      <w:pPr>
        <w:ind w:left="340" w:hanging="430"/>
        <w:spacing w:after="0"/>
        <w:rPr>
          <w:sz w:val="20"/>
          <w:szCs w:val="20"/>
          <w:color w:val="auto"/>
        </w:rPr>
      </w:pPr>
      <w:r>
        <w:rPr>
          <w:rFonts w:ascii="Arial" w:cs="Arial" w:eastAsia="Arial" w:hAnsi="Arial"/>
          <w:sz w:val="18"/>
          <w:szCs w:val="18"/>
          <w:color w:val="auto"/>
        </w:rPr>
        <w:t xml:space="preserve">S-1/A </w:t>
      </w:r>
      <w:r>
        <w:rPr>
          <w:rFonts w:ascii="Arial" w:cs="Arial" w:eastAsia="Arial" w:hAnsi="Arial"/>
          <w:sz w:val="35"/>
          <w:szCs w:val="35"/>
          <w:color w:val="auto"/>
          <w:vertAlign w:val="superscript"/>
        </w:rPr>
        <w:t>333-</w:t>
      </w:r>
      <w:r>
        <w:rPr>
          <w:sz w:val="20"/>
          <w:szCs w:val="20"/>
          <w:color w:val="auto"/>
        </w:rPr>
        <w:t xml:space="preserve"> </w:t>
      </w:r>
      <w:r>
        <w:rPr>
          <w:rFonts w:ascii="Arial" w:cs="Arial" w:eastAsia="Arial" w:hAnsi="Arial"/>
          <w:sz w:val="18"/>
          <w:szCs w:val="18"/>
          <w:color w:val="auto"/>
        </w:rPr>
        <w:t>4.3 09/30/2020 248788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20" w:lineRule="exact"/>
        <w:rPr>
          <w:sz w:val="20"/>
          <w:szCs w:val="20"/>
          <w:color w:val="auto"/>
        </w:rPr>
      </w:pPr>
    </w:p>
    <w:p>
      <w:pPr>
        <w:sectPr>
          <w:pgSz w:w="11900" w:h="16838" w:orient="portrait"/>
          <w:cols w:equalWidth="0" w:num="3">
            <w:col w:w="5740" w:space="120"/>
            <w:col w:w="2280" w:space="360"/>
            <w:col w:w="519"/>
          </w:cols>
          <w:pgMar w:left="1440" w:top="517" w:right="1440" w:bottom="1440" w:gutter="0" w:footer="0" w:header="0"/>
          <w:type w:val="continuous"/>
        </w:sectPr>
      </w:pP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6180" w:type="dxa"/>
            <w:vAlign w:val="bottom"/>
            <w:gridSpan w:val="4"/>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Certification of Principal Executive Officer Pursuant to 18 U.S.C.</w:t>
              </w:r>
            </w:hyperlink>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3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8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Section 1350, as Adopted Pursuant to Section 906 of the Sarbanes-</w:t>
              </w:r>
            </w:hyperlink>
          </w:p>
        </w:tc>
        <w:tc>
          <w:tcPr>
            <w:tcW w:w="1340" w:type="dxa"/>
            <w:vAlign w:val="bottom"/>
          </w:tcPr>
          <w:p>
            <w:pPr>
              <w:spacing w:after="0"/>
              <w:rPr>
                <w:sz w:val="17"/>
                <w:szCs w:val="17"/>
                <w:color w:val="auto"/>
              </w:rPr>
            </w:pPr>
          </w:p>
        </w:tc>
        <w:tc>
          <w:tcPr>
            <w:tcW w:w="1540" w:type="dxa"/>
            <w:vAlign w:val="bottom"/>
          </w:tcPr>
          <w:p>
            <w:pPr>
              <w:jc w:val="center"/>
              <w:ind w:left="127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Oxley Act of 2002.</w:t>
              </w:r>
            </w:hyperlink>
          </w:p>
        </w:tc>
        <w:tc>
          <w:tcPr>
            <w:tcW w:w="4780" w:type="dxa"/>
            <w:vAlign w:val="bottom"/>
            <w:gridSpan w:val="3"/>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47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Certification of Principal Financial Officer Pursuant to 18 U.S.C.</w:t>
              </w:r>
            </w:hyperlink>
          </w:p>
        </w:tc>
        <w:tc>
          <w:tcPr>
            <w:tcW w:w="1440" w:type="dxa"/>
            <w:vAlign w:val="bottom"/>
            <w:gridSpan w:val="2"/>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8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Section 1350, as Adopted Pursuant to Section 906 of the Sarbanes-</w:t>
              </w:r>
            </w:hyperlink>
          </w:p>
        </w:tc>
        <w:tc>
          <w:tcPr>
            <w:tcW w:w="1340" w:type="dxa"/>
            <w:vAlign w:val="bottom"/>
          </w:tcPr>
          <w:p>
            <w:pPr>
              <w:spacing w:after="0"/>
              <w:rPr>
                <w:sz w:val="17"/>
                <w:szCs w:val="17"/>
                <w:color w:val="auto"/>
              </w:rPr>
            </w:pPr>
          </w:p>
        </w:tc>
        <w:tc>
          <w:tcPr>
            <w:tcW w:w="1540" w:type="dxa"/>
            <w:vAlign w:val="bottom"/>
          </w:tcPr>
          <w:p>
            <w:pPr>
              <w:jc w:val="center"/>
              <w:ind w:left="127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Oxley Act of 2002.</w:t>
              </w:r>
            </w:hyperlink>
          </w:p>
        </w:tc>
        <w:tc>
          <w:tcPr>
            <w:tcW w:w="4780" w:type="dxa"/>
            <w:vAlign w:val="bottom"/>
            <w:gridSpan w:val="3"/>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6180" w:type="dxa"/>
            <w:vAlign w:val="bottom"/>
            <w:gridSpan w:val="4"/>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1540" w:type="dxa"/>
            <w:vAlign w:val="bottom"/>
          </w:tcPr>
          <w:p>
            <w:pPr>
              <w:jc w:val="center"/>
              <w:ind w:left="1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embedded within the Inline XBRL document.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618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1540" w:type="dxa"/>
            <w:vAlign w:val="bottom"/>
          </w:tcPr>
          <w:p>
            <w:pPr>
              <w:jc w:val="center"/>
              <w:ind w:left="1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618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540" w:type="dxa"/>
            <w:vAlign w:val="bottom"/>
            <w:vMerge w:val="restart"/>
          </w:tcPr>
          <w:p>
            <w:pPr>
              <w:jc w:val="center"/>
              <w:ind w:left="1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6180" w:type="dxa"/>
            <w:vAlign w:val="bottom"/>
            <w:gridSpan w:val="4"/>
            <w:vMerge w:val="restart"/>
          </w:tcPr>
          <w:p>
            <w:pPr>
              <w:spacing w:after="0"/>
              <w:rPr>
                <w:sz w:val="20"/>
                <w:szCs w:val="20"/>
                <w:color w:val="auto"/>
              </w:rPr>
            </w:pPr>
            <w:r>
              <w:rPr>
                <w:rFonts w:ascii="Arial" w:cs="Arial" w:eastAsia="Arial" w:hAnsi="Arial"/>
                <w:sz w:val="18"/>
                <w:szCs w:val="18"/>
                <w:color w:val="auto"/>
              </w:rPr>
              <w:t>Document</w:t>
            </w: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6180" w:type="dxa"/>
            <w:vAlign w:val="bottom"/>
            <w:gridSpan w:val="4"/>
            <w:vMerge w:val="continue"/>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618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540" w:type="dxa"/>
            <w:vAlign w:val="bottom"/>
          </w:tcPr>
          <w:p>
            <w:pPr>
              <w:jc w:val="center"/>
              <w:ind w:left="1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618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540" w:type="dxa"/>
            <w:vAlign w:val="bottom"/>
          </w:tcPr>
          <w:p>
            <w:pPr>
              <w:jc w:val="center"/>
              <w:ind w:left="1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20" w:right="2700" w:hanging="863"/>
        <w:spacing w:after="0" w:line="277" w:lineRule="auto"/>
        <w:tabs>
          <w:tab w:leader="none" w:pos="900" w:val="left"/>
        </w:tabs>
        <w:rPr>
          <w:sz w:val="20"/>
          <w:szCs w:val="20"/>
          <w:color w:val="auto"/>
        </w:rPr>
      </w:pPr>
      <w:r>
        <w:rPr>
          <w:rFonts w:ascii="Arial" w:cs="Arial" w:eastAsia="Arial" w:hAnsi="Arial"/>
          <w:sz w:val="18"/>
          <w:szCs w:val="18"/>
          <w:color w:val="auto"/>
        </w:rPr>
        <w:t>101.PRE</w:t>
        <w:tab/>
        <w:t>Inline XBRL Taxonomy Extension Presentation Linkbase Document</w:t>
      </w:r>
    </w:p>
    <w:p>
      <w:pPr>
        <w:spacing w:after="0" w:line="170" w:lineRule="exact"/>
        <w:rPr>
          <w:sz w:val="20"/>
          <w:szCs w:val="20"/>
          <w:color w:val="auto"/>
        </w:rPr>
      </w:pPr>
    </w:p>
    <w:p>
      <w:pPr>
        <w:ind w:left="920" w:right="2220" w:hanging="870"/>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9"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5" w:lineRule="exact"/>
        <w:rPr>
          <w:rFonts w:ascii="Arial" w:cs="Arial" w:eastAsia="Arial" w:hAnsi="Arial"/>
          <w:sz w:val="18"/>
          <w:szCs w:val="18"/>
          <w:color w:val="auto"/>
        </w:rPr>
      </w:pPr>
    </w:p>
    <w:p>
      <w:pPr>
        <w:ind w:left="920" w:hanging="222"/>
        <w:spacing w:after="0"/>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-438785</wp:posOffset>
            </wp:positionV>
            <wp:extent cx="14141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7780" w:space="720"/>
            <w:col w:w="5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60" w:type="dxa"/>
            <w:vAlign w:val="bottom"/>
          </w:tcPr>
          <w:p>
            <w:pPr>
              <w:ind w:left="940"/>
              <w:spacing w:after="0"/>
              <w:rPr>
                <w:sz w:val="20"/>
                <w:szCs w:val="20"/>
                <w:color w:val="auto"/>
              </w:rPr>
            </w:pPr>
            <w:r>
              <w:rPr>
                <w:rFonts w:ascii="Arial" w:cs="Arial" w:eastAsia="Arial" w:hAnsi="Arial"/>
                <w:sz w:val="18"/>
                <w:szCs w:val="18"/>
                <w:color w:val="auto"/>
              </w:rPr>
              <w:t>AZIYO BIOLOGICS, INC.</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August 10, 2021</w:t>
            </w:r>
          </w:p>
        </w:tc>
        <w:tc>
          <w:tcPr>
            <w:tcW w:w="1680" w:type="dxa"/>
            <w:vAlign w:val="bottom"/>
          </w:tcPr>
          <w:p>
            <w:pPr>
              <w:ind w:left="1400"/>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Ronald Lloyd</w:t>
            </w:r>
          </w:p>
        </w:tc>
      </w:tr>
      <w:tr>
        <w:trPr>
          <w:trHeight w:val="195"/>
        </w:trPr>
        <w:tc>
          <w:tcPr>
            <w:tcW w:w="3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160" w:type="dxa"/>
            <w:vAlign w:val="bottom"/>
          </w:tcPr>
          <w:p>
            <w:pPr>
              <w:ind w:left="320"/>
              <w:spacing w:after="0" w:line="195" w:lineRule="exact"/>
              <w:rPr>
                <w:sz w:val="20"/>
                <w:szCs w:val="20"/>
                <w:color w:val="auto"/>
              </w:rPr>
            </w:pPr>
            <w:r>
              <w:rPr>
                <w:rFonts w:ascii="Arial" w:cs="Arial" w:eastAsia="Arial" w:hAnsi="Arial"/>
                <w:sz w:val="18"/>
                <w:szCs w:val="18"/>
                <w:color w:val="auto"/>
              </w:rPr>
              <w:t>Ronald Lloyd</w:t>
            </w:r>
          </w:p>
        </w:tc>
      </w:tr>
      <w:tr>
        <w:trPr>
          <w:trHeight w:val="216"/>
        </w:trPr>
        <w:tc>
          <w:tcPr>
            <w:tcW w:w="3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August 10, 2021</w:t>
            </w:r>
          </w:p>
        </w:tc>
        <w:tc>
          <w:tcPr>
            <w:tcW w:w="1680" w:type="dxa"/>
            <w:vAlign w:val="bottom"/>
          </w:tcPr>
          <w:p>
            <w:pPr>
              <w:ind w:left="1400"/>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Matthew Ferguson</w:t>
            </w:r>
          </w:p>
        </w:tc>
      </w:tr>
      <w:tr>
        <w:trPr>
          <w:trHeight w:val="195"/>
        </w:trPr>
        <w:tc>
          <w:tcPr>
            <w:tcW w:w="3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160" w:type="dxa"/>
            <w:vAlign w:val="bottom"/>
          </w:tcPr>
          <w:p>
            <w:pPr>
              <w:ind w:left="320"/>
              <w:spacing w:after="0" w:line="195" w:lineRule="exact"/>
              <w:rPr>
                <w:sz w:val="20"/>
                <w:szCs w:val="20"/>
                <w:color w:val="auto"/>
              </w:rPr>
            </w:pPr>
            <w:r>
              <w:rPr>
                <w:rFonts w:ascii="Arial" w:cs="Arial" w:eastAsia="Arial" w:hAnsi="Arial"/>
                <w:sz w:val="18"/>
                <w:szCs w:val="18"/>
                <w:color w:val="auto"/>
              </w:rPr>
              <w:t>Matthew Ferguson</w:t>
            </w:r>
          </w:p>
        </w:tc>
      </w:tr>
      <w:tr>
        <w:trPr>
          <w:trHeight w:val="216"/>
        </w:trPr>
        <w:tc>
          <w:tcPr>
            <w:tcW w:w="3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16"/>
        </w:trPr>
        <w:tc>
          <w:tcPr>
            <w:tcW w:w="3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w w:val="96"/>
              </w:rPr>
              <w:t>(principal financial officer and principal accounting</w:t>
            </w:r>
          </w:p>
        </w:tc>
      </w:tr>
      <w:tr>
        <w:trPr>
          <w:trHeight w:val="230"/>
        </w:trPr>
        <w:tc>
          <w:tcPr>
            <w:tcW w:w="3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Lloyd,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June 30, 2021 of Aziyo Biologics, Inc.;</w:t>
      </w:r>
    </w:p>
    <w:p>
      <w:pPr>
        <w:spacing w:after="0" w:line="26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10, 2021</w:t>
            </w:r>
          </w:p>
        </w:tc>
        <w:tc>
          <w:tcPr>
            <w:tcW w:w="1980" w:type="dxa"/>
            <w:vAlign w:val="bottom"/>
          </w:tcPr>
          <w:p>
            <w:pPr>
              <w:ind w:left="16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Ronald Lloyd</w:t>
            </w:r>
          </w:p>
        </w:tc>
      </w:tr>
      <w:tr>
        <w:trPr>
          <w:trHeight w:val="195"/>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5"/>
              </w:rPr>
              <w:t>Ronald Lloyd</w:t>
            </w:r>
          </w:p>
        </w:tc>
      </w:tr>
      <w:tr>
        <w:trPr>
          <w:trHeight w:val="216"/>
        </w:trPr>
        <w:tc>
          <w:tcPr>
            <w:tcW w:w="3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776"/>
        </w:trPr>
        <w:tc>
          <w:tcPr>
            <w:tcW w:w="3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Ferguson,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June 30, 2021 of Aziyo Biologics, Inc.;</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10, 2021</w:t>
            </w:r>
          </w:p>
        </w:tc>
        <w:tc>
          <w:tcPr>
            <w:tcW w:w="1980" w:type="dxa"/>
            <w:vAlign w:val="bottom"/>
          </w:tcPr>
          <w:p>
            <w:pPr>
              <w:ind w:left="16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Matthew Ferguson</w:t>
            </w:r>
          </w:p>
        </w:tc>
      </w:tr>
      <w:tr>
        <w:trPr>
          <w:trHeight w:val="195"/>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Ferguson</w:t>
            </w:r>
          </w:p>
        </w:tc>
      </w:tr>
      <w:tr>
        <w:trPr>
          <w:trHeight w:val="216"/>
        </w:trPr>
        <w:tc>
          <w:tcPr>
            <w:tcW w:w="3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76"/>
        </w:trPr>
        <w:tc>
          <w:tcPr>
            <w:tcW w:w="3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connection with the Quarterly Report of Aziyo Biologics, Inc. (the “Company”) on Form 10-Q for the quarterly period ended June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80" w:hanging="648"/>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10, 2021</w:t>
            </w:r>
          </w:p>
        </w:tc>
        <w:tc>
          <w:tcPr>
            <w:tcW w:w="1980" w:type="dxa"/>
            <w:vAlign w:val="bottom"/>
          </w:tcPr>
          <w:p>
            <w:pPr>
              <w:ind w:left="16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Ronald Lloyd</w:t>
            </w:r>
          </w:p>
        </w:tc>
      </w:tr>
      <w:tr>
        <w:trPr>
          <w:trHeight w:val="195"/>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5"/>
              </w:rPr>
              <w:t>Ronald Lloyd</w:t>
            </w:r>
          </w:p>
        </w:tc>
      </w:tr>
      <w:tr>
        <w:trPr>
          <w:trHeight w:val="216"/>
        </w:trPr>
        <w:tc>
          <w:tcPr>
            <w:tcW w:w="3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connection with the Quarterly Report of Aziyo Biologics, Inc. (the “Company”) on Form 10-Q for the quarterly period ended June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8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10, 2021</w:t>
            </w:r>
          </w:p>
        </w:tc>
        <w:tc>
          <w:tcPr>
            <w:tcW w:w="1980" w:type="dxa"/>
            <w:vAlign w:val="bottom"/>
          </w:tcPr>
          <w:p>
            <w:pPr>
              <w:ind w:left="16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Matthew Ferguson</w:t>
            </w:r>
          </w:p>
        </w:tc>
      </w:tr>
      <w:tr>
        <w:trPr>
          <w:trHeight w:val="195"/>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Ferguson</w:t>
            </w:r>
          </w:p>
        </w:tc>
      </w:tr>
      <w:tr>
        <w:trPr>
          <w:trHeight w:val="216"/>
        </w:trPr>
        <w:tc>
          <w:tcPr>
            <w:tcW w:w="3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lvl w:ilvl="1">
      <w:lvlJc w:val="left"/>
      <w:lvlText w:val="●"/>
      <w:numFmt w:val="bullet"/>
      <w:start w:val="1"/>
    </w:lvl>
  </w:abstractNum>
  <w:abstractNum w:abstractNumId="4">
    <w:nsid w:val="1BEFD79F"/>
    <w:multiLevelType w:val="hybridMultilevel"/>
    <w:lvl w:ilvl="0">
      <w:lvlJc w:val="left"/>
      <w:lvlText w:val="(%1)"/>
      <w:numFmt w:val="lowerRoman"/>
      <w:start w:val="2"/>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04"/>
    </w:lvl>
    <w:lvl w:ilvl="1">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76" Type="http://schemas.openxmlformats.org/officeDocument/2006/relationships/hyperlink" Target="https://www.sec.gov/Archives/edgar/data/1708527/000110465920114535/tm2023171d18_ex3-1.htm" TargetMode="External"/><Relationship Id="rId77" Type="http://schemas.openxmlformats.org/officeDocument/2006/relationships/hyperlink" Target="https://www.sec.gov/Archives/edgar/data/1708527/000110465920114535/tm2023171d18_8k.htm" TargetMode="External"/><Relationship Id="rId78" Type="http://schemas.openxmlformats.org/officeDocument/2006/relationships/hyperlink" Target="https://www.sec.gov/Archives/edgar/data/1708527/000110465920104884/tm2023171d8_ex4-1.htm" TargetMode="External"/><Relationship Id="rId79" Type="http://schemas.openxmlformats.org/officeDocument/2006/relationships/hyperlink" Target="https://www.sec.gov/Archives/edgar/data/1708527/000110465920104884/tm2023171d8_ex4-2.htm" TargetMode="External"/><Relationship Id="rId80" Type="http://schemas.openxmlformats.org/officeDocument/2006/relationships/hyperlink" Target="https://www.sec.gov/Archives/edgar/data/1708527/000110465920110107/tm2023171d11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2021-08-10T16:21:19Z</dcterms:created>
  <dcterms:modified xsi:type="dcterms:W3CDTF">2021-08-10T16:21:19Z</dcterms:modified>
</cp:coreProperties>
</file>