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69850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5"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3490" w:right="1680" w:hanging="3490"/>
        <w:spacing w:after="0" w:line="269" w:lineRule="auto"/>
        <w:tabs>
          <w:tab w:leader="none" w:pos="33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010" w:type="dxa"/>
        <w:tblCellMar>
          <w:top w:w="0" w:type="dxa"/>
          <w:left w:w="0" w:type="dxa"/>
          <w:bottom w:w="0" w:type="dxa"/>
          <w:right w:w="0" w:type="dxa"/>
        </w:tblCellMar>
      </w:tblPr>
      <w:tr>
        <w:trPr>
          <w:trHeight w:val="210"/>
        </w:trPr>
        <w:tc>
          <w:tcPr>
            <w:tcW w:w="5380" w:type="dxa"/>
            <w:vAlign w:val="bottom"/>
            <w:gridSpan w:val="2"/>
          </w:tcPr>
          <w:p>
            <w:pPr>
              <w:ind w:left="2660"/>
              <w:spacing w:after="0"/>
              <w:rPr>
                <w:sz w:val="20"/>
                <w:szCs w:val="20"/>
                <w:color w:val="auto"/>
              </w:rPr>
            </w:pPr>
            <w:r>
              <w:rPr>
                <w:rFonts w:ascii="Arial" w:cs="Arial" w:eastAsia="Arial" w:hAnsi="Arial"/>
                <w:sz w:val="16"/>
                <w:szCs w:val="16"/>
                <w:b w:val="1"/>
                <w:bCs w:val="1"/>
                <w:color w:val="auto"/>
              </w:rPr>
              <w:t>For the transition period from</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500" w:type="dxa"/>
            <w:vAlign w:val="bottom"/>
          </w:tcPr>
          <w:p>
            <w:pPr>
              <w:spacing w:after="0"/>
              <w:rPr>
                <w:sz w:val="24"/>
                <w:szCs w:val="24"/>
                <w:color w:val="auto"/>
              </w:rPr>
            </w:pPr>
          </w:p>
        </w:tc>
      </w:tr>
      <w:tr>
        <w:trPr>
          <w:trHeight w:val="128"/>
        </w:trPr>
        <w:tc>
          <w:tcPr>
            <w:tcW w:w="28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r>
      <w:tr>
        <w:trPr>
          <w:trHeight w:val="376"/>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88"/>
              </w:rPr>
              <w:t>Aziyo Biologics, Inc.</w:t>
            </w:r>
          </w:p>
        </w:tc>
        <w:tc>
          <w:tcPr>
            <w:tcW w:w="2500" w:type="dxa"/>
            <w:vAlign w:val="bottom"/>
          </w:tcPr>
          <w:p>
            <w:pPr>
              <w:spacing w:after="0"/>
              <w:rPr>
                <w:sz w:val="24"/>
                <w:szCs w:val="24"/>
                <w:color w:val="auto"/>
              </w:rPr>
            </w:pPr>
          </w:p>
        </w:tc>
      </w:tr>
      <w:tr>
        <w:trPr>
          <w:trHeight w:val="219"/>
        </w:trPr>
        <w:tc>
          <w:tcPr>
            <w:tcW w:w="788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67"/>
        </w:trPr>
        <w:tc>
          <w:tcPr>
            <w:tcW w:w="28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r>
      <w:tr>
        <w:trPr>
          <w:trHeight w:val="382"/>
        </w:trPr>
        <w:tc>
          <w:tcPr>
            <w:tcW w:w="5380" w:type="dxa"/>
            <w:vAlign w:val="bottom"/>
            <w:gridSpan w:val="2"/>
          </w:tcPr>
          <w:p>
            <w:pPr>
              <w:jc w:val="center"/>
              <w:ind w:right="2268"/>
              <w:spacing w:after="0"/>
              <w:rPr>
                <w:sz w:val="20"/>
                <w:szCs w:val="20"/>
                <w:color w:val="auto"/>
              </w:rPr>
            </w:pPr>
            <w:r>
              <w:rPr>
                <w:rFonts w:ascii="Arial" w:cs="Arial" w:eastAsia="Arial" w:hAnsi="Arial"/>
                <w:sz w:val="16"/>
                <w:szCs w:val="16"/>
                <w:b w:val="1"/>
                <w:bCs w:val="1"/>
                <w:color w:val="auto"/>
                <w:w w:val="91"/>
              </w:rPr>
              <w:t>Delaware</w:t>
            </w:r>
          </w:p>
        </w:tc>
        <w:tc>
          <w:tcPr>
            <w:tcW w:w="2500" w:type="dxa"/>
            <w:vAlign w:val="bottom"/>
          </w:tcPr>
          <w:p>
            <w:pPr>
              <w:jc w:val="right"/>
              <w:ind w:right="699"/>
              <w:spacing w:after="0"/>
              <w:rPr>
                <w:sz w:val="20"/>
                <w:szCs w:val="20"/>
                <w:color w:val="auto"/>
              </w:rPr>
            </w:pPr>
            <w:r>
              <w:rPr>
                <w:rFonts w:ascii="Arial" w:cs="Arial" w:eastAsia="Arial" w:hAnsi="Arial"/>
                <w:sz w:val="16"/>
                <w:szCs w:val="16"/>
                <w:b w:val="1"/>
                <w:bCs w:val="1"/>
                <w:color w:val="auto"/>
              </w:rPr>
              <w:t>47-4790334</w:t>
            </w:r>
          </w:p>
        </w:tc>
      </w:tr>
      <w:tr>
        <w:trPr>
          <w:trHeight w:val="203"/>
        </w:trPr>
        <w:tc>
          <w:tcPr>
            <w:tcW w:w="5380" w:type="dxa"/>
            <w:vAlign w:val="bottom"/>
            <w:gridSpan w:val="2"/>
          </w:tcPr>
          <w:p>
            <w:pPr>
              <w:jc w:val="center"/>
              <w:ind w:right="2308"/>
              <w:spacing w:after="0"/>
              <w:rPr>
                <w:sz w:val="20"/>
                <w:szCs w:val="20"/>
                <w:color w:val="auto"/>
              </w:rPr>
            </w:pPr>
            <w:r>
              <w:rPr>
                <w:rFonts w:ascii="Arial" w:cs="Arial" w:eastAsia="Arial" w:hAnsi="Arial"/>
                <w:sz w:val="16"/>
                <w:szCs w:val="16"/>
                <w:color w:val="auto"/>
                <w:w w:val="93"/>
              </w:rPr>
              <w:t>(State or other jurisdiction of incorporation or</w:t>
            </w:r>
          </w:p>
        </w:tc>
        <w:tc>
          <w:tcPr>
            <w:tcW w:w="2500" w:type="dxa"/>
            <w:vAlign w:val="bottom"/>
          </w:tcPr>
          <w:p>
            <w:pPr>
              <w:jc w:val="center"/>
              <w:ind w:left="7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380" w:type="dxa"/>
            <w:vAlign w:val="bottom"/>
            <w:gridSpan w:val="2"/>
          </w:tcPr>
          <w:p>
            <w:pPr>
              <w:jc w:val="center"/>
              <w:ind w:right="2288"/>
              <w:spacing w:after="0"/>
              <w:rPr>
                <w:sz w:val="20"/>
                <w:szCs w:val="20"/>
                <w:color w:val="auto"/>
              </w:rPr>
            </w:pPr>
            <w:r>
              <w:rPr>
                <w:rFonts w:ascii="Arial" w:cs="Arial" w:eastAsia="Arial" w:hAnsi="Arial"/>
                <w:sz w:val="16"/>
                <w:szCs w:val="16"/>
                <w:color w:val="auto"/>
                <w:w w:val="92"/>
              </w:rPr>
              <w:t>organization)</w:t>
            </w:r>
          </w:p>
        </w:tc>
        <w:tc>
          <w:tcPr>
            <w:tcW w:w="2500" w:type="dxa"/>
            <w:vAlign w:val="bottom"/>
          </w:tcPr>
          <w:p>
            <w:pPr>
              <w:spacing w:after="0"/>
              <w:rPr>
                <w:sz w:val="17"/>
                <w:szCs w:val="17"/>
                <w:color w:val="auto"/>
              </w:rPr>
            </w:pPr>
          </w:p>
        </w:tc>
      </w:tr>
    </w:tbl>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2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AZYO</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r>
        <w:trPr>
          <w:trHeight w:val="206"/>
        </w:trPr>
        <w:tc>
          <w:tcPr>
            <w:tcW w:w="348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6"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750" w:type="dxa"/>
        <w:tblCellMar>
          <w:top w:w="0" w:type="dxa"/>
          <w:left w:w="0" w:type="dxa"/>
          <w:bottom w:w="0" w:type="dxa"/>
          <w:right w:w="0" w:type="dxa"/>
        </w:tblCellMar>
      </w:tblPr>
      <w:tr>
        <w:trPr>
          <w:trHeight w:val="202"/>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20" w:type="dxa"/>
            <w:vAlign w:val="bottom"/>
          </w:tcPr>
          <w:p>
            <w:pPr>
              <w:ind w:left="1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10" w:right="20" w:firstLine="648"/>
        <w:spacing w:after="0" w:line="293" w:lineRule="auto"/>
        <w:rPr>
          <w:sz w:val="20"/>
          <w:szCs w:val="20"/>
          <w:color w:val="auto"/>
        </w:rPr>
      </w:pPr>
      <w:r>
        <w:rPr>
          <w:rFonts w:ascii="Arial" w:cs="Arial" w:eastAsia="Arial" w:hAnsi="Arial"/>
          <w:sz w:val="16"/>
          <w:szCs w:val="16"/>
          <w:color w:val="auto"/>
        </w:rPr>
        <w:t>As of May 9, 2022, there were 9,306,738 shares of the registrant’s Class A common stock and 4,313,406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501015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results of operations, financial position, projected growth in our net sales, increases in expenses,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lawsuits currently pending related to our recall of a single lot of Fiber Viable Bone Matrix (“FiberCel”) and the potential impact of the pandemic related to COVID-19 and variants thereof, or Russia’s war with Ukraine, on our business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the other important factors identified in Part I, Item 2. “Management’s Discussion and Analysis of Financial Condition and Results of Operations” and Part II, Item 1A. “Risk Factors” in this Quarterly Report, in Part I, Item 1A. “Risk Factors” and Part II, Item 7. “Management’s Discussion and Analysis of Financial Condition and Results of Operations” in our Annual Report on Form 10-K for the fiscal year ended December 31, 2021 (the “Annual Report”) and in our other filings with the Securities and Exchange Commission (the “SEC”), each of which filings are accessible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the Investor Relations page of our website at https://investors.aziyo.com/financials/sec-filings. These risks and uncertainties include, but are not limited to:</w:t>
      </w:r>
    </w:p>
    <w:p>
      <w:pPr>
        <w:spacing w:after="0" w:line="182" w:lineRule="exact"/>
        <w:rPr>
          <w:sz w:val="20"/>
          <w:szCs w:val="20"/>
          <w:color w:val="auto"/>
        </w:rPr>
      </w:pPr>
    </w:p>
    <w:p>
      <w:pPr>
        <w:ind w:left="700" w:right="53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700" w:right="139" w:hanging="32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adverse impacts of the novel strain of coronavirus disease, COVID-19 and variants thereof or any other future pandemic, epidemic or outbreak of an infectious disease in the United States or worldwide;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 or any impacts of Russia’s war with Ukraine;</w:t>
      </w:r>
    </w:p>
    <w:p>
      <w:pPr>
        <w:spacing w:after="0" w:line="183"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jc w:val="both"/>
        <w:ind w:left="700" w:right="9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third-party suppliers;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2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 Item 1A. “Risk Factors” in our Annual Report which can be found at https://investors.aziyo.com/financials/sec-filings.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8"/>
                <w:szCs w:val="18"/>
                <w:color w:val="auto"/>
                <w:w w:val="90"/>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FORWARD-LOOKING STATEMENTS</w:t>
              </w:r>
            </w:hyperlink>
          </w:p>
        </w:tc>
        <w:tc>
          <w:tcPr>
            <w:tcW w:w="4860" w:type="dxa"/>
            <w:vAlign w:val="bottom"/>
            <w:tcBorders>
              <w:bottom w:val="single" w:sz="8" w:color="CCEEFF"/>
            </w:tcBorders>
            <w:gridSpan w:val="12"/>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20" w:type="dxa"/>
            <w:vAlign w:val="bottom"/>
          </w:tcPr>
          <w:p>
            <w:pPr>
              <w:spacing w:after="0"/>
              <w:rPr>
                <w:sz w:val="17"/>
                <w:szCs w:val="17"/>
                <w:color w:val="auto"/>
              </w:rPr>
            </w:pPr>
          </w:p>
        </w:tc>
        <w:tc>
          <w:tcPr>
            <w:tcW w:w="7800" w:type="dxa"/>
            <w:vAlign w:val="bottom"/>
            <w:gridSpan w:val="24"/>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TRADEMARKS, TRADE NAMES AND SERVICE MARKS</w:t>
              </w:r>
            </w:hyperlink>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INDUSTRY AND OTHER DATA</w:t>
              </w:r>
            </w:hyperlink>
          </w:p>
        </w:tc>
        <w:tc>
          <w:tcPr>
            <w:tcW w:w="5300" w:type="dxa"/>
            <w:vAlign w:val="bottom"/>
            <w:tcBorders>
              <w:bottom w:val="single" w:sz="8" w:color="CCEEFF"/>
            </w:tcBorders>
            <w:gridSpan w:val="15"/>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20" w:type="dxa"/>
            <w:vAlign w:val="bottom"/>
          </w:tcPr>
          <w:p>
            <w:pPr>
              <w:spacing w:after="0"/>
              <w:rPr>
                <w:sz w:val="17"/>
                <w:szCs w:val="17"/>
                <w:color w:val="auto"/>
              </w:rPr>
            </w:pPr>
          </w:p>
        </w:tc>
        <w:tc>
          <w:tcPr>
            <w:tcW w:w="7800" w:type="dxa"/>
            <w:vAlign w:val="bottom"/>
            <w:gridSpan w:val="24"/>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PART I – FINANCIAL INFORMATION</w:t>
              </w:r>
            </w:hyperlink>
          </w:p>
        </w:tc>
        <w:tc>
          <w:tcPr>
            <w:tcW w:w="9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240" w:type="dxa"/>
            <w:vAlign w:val="bottom"/>
            <w:gridSpan w:val="2"/>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9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1"/>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w:t>
              </w:r>
            </w:hyperlink>
          </w:p>
        </w:tc>
        <w:tc>
          <w:tcPr>
            <w:tcW w:w="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Stockholders’ Equity (Deficit)</w:t>
              </w:r>
            </w:hyperlink>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7</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1"/>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9</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240" w:type="dxa"/>
            <w:vAlign w:val="bottom"/>
            <w:gridSpan w:val="2"/>
            <w:shd w:val="clear" w:color="auto" w:fill="CCEEFF"/>
          </w:tcPr>
          <w:p>
            <w:pPr>
              <w:spacing w:after="0"/>
              <w:rPr>
                <w:sz w:val="21"/>
                <w:szCs w:val="21"/>
                <w:color w:val="auto"/>
              </w:rPr>
            </w:pPr>
          </w:p>
        </w:tc>
        <w:tc>
          <w:tcPr>
            <w:tcW w:w="7040" w:type="dxa"/>
            <w:vAlign w:val="bottom"/>
            <w:gridSpan w:val="21"/>
            <w:shd w:val="clear" w:color="auto" w:fill="CCEEFF"/>
          </w:tcPr>
          <w:p>
            <w:pPr>
              <w:spacing w:after="0" w:line="20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Management’s Discussion and Analysis of Financial Condition and Results Of Operations</w:t>
              </w:r>
            </w:hyperlink>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24</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240" w:type="dxa"/>
            <w:vAlign w:val="bottom"/>
            <w:tcBorders>
              <w:top w:val="single" w:sz="8" w:color="CCEEFF"/>
            </w:tcBorders>
            <w:gridSpan w:val="2"/>
          </w:tcPr>
          <w:p>
            <w:pPr>
              <w:spacing w:after="0"/>
              <w:rPr>
                <w:sz w:val="17"/>
                <w:szCs w:val="17"/>
                <w:color w:val="auto"/>
              </w:rPr>
            </w:pPr>
          </w:p>
        </w:tc>
        <w:tc>
          <w:tcPr>
            <w:tcW w:w="64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5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jc w:val="center"/>
              <w:ind w:left="430"/>
              <w:spacing w:after="0" w:line="202" w:lineRule="exact"/>
              <w:rPr>
                <w:sz w:val="20"/>
                <w:szCs w:val="20"/>
                <w:color w:val="auto"/>
              </w:rPr>
            </w:pPr>
            <w:r>
              <w:rPr>
                <w:rFonts w:ascii="Arial" w:cs="Arial" w:eastAsia="Arial" w:hAnsi="Arial"/>
                <w:sz w:val="18"/>
                <w:szCs w:val="18"/>
                <w:color w:val="auto"/>
                <w:w w:val="89"/>
              </w:rPr>
              <w:t>36</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Controls and Procedures</w:t>
              </w:r>
            </w:hyperlink>
          </w:p>
        </w:tc>
        <w:tc>
          <w:tcPr>
            <w:tcW w:w="5280" w:type="dxa"/>
            <w:vAlign w:val="bottom"/>
            <w:tcBorders>
              <w:bottom w:val="single" w:sz="8" w:color="CCEEFF"/>
            </w:tcBorders>
            <w:gridSpan w:val="14"/>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37</w:t>
            </w:r>
          </w:p>
        </w:tc>
      </w:tr>
      <w:tr>
        <w:trPr>
          <w:trHeight w:val="203"/>
        </w:trPr>
        <w:tc>
          <w:tcPr>
            <w:tcW w:w="20" w:type="dxa"/>
            <w:vAlign w:val="bottom"/>
          </w:tcPr>
          <w:p>
            <w:pPr>
              <w:spacing w:after="0"/>
              <w:rPr>
                <w:sz w:val="17"/>
                <w:szCs w:val="17"/>
                <w:color w:val="auto"/>
              </w:rPr>
            </w:pPr>
          </w:p>
        </w:tc>
        <w:tc>
          <w:tcPr>
            <w:tcW w:w="7800" w:type="dxa"/>
            <w:vAlign w:val="bottom"/>
            <w:gridSpan w:val="24"/>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9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240" w:type="dxa"/>
            <w:vAlign w:val="bottom"/>
            <w:gridSpan w:val="2"/>
            <w:shd w:val="clear" w:color="auto" w:fill="CCEEFF"/>
          </w:tcPr>
          <w:p>
            <w:pPr>
              <w:spacing w:after="0"/>
              <w:rPr>
                <w:sz w:val="17"/>
                <w:szCs w:val="17"/>
                <w:color w:val="auto"/>
              </w:rPr>
            </w:pPr>
          </w:p>
        </w:tc>
        <w:tc>
          <w:tcPr>
            <w:tcW w:w="7040" w:type="dxa"/>
            <w:vAlign w:val="bottom"/>
            <w:gridSpan w:val="21"/>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37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7040" w:type="dxa"/>
            <w:vAlign w:val="bottom"/>
            <w:gridSpan w:val="21"/>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37</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434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2700" w:type="dxa"/>
            <w:vAlign w:val="bottom"/>
            <w:tcBorders>
              <w:bottom w:val="single" w:sz="8" w:color="CCEEFF"/>
            </w:tcBorders>
            <w:gridSpan w:val="3"/>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38</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7040" w:type="dxa"/>
            <w:vAlign w:val="bottom"/>
            <w:gridSpan w:val="21"/>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38</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Mine Safety Disclosures</w:t>
              </w:r>
            </w:hyperlink>
          </w:p>
        </w:tc>
        <w:tc>
          <w:tcPr>
            <w:tcW w:w="5280" w:type="dxa"/>
            <w:vAlign w:val="bottom"/>
            <w:tcBorders>
              <w:bottom w:val="single" w:sz="8" w:color="CCEEFF"/>
            </w:tcBorders>
            <w:gridSpan w:val="14"/>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38</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7040" w:type="dxa"/>
            <w:vAlign w:val="bottom"/>
            <w:gridSpan w:val="21"/>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38</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6440" w:type="dxa"/>
            <w:vAlign w:val="bottom"/>
            <w:tcBorders>
              <w:bottom w:val="single" w:sz="8" w:color="CCEEFF"/>
            </w:tcBorders>
            <w:gridSpan w:val="19"/>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39</w:t>
            </w:r>
          </w:p>
        </w:tc>
      </w:tr>
      <w:tr>
        <w:trPr>
          <w:trHeight w:val="203"/>
        </w:trPr>
        <w:tc>
          <w:tcPr>
            <w:tcW w:w="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202"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Signatures</w:t>
              </w:r>
            </w:hyperlink>
          </w:p>
        </w:tc>
        <w:tc>
          <w:tcPr>
            <w:tcW w:w="7020" w:type="dxa"/>
            <w:vAlign w:val="bottom"/>
            <w:gridSpan w:val="20"/>
          </w:tcPr>
          <w:p>
            <w:pPr>
              <w:spacing w:after="0"/>
              <w:rPr>
                <w:sz w:val="17"/>
                <w:szCs w:val="17"/>
                <w:color w:val="auto"/>
              </w:rPr>
            </w:pP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ind w:left="2900"/>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9,863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9,554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3,030</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ind w:left="3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41,078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47,428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17,617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18,466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59,926</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198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1,715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1,582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80"/>
              <w:spacing w:after="0" w:line="149" w:lineRule="exact"/>
              <w:rPr>
                <w:sz w:val="20"/>
                <w:szCs w:val="20"/>
                <w:color w:val="auto"/>
              </w:rPr>
            </w:pPr>
            <w:r>
              <w:rPr>
                <w:rFonts w:ascii="Arial" w:cs="Arial" w:eastAsia="Arial" w:hAnsi="Arial"/>
                <w:sz w:val="14"/>
                <w:szCs w:val="14"/>
                <w:color w:val="auto"/>
              </w:rPr>
              <w:t>Payables to tissue suppliers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2,884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2,467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Revolving line of credit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27,318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26,001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Long-term revenue interest obligation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16,520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16,540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53,367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53,649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40" w:type="dxa"/>
            <w:vAlign w:val="bottom"/>
          </w:tcPr>
          <w:p>
            <w:pPr>
              <w:ind w:left="80"/>
              <w:spacing w:after="0" w:line="130" w:lineRule="exact"/>
              <w:rPr>
                <w:sz w:val="20"/>
                <w:szCs w:val="20"/>
                <w:color w:val="auto"/>
              </w:rPr>
            </w:pPr>
            <w:r>
              <w:rPr>
                <w:rFonts w:ascii="Arial" w:cs="Arial" w:eastAsia="Arial" w:hAnsi="Arial"/>
                <w:sz w:val="14"/>
                <w:szCs w:val="14"/>
                <w:color w:val="auto"/>
                <w:w w:val="98"/>
              </w:rPr>
              <w:t>Class A Common stock, $0.001 par value, 200,000,000 shares authorized as of March 31, 2022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ind w:left="80"/>
              <w:spacing w:after="0" w:line="149" w:lineRule="exact"/>
              <w:rPr>
                <w:sz w:val="20"/>
                <w:szCs w:val="20"/>
                <w:color w:val="auto"/>
              </w:rPr>
            </w:pPr>
            <w:r>
              <w:rPr>
                <w:rFonts w:ascii="Arial" w:cs="Arial" w:eastAsia="Arial" w:hAnsi="Arial"/>
                <w:sz w:val="14"/>
                <w:szCs w:val="14"/>
                <w:color w:val="auto"/>
                <w:w w:val="94"/>
              </w:rPr>
              <w:t>December 31, 2021, and 9,306,738 and 9,245,146 shares issued and outstanding, as of March 31, 2022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40" w:type="dxa"/>
            <w:vAlign w:val="bottom"/>
          </w:tcPr>
          <w:p>
            <w:pPr>
              <w:ind w:left="80"/>
              <w:spacing w:after="0"/>
              <w:rPr>
                <w:sz w:val="20"/>
                <w:szCs w:val="20"/>
                <w:color w:val="auto"/>
              </w:rPr>
            </w:pPr>
            <w:r>
              <w:rPr>
                <w:rFonts w:ascii="Arial" w:cs="Arial" w:eastAsia="Arial" w:hAnsi="Arial"/>
                <w:sz w:val="14"/>
                <w:szCs w:val="14"/>
                <w:color w:val="auto"/>
              </w:rPr>
              <w:t>and December 31, 2021,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4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Class B Common stock, $0.001 par value, 20,000,000 shares authorized, as of March 31, 2022 and</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December 31, 2021 and 4,313,406 issued and outstanding as of March 31, 2022 and December 31, 2021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119,786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118,599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(113,240)</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(105,091)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6,559</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59,926</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-1765300</wp:posOffset>
            </wp:positionV>
            <wp:extent cx="3960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0495"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-2931160</wp:posOffset>
            </wp:positionV>
            <wp:extent cx="3960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 Months Ended</w:t>
      </w:r>
    </w:p>
    <w:p>
      <w:pPr>
        <w:ind w:left="73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8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5B6F80"/>
            </w:tcBorders>
          </w:tcPr>
          <w:p>
            <w:pPr>
              <w:spacing w:after="0"/>
              <w:rPr>
                <w:sz w:val="18"/>
                <w:szCs w:val="18"/>
                <w:color w:val="auto"/>
              </w:rPr>
            </w:pPr>
          </w:p>
        </w:tc>
        <w:tc>
          <w:tcPr>
            <w:tcW w:w="9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7,214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9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6,555</w:t>
            </w:r>
          </w:p>
        </w:tc>
        <w:tc>
          <w:tcPr>
            <w:tcW w:w="180" w:type="dxa"/>
            <w:vAlign w:val="bottom"/>
            <w:tcBorders>
              <w:bottom w:val="single" w:sz="8" w:color="CCEEFF"/>
            </w:tcBorders>
          </w:tcPr>
          <w:p>
            <w:pPr>
              <w:spacing w:after="0"/>
              <w:rPr>
                <w:sz w:val="18"/>
                <w:szCs w:val="18"/>
                <w:color w:val="auto"/>
              </w:rPr>
            </w:pPr>
          </w:p>
        </w:tc>
      </w:tr>
      <w:tr>
        <w:trPr>
          <w:trHeight w:val="20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80" w:type="dxa"/>
            <w:vAlign w:val="bottom"/>
            <w:shd w:val="clear" w:color="auto" w:fill="CCEEFF"/>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4,703</w:t>
            </w:r>
          </w:p>
        </w:tc>
        <w:tc>
          <w:tcPr>
            <w:tcW w:w="18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8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80" w:type="dxa"/>
            <w:vAlign w:val="bottom"/>
            <w:tcBorders>
              <w:bottom w:val="single" w:sz="8" w:color="CCEEFF"/>
            </w:tcBorders>
          </w:tcPr>
          <w:p>
            <w:pPr>
              <w:spacing w:after="0"/>
              <w:rPr>
                <w:sz w:val="18"/>
                <w:szCs w:val="18"/>
                <w:color w:val="auto"/>
              </w:rPr>
            </w:pPr>
          </w:p>
        </w:tc>
      </w:tr>
      <w:tr>
        <w:trPr>
          <w:trHeight w:val="209"/>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80" w:type="dxa"/>
            <w:vAlign w:val="bottom"/>
            <w:shd w:val="clear" w:color="auto" w:fill="CCEEFF"/>
          </w:tcPr>
          <w:p>
            <w:pPr>
              <w:spacing w:after="0"/>
              <w:rPr>
                <w:sz w:val="18"/>
                <w:szCs w:val="18"/>
                <w:color w:val="auto"/>
              </w:rPr>
            </w:pPr>
          </w:p>
        </w:tc>
      </w:tr>
      <w:tr>
        <w:trPr>
          <w:trHeight w:val="210"/>
        </w:trPr>
        <w:tc>
          <w:tcPr>
            <w:tcW w:w="652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(3,699)</w:t>
            </w:r>
          </w:p>
        </w:tc>
        <w:tc>
          <w:tcPr>
            <w:tcW w:w="18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(5,054)</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r>
      <w:tr>
        <w:trPr>
          <w:trHeight w:val="25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(5,067)</w:t>
            </w:r>
          </w:p>
        </w:tc>
        <w:tc>
          <w:tcPr>
            <w:tcW w:w="180" w:type="dxa"/>
            <w:vAlign w:val="bottom"/>
            <w:tcBorders>
              <w:bottom w:val="single" w:sz="8" w:color="CCEEFF"/>
            </w:tcBorders>
          </w:tcPr>
          <w:p>
            <w:pPr>
              <w:spacing w:after="0"/>
              <w:rPr>
                <w:sz w:val="21"/>
                <w:szCs w:val="21"/>
                <w:color w:val="auto"/>
              </w:rPr>
            </w:pPr>
          </w:p>
        </w:tc>
      </w:tr>
      <w:tr>
        <w:trPr>
          <w:trHeight w:val="196"/>
        </w:trPr>
        <w:tc>
          <w:tcPr>
            <w:tcW w:w="6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(0.60)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(0.50)</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13,574,058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10,226,152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80" w:type="dxa"/>
            <w:vAlign w:val="bottom"/>
            <w:gridSpan w:val="3"/>
          </w:tcPr>
          <w:p>
            <w:pPr>
              <w:jc w:val="center"/>
              <w:ind w:left="466"/>
              <w:spacing w:after="0"/>
              <w:rPr>
                <w:sz w:val="20"/>
                <w:szCs w:val="20"/>
                <w:color w:val="auto"/>
              </w:rPr>
            </w:pPr>
            <w:r>
              <w:rPr>
                <w:rFonts w:ascii="Arial" w:cs="Arial" w:eastAsia="Arial" w:hAnsi="Arial"/>
                <w:sz w:val="11"/>
                <w:szCs w:val="11"/>
                <w:b w:val="1"/>
                <w:bCs w:val="1"/>
                <w:color w:val="auto"/>
                <w:w w:val="84"/>
              </w:rPr>
              <w:t>Class A</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6"/>
              </w:rPr>
              <w:t>Common Stock</w:t>
            </w:r>
          </w:p>
        </w:tc>
        <w:tc>
          <w:tcPr>
            <w:tcW w:w="1580" w:type="dxa"/>
            <w:vAlign w:val="bottom"/>
            <w:gridSpan w:val="4"/>
          </w:tcPr>
          <w:p>
            <w:pPr>
              <w:jc w:val="right"/>
              <w:ind w:right="38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2"/>
              </w:rPr>
              <w:t>Additional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9,245,146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118,599</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(105,091)</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Additional issuance costs in connection with Private Placement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(110)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42,345</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192</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19,247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1,105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(8,149)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(8,149)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2022</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9,306,738</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119,786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(113,240)</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December 31, 2020</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7,091,960</w:t>
            </w:r>
          </w:p>
        </w:tc>
        <w:tc>
          <w:tcPr>
            <w:tcW w:w="260" w:type="dxa"/>
            <w:vAlign w:val="bottom"/>
            <w:gridSpan w:val="2"/>
            <w:shd w:val="clear" w:color="auto" w:fill="CCEEFF"/>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rPr>
              <w:t>7</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rPr>
              <w:t>3,134,162</w:t>
            </w:r>
          </w:p>
        </w:tc>
        <w:tc>
          <w:tcPr>
            <w:tcW w:w="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w:t>
            </w:r>
          </w:p>
        </w:tc>
        <w:tc>
          <w:tcPr>
            <w:tcW w:w="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rPr>
              <w:t>101,080</w:t>
            </w: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(80,259)</w:t>
            </w: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20,831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561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677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(5,067)</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(5,067)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2021</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7,092,521</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3,134,162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101,760</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(85,326)</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60"/>
          </w:cols>
          <w:pgMar w:left="1220" w:top="517" w:right="111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(8,149)</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Interest expense recorded as additional revenue interest obligation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Obligations to tissue suppliers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Additional issuance costs in connection with Private Placement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Proceeds from stock option exercises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Repayments of long-term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Proceeds from sales of common stock through Employee Stock Purchase Plan</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22,175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Cash Flow and Non-Cash Financing Activities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280" w:right="119" w:hanging="1226"/>
        <w:spacing w:after="0" w:line="511" w:lineRule="auto"/>
        <w:rPr>
          <w:sz w:val="20"/>
          <w:szCs w:val="20"/>
          <w:color w:val="auto"/>
        </w:rPr>
      </w:pPr>
      <w:r>
        <w:rPr>
          <w:rFonts w:ascii="Arial" w:cs="Arial" w:eastAsia="Arial" w:hAnsi="Arial"/>
          <w:sz w:val="18"/>
          <w:szCs w:val="18"/>
          <w:color w:val="auto"/>
        </w:rPr>
        <w:t>Cash paid for interest</w:t>
      </w:r>
      <w:r>
        <w:rPr>
          <w:sz w:val="20"/>
          <w:szCs w:val="20"/>
          <w:color w:val="auto"/>
        </w:rPr>
        <w:t xml:space="preserve"> </w:t>
      </w:r>
      <w:r>
        <w:rPr>
          <w:rFonts w:ascii="Arial" w:cs="Arial" w:eastAsia="Arial" w:hAnsi="Arial"/>
          <w:sz w:val="18"/>
          <w:szCs w:val="18"/>
          <w:color w:val="auto"/>
        </w:rPr>
        <w:t>$ 1,162 $ 1,243 The accompanying notes are an integral part of these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spans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2021. The financial information as of March 31, 2022 and for the three months ended March 31, 2022 and 2021 is unaudited, but in the opinion of management, all adjustments considered necessary for a fair statement of the results for these interim periods have been included. The condensed consolidated balance sheet data as of December 31, 2021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8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Ability to Continue as a Going Concern (Subtopic 205-40)</w:t>
      </w:r>
      <w:r>
        <w:rPr>
          <w:rFonts w:ascii="Arial" w:cs="Arial" w:eastAsia="Arial" w:hAnsi="Arial"/>
          <w:sz w:val="17"/>
          <w:szCs w:val="17"/>
          <w:color w:val="auto"/>
        </w:rPr>
        <w:t>, the Company has evaluated whether there are conditions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considered in the aggregate, that raise substantial doubt about the Company’s ability to continue as a going concern within one year after the date that the consolidated financial statements are issued. For the three months ended March 31, 2022, the Company incurred a net loss of $8.1 million, and as of March 31, 2022, the Company had an accumulated deficit of $113.2 million. In addition, during the three months ended March 31, 2022, the Company used $7.4 million and $0.9 million of cash in operating and financing activities, respectively, and expects to continue to incur cash outflows for the remainder of the year.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spacing w:after="0" w:line="18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the Company may seek to raise capital through the issuance of common stock, either refinance or restructure its Term Loan Facility and Revolving Credit Facility (as such terms are defined, and further described, in Note 6), restructure its Revenue Interest Obligation (as such term is defined, and further described, in Note 7), or pursue asset sale transactions. However, such transactions may not be successful and the Company may not be able to raise additional equity, refinance or restructure its debt instruments, or sell assets on acceptable terms, or at all. As such, based on its current operating plans, the Company believes there is uncertainty as to whether its future cash flows along with its existing cash, availability under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Revolving Credit Facility and cash generated from expected future sales will be sufficient to meet the Company’s anticipated operating needs through twelve months from the financial statement issuance date. Due to these factors, there is substantial doubt about the Company’s ability to continue as a going concern within one year after the issuance of the financial statements.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condensed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inventory, receivables, long-lived assets, the valuation of stock-based awards, the valuation of the revenue interest obligation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continues to closely monitor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intermittently been postponed or cancelled, which has negatively impacted sales of its products. These measures and challenges will likely continue for the duration of the pandemic, which is uncertain, and may reduce the Company's net sales in the future and negatively impact its business, financial condition and results of operations while the pandemic continues.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and restricted stock units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58"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12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the Revolving Credit Facility (see Note 6),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condensed consolidated balance sheets. The following table provides a reconciliation of cash and restricted cash included in the condensed consolidated balance sheets to the amounts included in the statements of cash flows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30,410</w:t>
            </w: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30,501</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Inventory, consisting of purchased materials, direct labor and manufacturing overhead, is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that is too near its expiration for the Company to reasonably expect that it can sell those products prior to their expiration, the Company adjusts the carrying value to estimated net realizable value.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months ended March 31, 2022 or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Financial Accounting Standards Board (“FASB”) Accounting Standards Codification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 sales, the Company retains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The Company accounts for its stock-based compensation plans in accordance with FASB ASC 718,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Stock Compensation</w:t>
      </w:r>
      <w:r>
        <w:rPr>
          <w:rFonts w:ascii="Arial" w:cs="Arial" w:eastAsia="Arial" w:hAnsi="Arial"/>
          <w:sz w:val="17"/>
          <w:szCs w:val="17"/>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At March 31, 2022, the Company maintained $22.1 million in bank deposit accounts that are in excess of the $0.25 million insurance provided by the Federal Deposit Insurance Corporation in one federally insured financial institution. The Company has not experienced any losses in such accounts.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sells certain of its products under large contract manufacturing or distribution arrangements. The following table presents percentage of total revenues derived from the Company’s largest customers as well as their respective percentage of total accounts receivable:</w:t>
      </w:r>
    </w:p>
    <w:p>
      <w:pPr>
        <w:spacing w:after="0" w:line="162"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Three Months Ended</w:t>
      </w:r>
    </w:p>
    <w:p>
      <w:pPr>
        <w:ind w:left="67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top w:val="single" w:sz="8" w:color="auto"/>
            </w:tcBorders>
          </w:tcPr>
          <w:p>
            <w:pPr>
              <w:jc w:val="center"/>
              <w:ind w:left="8"/>
              <w:spacing w:after="0" w:line="14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ind w:left="57"/>
              <w:spacing w:after="0" w:line="142"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revenues derived from:</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Medtronic Sofamor Danek USA</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80" w:type="dxa"/>
            <w:vAlign w:val="bottom"/>
            <w:gridSpan w:val="3"/>
          </w:tcPr>
          <w:p>
            <w:pPr>
              <w:jc w:val="center"/>
              <w:ind w:left="57"/>
              <w:spacing w:after="0"/>
              <w:rPr>
                <w:sz w:val="20"/>
                <w:szCs w:val="20"/>
                <w:color w:val="auto"/>
              </w:rPr>
            </w:pPr>
            <w:r>
              <w:rPr>
                <w:rFonts w:ascii="Arial" w:cs="Arial" w:eastAsia="Arial" w:hAnsi="Arial"/>
                <w:sz w:val="18"/>
                <w:szCs w:val="18"/>
                <w:color w:val="auto"/>
                <w:w w:val="94"/>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Surgalign Holdings</w:t>
            </w:r>
          </w:p>
        </w:tc>
        <w:tc>
          <w:tcPr>
            <w:tcW w:w="900" w:type="dxa"/>
            <w:vAlign w:val="bottom"/>
            <w:gridSpan w:val="2"/>
            <w:shd w:val="clear" w:color="auto" w:fill="CCEEFF"/>
          </w:tcPr>
          <w:p>
            <w:pPr>
              <w:jc w:val="center"/>
              <w:ind w:left="257"/>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57"/>
              <w:spacing w:after="0"/>
              <w:rPr>
                <w:sz w:val="20"/>
                <w:szCs w:val="20"/>
                <w:color w:val="auto"/>
              </w:rPr>
            </w:pPr>
            <w:r>
              <w:rPr>
                <w:rFonts w:ascii="Arial" w:cs="Arial" w:eastAsia="Arial" w:hAnsi="Arial"/>
                <w:sz w:val="18"/>
                <w:szCs w:val="18"/>
                <w:color w:val="auto"/>
                <w:w w:val="94"/>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5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accounts receivable derived from:</w:t>
            </w: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Surgalign Holdings</w:t>
            </w: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months ended March 31, 2022 and 2021,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2024. Borrowings under the Company’s term loan facility and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revolving line of credit bear interest based on LIBOR or an alternate rate. Provisions currently provide the Company with the ability to replace LIBOR with a different reference rate in the event that LIBOR ceases to exist.</w:t>
      </w:r>
    </w:p>
    <w:p>
      <w:pPr>
        <w:spacing w:after="0" w:line="14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for periods ending after December 15, 2022. While early adoption is permitted, the Company intends to adopt in the fourth quarter of 2022 for the full 2022 year. The Company is evaluating this standard to determine if adoption will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initial public offering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March 31, 2022, the Company had 481,195 shares of Class A common stock available for issuance under the 2020 Plan.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stock option activity under the Company’s 2015 Plan and 2020 Plan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 is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499,130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(28,850)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12.26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March 31, 2022</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11.04</w:t>
            </w: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477,322</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48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154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of March 31, 2022, there was approximately $7.3 million of total unrecognized compensation expense related to unvested stock options. These costs are expected to be recognized over a weighted-average period of 2.9 years. The weighted average grant date fair value of options granted during the three months ended March 31, 2022 was $3.03.</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the RSU activity under the Company’s 2020 Plan for the three months ended March 31, 2022 is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0" w:type="dxa"/>
            <w:vAlign w:val="bottom"/>
            <w:gridSpan w:val="2"/>
          </w:tcPr>
          <w:p>
            <w:pPr>
              <w:jc w:val="center"/>
              <w:ind w:left="1595"/>
              <w:spacing w:after="0" w:line="149"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RSUs</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2"/>
              </w:rPr>
              <w:t>235,985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ind w:right="1"/>
              <w:spacing w:after="0"/>
              <w:rPr>
                <w:sz w:val="20"/>
                <w:szCs w:val="20"/>
                <w:color w:val="auto"/>
              </w:rPr>
            </w:pPr>
            <w:r>
              <w:rPr>
                <w:rFonts w:ascii="Arial" w:cs="Arial" w:eastAsia="Arial" w:hAnsi="Arial"/>
                <w:sz w:val="18"/>
                <w:szCs w:val="18"/>
                <w:color w:val="auto"/>
              </w:rPr>
              <w:t>356,349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(8,928)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March 31, 2022</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2"/>
              </w:rPr>
              <w:t>564,159</w:t>
            </w:r>
          </w:p>
        </w:tc>
        <w:tc>
          <w:tcPr>
            <w:tcW w:w="2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total fair value of the RSUs granted during the three months ended March 31, 2022 of $1.3 million, of which nearly all was based on the fair market value of the Company's Class A common stock on the date of grant and such fair value at the time of the grant is amortized to expense on a straight-line basis over the vesting period of three to four years. The Company granted RSUs totaling 199,388 during the three months ended March 31, 2022, pursuant to which such RSUs will only vest if or when the Company’s Class A common stock closing price is at or exceeds $10 per share for 30 consecutive days by March 8, 2024, subject to the grantee’s continued employment with the Company. Given the nature of this arrangement, an option pricing model, the Monte Carlo model, was used to determine the fair value of the RSUs granted and an expense recognition on a straight-line basis over two years. As of March 31, 2022, $3.3 million of unrecognized compensation costs related to RSUs is expected to be recognized over a weighted average period of 1.7 years.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March 31, 2022, the total shares of Class A common stock authorized for issuance under the ESPP was 380,997, of which 311,408 remained available for future issuance. During the three months ended March 31, 2022, 42,345 shares of Class A common stock were issued under the ESPP.</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recognized during the three months ended March 31, 2022 and 2021 was comprised of the following (in thousands):</w:t>
      </w:r>
    </w:p>
    <w:p>
      <w:pPr>
        <w:spacing w:after="0" w:line="175"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Three Months Ended</w:t>
      </w:r>
    </w:p>
    <w:p>
      <w:pPr>
        <w:ind w:left="6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ind w:left="100" w:right="79" w:firstLine="603"/>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during the three months ended March 31, 2022 and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9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48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r>
      <w:tr>
        <w:trPr>
          <w:trHeight w:val="216"/>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r>
      <w:tr>
        <w:trPr>
          <w:trHeight w:val="230"/>
        </w:trPr>
        <w:tc>
          <w:tcPr>
            <w:tcW w:w="9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1"/>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Note 5. Inventory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4"/>
        </w:trPr>
        <w:tc>
          <w:tcPr>
            <w:tcW w:w="5780" w:type="dxa"/>
            <w:vAlign w:val="bottom"/>
            <w:gridSpan w:val="2"/>
          </w:tcPr>
          <w:p>
            <w:pPr>
              <w:ind w:left="640"/>
              <w:spacing w:after="0"/>
              <w:rPr>
                <w:sz w:val="20"/>
                <w:szCs w:val="20"/>
                <w:color w:val="auto"/>
              </w:rPr>
            </w:pPr>
            <w:r>
              <w:rPr>
                <w:rFonts w:ascii="Arial" w:cs="Arial" w:eastAsia="Arial" w:hAnsi="Arial"/>
                <w:sz w:val="18"/>
                <w:szCs w:val="18"/>
                <w:color w:val="auto"/>
              </w:rPr>
              <w:t>Inventory was comprised of the following (in thousands):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9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40" w:type="dxa"/>
            <w:vAlign w:val="bottom"/>
            <w:gridSpan w:val="6"/>
          </w:tcPr>
          <w:p>
            <w:pPr>
              <w:ind w:left="36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6,840</w:t>
            </w:r>
          </w:p>
        </w:tc>
        <w:tc>
          <w:tcPr>
            <w:tcW w:w="160" w:type="dxa"/>
            <w:vAlign w:val="bottom"/>
            <w:shd w:val="clear" w:color="auto" w:fill="CCEEFF"/>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9,863</w:t>
            </w: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9,554</w:t>
            </w:r>
          </w:p>
        </w:tc>
        <w:tc>
          <w:tcPr>
            <w:tcW w:w="16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Long-Term Debt</w:t>
      </w:r>
    </w:p>
    <w:p>
      <w:pPr>
        <w:spacing w:after="0" w:line="121"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On May 31, 2017, in connection with the Company’s acquisition of CorMatrix described in Note 7, Aziyo entered into a $12 million term loan facility (the “Term Loan Facility”) and an $8.0 million asset-backed revolving line of credit (the “Revolving Credit Facility”), under which the Company’s borrowing capacity is limited by certain qualifying assets, with a financial institution (the “May 2017 Financing”). As of March 31, 2022 and 2021, the Company’s borrowing capacity under its Revolving Credit Facility was $7.0 million and $8.0 million, respectively. The Term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Term Loan Facility borrowings was 9.5% for both the three months ended March 31, 2022 and 2021. The agreement governing the Term Loan Facility provides for interest only payments through January 2021 and interest and equal monthly principal payments from February 2021 through maturity in July 2024. However, the Term Loan Facility also provides that if certain conditions were satisfied prior to December 1, 2020 (including the completion of a qualified initial public offering and no continuing default or event of default), interest only payments may, upon the Company’s request, be extended to August 1, 2021. Accordingly, based on the Company’s successful completion of its IPO, Aziyo exercised this interest-only period extension right and as such, interest and equal principal payments commenced on August 1, 2021 and will continue through maturity in July 2024.</w:t>
      </w:r>
    </w:p>
    <w:p>
      <w:pPr>
        <w:spacing w:after="0" w:line="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three months ended March 31, 2022 and 2021.</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agreement governing the Term Loan Facility also includes an exit fee of 6.5% of the aggregate principal amount and prepayment penalties which, based on an amendment to the Term Loan Facility executed in January 2022, shall be equal to the amount prepaid multiplied by 3.0% until January 21, 2023 and 2.0% thereafter.</w:t>
      </w:r>
    </w:p>
    <w:p>
      <w:pPr>
        <w:spacing w:after="0" w:line="16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based on an amendment to the Revolving Credit Facility executed in January 2022, prepayment penalties equal to $8.0 million multiplied by 3.0% until January 21, 2023 and 2.0% thereafter. The weighted average interest rate on Revolving Credit Facility borrowings was 7.2% for the three months ended March 31, 2022 and 2021. Both debt instruments contain events of default, including, most significantly, a failure to timely pay interest or principal, insolvency, or an action by the United States Food and Drug Administration or such other material adverse event impacting the operations of Aziyo.</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debt instruments also include a financial covenant based on cumulative minimum net product revenue, as defined, restrictions as to payment of dividends, and are secured by all assets of the Company. As of March 31, 2022, Aziyo was in compliance with this financial covenant.</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2021. The notes are subordinated in payment to the Term Loan Facility and Revolving Credit Facility and in both 2022 and 2021, the Company’s senior lender restricted payment of the amounts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to Tissue Supplier</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09"/>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18,469</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(8,059)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(8,059)</w:t>
            </w:r>
          </w:p>
        </w:tc>
      </w:tr>
      <w:tr>
        <w:trPr>
          <w:trHeight w:val="210"/>
        </w:trPr>
        <w:tc>
          <w:tcPr>
            <w:tcW w:w="6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r>
      <w:tr>
        <w:trPr>
          <w:trHeight w:val="20"/>
        </w:trPr>
        <w:tc>
          <w:tcPr>
            <w:tcW w:w="6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March 31, 2022 and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include antibiotics.</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recorded the present value of the estimated total future payments under the Revenue Interest Obligation as a long-term obligation, with the annual minimum payments serving to establish the short-term portion. 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months ended March 31, 2022 and 2021, and thus, no re-measurement gain or loss was recognized. Interest expense related to the Revenue Interest Obligation of approximately $0.7 million was recorded for both the three months ended March 31, 2022 and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was approximately $0.3 million for both the three months ended March 31, 2022 and 2021, and is included as a component of either cost of goods sold or general and administrative expenses.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months ended March 31, 2022 or 2021.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occurs within Aziyo. The Company, in its sole discretion, can terminate the license agreement at any time.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88"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In June 2021, the Company announced a voluntary recall of a single lot of FiberCel. Between June 21, 2021 and May 9, 2022, forty-seven lawsuits in Indiana, Delaware, Florida, Maryland, Colorado, Michigan, Ohio, Kentucky, Oregon, and North Carolina have been filed against Aziyo Biologics Inc., certain Medtronic entities, and others alleging that the plaintiffs contracted tuberculosis and/or suffered substantial symptoms and complications following the implantation of FiberCel during spinal fusion operations. Twenty lawsuits were filed in Indiana state court, captioned, respectively: (1) John Dukes and Kimberly Smith v. Aziyo Biologics, Inc., et al., Case No. 49D02-2109-CT-032234 (case dismissed without prejudice on 09/16/2021 and re-filed on 09/24/2021); (2) Tamara and Richard Marksberry v. Aziyo Biologics, Inc., et al., Case No. 49D04-2106-CT-021649 (consolidated); (3) Ramon Cabello v. Aziyo Biologics, Inc., et al., Case No. 49D13-2106-CT-021650 (consolidated); (4) Luis Caban v. Aziyo Biologics, Inc., Case No. 49D13-2107-CT-022413 (consolidated); (5) Machell and Samuel Hargrave v. Aziyo Biologics, Inc., et al., Case No. 49D01-2106-CT-021275 (consolidated); (6) Georgia Flinn as Personal Representative of the Estate of Gregory Flinn v. Aziyo Biologics, Inc., et al., Case No. 49D12-2107-CT-024051 (consolidated); (7) Ruth and William Flynn v. v. Aziyo Biologics, Inc., et al., Case No. 49D12-2107-CT-024624 (consolidated); (8) Tracy Warner and Kristin Foate v. v. Aziyo Biologics, Inc., et al., Case No. 49D04-2107-CT-024631 (consolidated); (9) Donna Schilling v. v. Aziyo Biologics, Inc., et al., Case No. 49D04-2107-CT-024443 (consolidated); (10) Robby and Stephanie Anderson v. v. Aziyo Biologics, Inc., et al., Case No. 49D13-2107-CT-025221 (consolidated); (11) Max Shepard v. v. Aziyo Biologics, Inc., et al., Case No. 49D11-2108-CT-025984 (consolidated); (12) Leon Chew v. Aziyo Biologics, Inc., et al., Case No. 49D12-2108-CT-025967 (consolidated); (13) Candace Kozor, Kenneth Largin and Anthony Young v. Aziyo Biologics, Inc., et al., Case No. 49D04-2107-CT-024626 (consolidated); (14) James and Lauri Ann Jackson v. v. Aziyo Biologics, Inc., et al., Case No. 49D02-2108-CT-028321 (re-filed in state court and consolidated); (15) James and Kathy Shaw v. Aziyo Biologics, Inc., et al, Case No. 49D11-2108-CT-028669 (consolidated); (16) Larry Szynski v. Aziyo Biologics, Inc., et al., Case No. 49D05-2108-CT-029225 (consolidated); (17) Jerrold Jenkins v. Aziyo Biologics, Inc., et al., Case No. 49D03-2108-CT-029367 (consolidated; (18) Hon Vien v. Aziyo Biologics, Inc., et al., Case No. 49D01-2202-CT-004812; (19) Jayson Hartman v. Aziyo Biologics, et al., Case No. 49D12-2202-CT-004835; and (20) Randy Smith v. Aziyo Biologics, Inc., et al., Case No. 49D01-2202-CT-005184 (collectively, the “Indiana State Complaints”). Fifteen lawsuits were filed in the Superior Court of the State of Delaware, captioned respectively: (1) Richard Williams v. Aziyo, Biologics Inc., et al., C.A. No. N21C-06-166 EMD; (2) Jean and Shante Georges v. Aziyo, Biologics Inc., et al., C.A. No. N21C-06-256-DJB; (3) Marjorie Hitchens v. Aziyo, Biologics Inc., et al., C.A. No. N21C-06-214-DJB; (4) Larry and Joanne Fortner v. Aziyo, Biologics Inc., et al., C.A. No. N21C-06-215-DJB; (5) Nancy and John Smith v. Aziyo, Biologics Inc., et al., C.A. No. N21C-06-219-DJB; (6) Joan Trincia v. Aziyo, Biologics Inc., et al., C.A. No. N21C-06-220-DJB; (7) Bernadette Burgess v. Aziyo, Biologics Inc., et al., C.A. No. N21C-06-264-DJB; (8) Summer Fitzhugh v. Aziyo, Biologics Inc., et al., C.A. No. N21C-06-221-DJB; (9) Linda Shields v. Aziyo, Biologics Inc., et al., C.A. No. N21C-06-166-DJB; and (10) Sharon Riddick v. Aziyo, Biologics Inc., et al., C.A. No. N21C-07-005-EMD; (11) Carl Stevens v. Aziyo, Biologics Inc., et al., C.A. No. N21C-08-149-DJB; (12) Joel and Melissa Stanton v. Aziyo, Biologics Inc., et al., C.A. No. N21C-08-212-AML; (13) Bruce and Beverly Carroll v. Aziyo, Biologics Inc., et al., C.A. No. N21C-08-130-DJB; (14) Margaret Cook v. Aziyo, Biologics Inc., et 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C.A. No. N21C-08-131-DJB; (15) Robert Jr. and Kelly Aspinall v. Aziyo, Biologics Inc., et al., C.A. No. N21C-09-065-DJB (collectively, the “Delaware State Complaints”). One lawsuit has been re-filed in the Circuit Court of Maryland (previously filed on 07/21/2021 and dismissed without prejudice on 08/12/2021 in the U.S. District Court of Maryland), captioned: Diana and James Hanson v. Aziyo Biologics, Inc., et al., Case No. C-02-CV-21-001094 (“Maryland State Complaint”). One lawsuit has been filed in the Court of Common Pleas of Ohio, captioned: Michelle and Charles Weethee v. Aziyo, Biologics Inc., et al., Case No. 2021 CV 03621 (“Ohio State Complaint”). One lawsuit was filed in the Northern District of Ohio, captioned: Heath Raker and Neal Raker v. Aziyo Biologics, Inc., et al., Case No. 1:22-cv-54 (“Ohio Federal Complaint”). One lawsuit filed in the Superior Court of North Carolina, captioned: Aurelia and Belvin Sherrill v. Aziyo Biologics, Inc., et al., Case No. 21-cvs-2797 has since been removed to the U.S. District Court for the Western District of North Carolina (“North Carolina Federal Complaint”). One lawsuit has been filed in the U.S. District Court for the Northern District of Florida, captioned Deborah Rice v. Aziyo Biologics, Inc., et al., Case No. 5:21-cv-00135-MW-MJF (“Florida Federal Complaint”). Two lawsuits were filed in the U.S. District Court for the Eastern District of Michigan, captioned: (1) Karrold Dudley v. Aziyo, Biologics Inc., et al., Case No. 2:21-cv-11813-GAD-EAS and (2) Diane Parron v. Aziyo Biologics Inc., et al., Case No. 2:22-cv-10522-NGE-EAS. A third lawsuit originally filed in the Circuit Court of Michigan, captioned: (3) Ilona and Christian Hildebrandt v. Aziyo Biologics, Inc., Case No. 2021-003804-NP has since been removed to the Eastern District of Michigan (collectively “Michigan Federal Complaints.”) One lawsuit has been filed in the U.S. District Court for the District of Colorado, captioned Christopher and Julie Buri v. Aziyo Biologics, Inc., et al., Case No. 1:21-cv-02789-SKC (“Colorado Federal Complaint”). One lawsuit has been filed in the U.S. District Court for the District of Oregon, captioned Christy Bryant v. Aziyo Biologics, Inc., et al., Case No. 1:21-cv-01759-AA (“Oregon Federal Complaint”). Two lawsuits have been filed in Fayette, Kentucky Circuit Court, captioned: (1) Earl Wesley Robinson and Joyce Ann Robinson v. Aziyo Biologics, Inc., Case No. 21-CI-03842 and (2) Horace B. Nelson, Sr. v. Aziyo Biologics, Inc., et al., Case No. 22-CI-00895 (collectively “Kentucky State Complaints”). Lastly, two lawsuits have been dismissed: (1) in the state court of Maryland, captioned Tracey and Stan Gearhart v. Aziyo Biologics, Inc., et al., Case No. C-02-CV-21-000997(dismissed without prejudice on 09/14/2021), and (2) in the U.S. District Court for the Northern District of Indiana, captioned: David Hahn v. Aziyo Biologics, Inc., et al., Case No. 2:21-cv-00265-PPS-JEM (dismissed without prejudice on 09/30/2021).</w:t>
      </w:r>
    </w:p>
    <w:p>
      <w:pPr>
        <w:spacing w:after="0" w:line="19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 negligence, breach of implied warranty, breach of express warranty, medical monitoring and punitive damages, and two also allege loss of consortium. Plaintiffs in the Delaware State Complaints are seeking economic, consequential, and punitive damages. The Maryland Complaint asserts claims of negligence, breach of implied warranty, breach of express warranty, medical monitoring, and loss of consortium. The Florida Federal Complaint contains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State Complaints assert strict liability claims based on manufacturing defect, design defect, failure to warn, negligence, breach of implied warranty, breach of express warranty, and seek recovery for medical monitoring, loss of consortium, compensatory damages, and punitive damages. In addition to the above, there have been forty-four claims related to the FiberCel recall, which have not yet resulted in a lawsuit. The Company refers to all of the aforementioned litigation, or claim notices, collectively as the “FiberCel Litigation.”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reasonably estimate a loss or range of loss for the FiberCel Litigation, the Company must assess a variety of factors, including, (i) what claims, if any, will survive dispositive motion practice, (ii) the extent of the claims, particularly when damages are not specified or are indeterminate, (iii) how the discovery process will affect the litigation,</w:t>
      </w:r>
    </w:p>
    <w:p>
      <w:pPr>
        <w:spacing w:after="0" w:line="2" w:lineRule="exact"/>
        <w:rPr>
          <w:sz w:val="20"/>
          <w:szCs w:val="20"/>
          <w:color w:val="auto"/>
        </w:rPr>
      </w:pPr>
    </w:p>
    <w:p>
      <w:pPr>
        <w:jc w:val="both"/>
        <w:ind w:left="60" w:right="59" w:hanging="10"/>
        <w:spacing w:after="0" w:line="253" w:lineRule="auto"/>
        <w:tabs>
          <w:tab w:leader="none" w:pos="37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settlement posture of the other parties to the litigation and (v) any other factors that may have a material effect on the litigation. At present, it is not possible for Aziyo to estimate a range of probable loss in the FiberCel Litigation; however, while unknown, the probable loss could have a material effect on the Company’s financial position and results of operations.</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Should Aziyo be required to pay claims related to the FiberCel Litigation, the Company believes that certain settlements and judgments, as well as legal defense costs, may be covered in whole or in part under the Company’s insurance policies. In certain circumstances, insurance carriers reserve their rights to contest or deny coverage. The Company intends to contest vigorously any disputes with its insurance carriers and to enforce its rights under the terms of its insurance policies. Accordingly, the Company will record receivables with respect to amounts due under these policies only when the realization of the potential claim for recovery is considered probable. Amounts recovered under the Company’s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pacing w:after="0" w:line="19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both March 31, 2022 and December 31, 2021, the Company was not a party to, or aware of, any material legal matters or claims except for the FiberCel Litigation.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pacing w:after="0" w:line="22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10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197"/>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 average number of common shares, basic and diluted</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13,574,058</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10,226,152</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w w:val="99"/>
              </w:rPr>
              <w:t>Net loss per common share attributable to common stockholders, basic</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diluted</w:t>
            </w:r>
          </w:p>
        </w:tc>
        <w:tc>
          <w:tcPr>
            <w:tcW w:w="3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8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1,857,091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1,238,548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564,159</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232,098</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2,421,250</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1,470,646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part of the contribution of assets transacted from Tissue Banks International, now KeraLink International (“KeraLink”),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KeraLink sold Aziyo common shares for proceeds in excess of $550,000, and as such, remitted $550,000 to Aziyo in full satisfaction of the 2018 settlement.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three months ended March 31, 2022 and 2021, the Company’s net sales disaggregated by the major sources - Core Products and Non-Core Products (see Note 1) - were as follows (in thousands):</w:t>
      </w:r>
    </w:p>
    <w:p>
      <w:pPr>
        <w:spacing w:after="0" w:line="175"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Three Months Ended</w:t>
      </w:r>
    </w:p>
    <w:p>
      <w:pPr>
        <w:ind w:left="57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by product</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Core Products</w:t>
            </w:r>
          </w:p>
        </w:tc>
        <w:tc>
          <w:tcPr>
            <w:tcW w:w="192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8,140</w:t>
            </w:r>
          </w:p>
        </w:tc>
        <w:tc>
          <w:tcPr>
            <w:tcW w:w="320" w:type="dxa"/>
            <w:vAlign w:val="bottom"/>
          </w:tcPr>
          <w:p>
            <w:pPr>
              <w:spacing w:after="0"/>
              <w:rPr>
                <w:sz w:val="18"/>
                <w:szCs w:val="18"/>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10,664</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Non-Core Products</w:t>
            </w:r>
          </w:p>
        </w:tc>
        <w:tc>
          <w:tcPr>
            <w:tcW w:w="10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3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Total Net Sales</w:t>
            </w:r>
          </w:p>
        </w:tc>
        <w:tc>
          <w:tcPr>
            <w:tcW w:w="1020" w:type="dxa"/>
            <w:vAlign w:val="bottom"/>
          </w:tcPr>
          <w:p>
            <w:pPr>
              <w:spacing w:after="0"/>
              <w:rPr>
                <w:sz w:val="18"/>
                <w:szCs w:val="18"/>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11,495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12,884</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7,“Management’s Discussion and Analysis of Financial Condition and Results of Operations”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Biotronik,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estimate that, over the past two years, approximately two million patients per year in the United States are implanted with either medical devices, such as pacemakers, defibrillators, neuro-stimulators, spinal fusion and trauma fracture hardware or tissue expanders for breast reconstruction.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biomaterial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6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through tissue procurement firms engaged by us. We primarily ship our Core Products from our facilities directly to hospital customers.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Since inception, we have financed our operations primarily through private placements of our convertible preferred stock, amounts borrowed under our credit facilities, sales of our products and, more recently, with proceeds from our IPO and a private placement of our common stock.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March 31, 2022, we had 157 employees, of which 26 were direct sales representatives.</w:t>
      </w:r>
    </w:p>
    <w:p>
      <w:pPr>
        <w:spacing w:after="0" w:line="19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For the three months ended March 31, 2022, we incurred net losses of $8.1 million, and as of March 31, 2022, we had an accumulated deficit of $113.2 million. In addition, during the three months ended March 31, 2022, we used $7.4 million and $0.9 million of cash in operating and financing activities, respectively. We expect to continue to incur significant expenses and operating losses for the foreseeable future as we seek to grow our sales organization to coincide with product launches and expand our product development and clinical and research activities.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either refinance or restructure our Term Loan Facility and Revolving Credit Facility, restructure our Revenue Interest Obligation, or pursue asset sale transactions. However, such transactions may not be successful and we may not be able to raise additional equity, refinance or restructure our debt instruments, or sell assets on acceptable terms, or at all. As such, based on our current operating plans, we believe there is uncertainty as to whether our future cash flows along with our existing cash, availability under our Revolving Credit Facility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continue to closely monitor the impact of the COVID-19 pandemic and its variants on our business. In March 2020, the World Health Organization declared COVID-19 a global pandemic and recommended various containment and mitigation measures worldwide. Since that time, the number of procedures performed using our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intermittently been postponed or cancelled, which has negatively impacted sales of our products. These measures and challenges will likely continue for the duration of the pandemic, which is uncertain, and may reduce our net sales in the future and negatively impact our business, financial condition and results of operations while the pandemic continues.</w:t>
      </w:r>
    </w:p>
    <w:p>
      <w:pPr>
        <w:spacing w:after="0" w:line="18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In addition, numerous state and local jurisdictions, including those where our facilities are located, imposed, and others in the future may impose or re-impose, “shelter-in-place” orders, quarantines, executive orders and similar government orders and restrictions for their residents to control the spread of COVID-19. Such orders or restrictions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resulted in reduced operations at our manufacturing facilities and service providers, travel restrictions and cancellation of events, and have restricted the ability of our sales representatives and those of our commercial partners and independent sales agents to attend procedures in which our products are used, among other effects, thereby negatively impacting our operations.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and, as variants of COVID-19 emerge, it is difficult to predict the degree to which this disease will ultimately affect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ind w:left="60" w:right="459" w:firstLine="648"/>
        <w:spacing w:after="0" w:line="275" w:lineRule="auto"/>
        <w:rPr>
          <w:sz w:val="20"/>
          <w:szCs w:val="20"/>
          <w:color w:val="auto"/>
        </w:rPr>
      </w:pPr>
      <w:r>
        <w:rPr>
          <w:rFonts w:ascii="Arial" w:cs="Arial" w:eastAsia="Arial" w:hAnsi="Arial"/>
          <w:sz w:val="17"/>
          <w:szCs w:val="17"/>
          <w:color w:val="auto"/>
        </w:rPr>
        <w:t>In June 2021, we issued a voluntary recall pertaining to a single donor lot of our FiberCel Fiber Viable Bone Matrix, a bone repair product formerly distributed by Medtronic, after learning of postsurgical infections reported in several patients treated with the product, including some patients that tested positive for tuberculosis. For information about legal proceedings in which we are involved and the possible future financial implications, see Note 8 to the condensed consolidated financial statements included elsewhere in this Quarterly Report.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independent sales agents. Our contract manufacturing products are sold directly to corporate customers. Gross to net sales adjustments include sales returns and prompt payment and volume discounts.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recent years, we have incurred significant costs in the operation of our business. We expect that our expenses will increase in the foreseeable future as we grow our sales and marketing organization to coincide with new product launches and expand our product development and clinical activities to support our current and pipeline products. As a result, we will need to generate significant net sales in order to achieve profitability. Below is a breakdown of our main expense categories and the related expenses incurred in each category: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and customer service expenses. We expect sales and marketing expenses to grow</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commensurate with sales increases, and to an even larger degree in the near-term to the extent we grow our direct sales force and increase marketing activities to coincide with new product launches.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antibiotics. We also conduct clinical trials to validate the performance characteristics of our products and to capture patient data necessary to support our commercial efforts.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Change 2021 / 2022</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top w:val="single" w:sz="8" w:color="auto"/>
            </w:tcBorders>
            <w:vMerge w:val="restart"/>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top w:val="single" w:sz="8" w:color="auto"/>
            </w:tcBorders>
            <w:vMerge w:val="restart"/>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Sales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Sales</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11,495</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12,884</w:t>
            </w: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(1,389)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50.9 %</w:t>
            </w: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4,818</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4,703</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1,720</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70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11,203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10,028</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700" w:type="dxa"/>
            <w:vAlign w:val="bottom"/>
          </w:tcPr>
          <w:p>
            <w:pPr>
              <w:jc w:val="right"/>
              <w:spacing w:after="0"/>
              <w:rPr>
                <w:sz w:val="20"/>
                <w:szCs w:val="20"/>
                <w:color w:val="auto"/>
              </w:rPr>
            </w:pPr>
            <w:r>
              <w:rPr>
                <w:rFonts w:ascii="Arial" w:cs="Arial" w:eastAsia="Arial" w:hAnsi="Arial"/>
                <w:sz w:val="18"/>
                <w:szCs w:val="18"/>
                <w:color w:val="auto"/>
              </w:rPr>
              <w:t>(3,223)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(8,137)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(8,149)</w:t>
            </w: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w:t>
            </w: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(5,067)</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(3,082)</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sales decreased $1.4 million, or 10.8%, to $11.5 million in the three months ended March 31, 2022 compared to $12.9 million in the three months ended March 31, 2021. The decline in net sales was due to reductions in the net sales of our Core Products of $2.5 million, partially offset by growth in the net sales of our Non-Core Products of $1.1 million.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4"/>
              </w:rPr>
              <w:t>Three Months Ended 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5"/>
              </w:rPr>
              <w:t>Change 2021 / 2022</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360" w:type="dxa"/>
            <w:vAlign w:val="bottom"/>
            <w:gridSpan w:val="2"/>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387"/>
              <w:spacing w:after="0" w:line="142" w:lineRule="exact"/>
              <w:rPr>
                <w:sz w:val="20"/>
                <w:szCs w:val="20"/>
                <w:color w:val="auto"/>
              </w:rPr>
            </w:pPr>
            <w:r>
              <w:rPr>
                <w:rFonts w:ascii="Arial" w:cs="Arial" w:eastAsia="Arial" w:hAnsi="Arial"/>
                <w:sz w:val="14"/>
                <w:szCs w:val="14"/>
                <w:b w:val="1"/>
                <w:bCs w:val="1"/>
                <w:color w:val="auto"/>
              </w:rPr>
              <w:t>Sales</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Amount</w:t>
            </w:r>
          </w:p>
        </w:tc>
        <w:tc>
          <w:tcPr>
            <w:tcW w:w="86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8,140</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70.8 % $</w:t>
            </w:r>
          </w:p>
        </w:tc>
        <w:tc>
          <w:tcPr>
            <w:tcW w:w="680" w:type="dxa"/>
            <w:vAlign w:val="bottom"/>
          </w:tcPr>
          <w:p>
            <w:pPr>
              <w:jc w:val="right"/>
              <w:spacing w:after="0"/>
              <w:rPr>
                <w:sz w:val="20"/>
                <w:szCs w:val="20"/>
                <w:color w:val="auto"/>
              </w:rPr>
            </w:pPr>
            <w:r>
              <w:rPr>
                <w:rFonts w:ascii="Arial" w:cs="Arial" w:eastAsia="Arial" w:hAnsi="Arial"/>
                <w:sz w:val="18"/>
                <w:szCs w:val="18"/>
                <w:color w:val="auto"/>
              </w:rPr>
              <w:t>10,664</w:t>
            </w:r>
          </w:p>
        </w:tc>
        <w:tc>
          <w:tcPr>
            <w:tcW w:w="180" w:type="dxa"/>
            <w:vAlign w:val="bottom"/>
          </w:tcPr>
          <w:p>
            <w:pPr>
              <w:spacing w:after="0"/>
              <w:rPr>
                <w:sz w:val="18"/>
                <w:szCs w:val="18"/>
                <w:color w:val="auto"/>
              </w:rPr>
            </w:pPr>
          </w:p>
        </w:tc>
        <w:tc>
          <w:tcPr>
            <w:tcW w:w="1020" w:type="dxa"/>
            <w:vAlign w:val="bottom"/>
            <w:gridSpan w:val="3"/>
          </w:tcPr>
          <w:p>
            <w:pPr>
              <w:jc w:val="right"/>
              <w:ind w:right="7"/>
              <w:spacing w:after="0"/>
              <w:rPr>
                <w:sz w:val="20"/>
                <w:szCs w:val="20"/>
                <w:color w:val="auto"/>
              </w:rPr>
            </w:pPr>
            <w:r>
              <w:rPr>
                <w:rFonts w:ascii="Arial" w:cs="Arial" w:eastAsia="Arial" w:hAnsi="Arial"/>
                <w:sz w:val="18"/>
                <w:szCs w:val="18"/>
                <w:color w:val="auto"/>
              </w:rPr>
              <w:t>82.8 %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(2,524)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51.1 %</w:t>
            </w:r>
          </w:p>
        </w:tc>
        <w:tc>
          <w:tcPr>
            <w:tcW w:w="0" w:type="dxa"/>
            <w:vAlign w:val="bottom"/>
          </w:tcPr>
          <w:p>
            <w:pPr>
              <w:spacing w:after="0"/>
              <w:rPr>
                <w:sz w:val="1"/>
                <w:szCs w:val="1"/>
                <w:color w:val="auto"/>
              </w:rPr>
            </w:pPr>
          </w:p>
        </w:tc>
      </w:tr>
      <w:tr>
        <w:trPr>
          <w:trHeight w:val="209"/>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11,495</w:t>
            </w: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12,884</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(1,389)</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Net sales generated by our Core Products declined $2.5 million, or 23.7%, to $8.1 million in the three months ended March 31, 2022 compared to $10.6 million in the three months ended March 31, 2021. The Core Products net sales reduction can be attributed to the cessation of purchases by Medtronic of FiberCel following our recall of a single lot of FiberCel in June 2021. Sales of FiberCel to Medtronic were $2.8 million in the three months ended March 31, 2021.</w:t>
      </w:r>
    </w:p>
    <w:p>
      <w:pPr>
        <w:spacing w:after="0" w:line="15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Net sales generated by our Non-Core Products increased $1.1 million, or 51.1%, to $3.4 million in the three months ended March 31, 2022 compared to $2.2 million in the three months ended March 31, 2021. The increase was primarily driven by a growth in the revenue from several contract manufacturing customers.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Cost of goods sold was $7.2 million and $6.6 million in the three months ended March 31, 2022 and 2021, respectively, and included, in each case, $0.8 million of intangible asset amortization expenses. Gross margin in the three months ended March 31, 2022 was 37.2%, a decrease from 49.1% in the corresponding prior year period. Gross margin, excluding intangible asset amortization, in the three months ended March 31, 2022 was 44.6%, a decline from 55.7%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decrease in gross margin was primarily due to product mix (higher Non-Core revenues in 2022 with lower gross margins) and lower yields in our orthopedic and spinal repair product lines related to heightened donor screening criteria ahead of the implementation of enhanced product testing.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increased $0.1 million, or 2.4%, to $4.8 million in the three months ended March 31, 2022 compared to $4.7 million in the three months ended March 31, 2021. As a percentage of sales, sales and marketing expenses grew to 41.9% in the three months ended March 31, 2022 from 36.5% in the three months ended March 31, 2021. The increase as a percentage of sales was the result of the growth during the three months ended March 31, 2022 of revenues from sales by us directly to the end user as such revenues have higher selling costs than our “business to business” revenues.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G&amp;A expenses increased $0.5 million, or 14.1%, to $4.1 million in the three months ended March 31, 2022 compared to $3.6 million in the three months ended March 31, 2021. As a percentage of net sales, G&amp;A expenses increased to 35.8% in the three months ended March 31, 2022 from 28.0% in the three months ended March 31, 2021. The increase in expense was primarily due to higher stock-based compensation as well as costs associated with FiberCel Litigation that we did not incur in the 2021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R&amp;D expenses increased to $2.3 million in the three months ended March 31, 2022 compared to $1.7 million in the three months ended March 31, 2021. We continue to focus our R&amp;D efforts on the development of our pipeline products with the growth in R&amp;D expenses in the three months ended March 31, 2022 largely attributable to the work performed on the final development and testing of our CanGaroo with antibiotics.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Interest expense was approximately $1.2 million in the three months ended March 31, 2022 compared to $1.4 million in the three months ended March 31, 2021. The decrease was due to lower draws on our Revolving Credit Agreement and lower outstanding principal on our Term Loan Credit Agreement (as defined below) due to the commencement of principal payments in the three months ended September 30, 2021. See “Credit Facilities” below for further discussion of these debt agreements and Note 7 to the condensed consolidated financial statements included elsewhere in this Quarterly Report for a description of our Revenue Interest Obligation and the interest expense related thereto.</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months ended March 31, 2022 and 2021.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months ended March 31, 2022 and 2021 to the most directly comparable GAAP financial measure, which is our GAAP gross margin (in thousands).</w:t>
      </w:r>
    </w:p>
    <w:p>
      <w:pPr>
        <w:spacing w:after="0" w:line="189"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Intangible asset amortization expense</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excluding intangible asset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6"/>
        </w:trPr>
        <w:tc>
          <w:tcPr>
            <w:tcW w:w="7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37.2</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49.1</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excluding intangible asset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Historically, we have experienced seasonality, with lower sales in our first and second quarter and higher sales in our fourth quarter, and we expect this trend to continue. We have experienced and may in the future experience higher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of March 31, 2022, we had cash and restricted cash of approximately $22.2 million and availability under our Revolving Credit Facility of $0.9 million. Since inception, we have financed our operations primarily through private placements of our convertible preferred stock, amounts borrowed under our credit facilities, sales of our products and more recently, proceeds from our IPO and a private placement of our common stock. Our historical cash outflows have primarily been associated with acquisition and integration, manufacturing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March 31, 2022, our accumulated deficit was $113.2 million.</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8, 2021, we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Additionally, as discussed below under “--- Credit Facilities,” in August 2021, we commenced the principal repayment of our Term Debt with such repayments totaling approximately $556,000 per month through July 2024.</w:t>
      </w:r>
    </w:p>
    <w:p>
      <w:pPr>
        <w:spacing w:after="0" w:line="19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either refinance or restructure our Term Loan Facility and Revolving Credit Facility, restructure our Revenue Interest Obligation, or pursue asset sale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our Revolving Credit Facility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Three Months Ended March 31, 2022 and 2021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840" w:type="dxa"/>
            <w:vAlign w:val="bottom"/>
            <w:gridSpan w:val="7"/>
          </w:tcPr>
          <w:p>
            <w:pPr>
              <w:ind w:left="17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jc w:val="right"/>
              <w:ind w:right="494"/>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(7,350)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operating activities for the three months ended March 31, 2022 was $7.4 million compared to $5.2 million for the three months ended March 31, 2021. The year-over-year increase was primarily due to a higher net loss (after adjustment for non-cash charges and gains) as well as the timing of certain annual insurance prepayments.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2022 was $0.03 million and approximately $0.1 million for the three months ended March 31, 2021. In both periods, the use of cash related to the purchase of property and equipment, the majority of which are used in the production activities of our Richmond, California facility.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Net cash used in financing activities for the three months ended March 31, 2022 totaled $0.9 million compared to $3.7 million for the three months ended March 31, 2021. The year-over-year net decrease was caused by net borrowings of $1.4 million on our Revolving Credit Facility during the three months ended March 31, 2022 compared to net repayments of $3.1 million during the three months ended March 31, 2021. This change in the Revolving Credit Facility activity was offset by principal payments of $1.7 million on our Term Loan Credit Agreement as such payments commenced in August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We refer to Term Loan Tranche 1, Term Loan Tranche 2, Term Loan Tranche 3 and Term Loan Tranche 4 collectively as the “Term Loan Facility”.</w:t>
      </w:r>
    </w:p>
    <w:p>
      <w:pPr>
        <w:spacing w:after="0" w:line="17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March 31, 2022, we had $15.4 million of indebtedness outstanding under our Term Loan Facility (net of $0.1 million of unamortized discount and deferred financing costs), and $6.2 million outstanding under our Revolving Credit Facility (with $0.9 million of additional borrowings available thereunder).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rewards associated with the purchase of the applicable Eligible Inventory (provided that the Borrowing Base will be automatically adjusted down, if necessary, such that the aggregate availability from Eligible Inventory shall never exceed the lesser of (x) an amount equal to 40% of the Borrowing Base and (y) $2,000,000). The amount available for borrowing under the Revolving Credit Facility may also be reduced by certain reserve amounts that may be established by the administrative agent from time to time</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three months ended March 31, 2022 and 2021.</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which, based on the amendment to the Term Loan Credit Agreement executed in January 2022, shall be equal to the amount prepaid multiplied by 3.0% until January 21, 2023 and 2.0% thereafter. The “Exit Fee” is defined as an amount equal to 6.5% multiplied by the aggregate principal amount of all borrowings advanced to the Borrowers under the Term Loan Facility.</w:t>
      </w:r>
    </w:p>
    <w:p>
      <w:pPr>
        <w:spacing w:after="0" w:line="17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Borrowers may prepay the Revolving Credit Facility in whole or in part at any time, provided, however, that any such partial prepayment shall be in an amount equal to $100,000 or a higher integral multiple of $25,000. Should the Revolving Credit Facility be terminated prior to its final maturity (see below), based on the amendment to the Revolving Credit Agreement executed in January 2022, the Borrowers must pay a fee equal to an amount determined by multiplying the amount of the Revolving Credit Facility so terminated by 3.0% until January 21, 2023 and 2.0% thereafter.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Borrowers are required to make interest-only payments prior to the principal amortization start date. The Term Loan Facility provided that if certain conditions were satisfied prior to December 1, 2020 (including our completion of a qualified initial public offering and no continuing default or event of default), the principal amortization start date may, upon our request, be extended to August 1, 2021 (from the previous principal amortization start date of February 1, 2021). Based on the completion of our IPO, in January 2021, we exercised this interest-only period extension right and, as such, the principal payments in respect of borrowings under the Term Loan Facility commenced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Outstanding borrowings under the Revolving Credit Facility do not amortize and are due and payable on July 15,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70"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6"/>
          <w:szCs w:val="16"/>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 In January 2022, the Term Loan Credit Agreement and Revolving Credit Agreement were amended and all future Minimum Net Product Revenue covenant amounts were reset.</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 As of March 31, 2022, Aziyo was in compliance with the financial covenant and all other covenants.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Supplier Promissory Note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we restructured certain of our liabilities with a tissue supplier and entered into an unsecured promissory note. As of March 31, 2022, the balance of this promissory note totaled $1.4 million plus accrued interest. The note bears interest at 5% and is currently due in full; however, the notes are subordinated in payment to the Term Loan Facility and Revolving Credit Facility and in both 2021 and 2020, the Company’s senior lender restricted payment of the amounts due.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we grow our sales organization to coincide with product launches and expand our product development and clinical and research activities. In addition, we expect to incur additional costs and expenses associated with operating as a public company.</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March 31, 2022, we had $23.0 million of indebtedness outstanding, consisting of $15.4 million outstanding under our Term Loan Facility (net of $0.1 million of unamortized deferred financing costs), $6.2 million outstanding under our Revolving Credit Facility (with $0.9 million of additional borrowings available thereunder), and a $1.4 million promissory note payable to one of our suppliers. In addition, as further described in Note 7 to the condensed consolidated financial statements included elsewhere in this Quarterly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We are currently forecasting that the initial $5.0 million milestone payment will become payable in mid-2023.</w:t>
      </w:r>
    </w:p>
    <w:p>
      <w:pPr>
        <w:spacing w:after="0" w:line="17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If our available cash balances and cash flow from operations, if any, are insufficient to satisfy our liquidity requirements, we may seek to raise additional capital through equity offerings, debt financings, or asset sale transactions. However, such transactions may not be successful and we may not be able to raise additional equity, refinance our Term Debt and Revolver, or sell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64"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defending against or the damages payable (to the extent above the applicable insurance coverage), for example, in connection with claims involving the recall of FiberCel;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Our future capital needs are uncertain and we may need to raise funds in the future, and such funds may not be available on acceptable terms or at all.”</w:t>
      </w:r>
    </w:p>
    <w:p>
      <w:pPr>
        <w:spacing w:after="0" w:line="16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our current operating plans, we believe there is uncertainty as to whether our future cash flows along with our existing cash, availability under our Revolver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Annual Report, and, during the three months ended March 31, 2022, there were no material changes to those previously disclosed. Refer to Note 2, “Summary of Significant Accounting Policies,” to our condensed consolidated financial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statements included elsewhere in this Quarterly Report for information regarding our critical accounting estimates and policies.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Refer to Note 3, “Recently Issued Accounting Standards,” to our condensed consolidated financial statements included elsewhere in this Quarterly Report for information regarding recently issued accounting pronouncements.</w:t>
      </w:r>
    </w:p>
    <w:p>
      <w:pPr>
        <w:spacing w:after="0" w:line="12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March 31, 2022 would not have had a material effect on our financial statements. We do not currently engage in hedging transactions to manage our exposure to interest rate risk.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March 31, 2022,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March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three months ended March 31, 2022 and 2021.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March 31,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2022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8 to the condensed consolidated financial statements included elsewhere in this Quarterly Report.</w:t>
      </w:r>
    </w:p>
    <w:p>
      <w:pPr>
        <w:spacing w:after="0" w:line="39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business, financial condition, operating results and the price of our common stock. Except as set forth below, there have been no material changes in our risk factors to those included in our Annual Report.</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identified conditions and events that raise substantial doubt regarding our ability to continue as a going concern.</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As of March 31, 2022, we had $22.2 million in cash and restricted cash. Based on our existing cash, availability under our Revolving Credit Facility and cash generated from expected future sales, we believe that we do not have sufficient cash on hand to support current operations and our payment obligations under our Term Loan Facility, Revolving Credit Facility and Revenue Interest Obligation for at least one year from the date of issuance of the unaudited condensed consolidated financial statements appearing within this Quarterly Report on Form 10-Q. This condition raises substantial doubt about our ability to continue as a going concern for at least one year from the date that our unaudited condensed consolidated financial statements for the period ended March 31, 2022 were issued.</w:t>
      </w:r>
    </w:p>
    <w:p>
      <w:pPr>
        <w:spacing w:after="0" w:line="17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order to mitigate the current and potential future liquidity issues, we may seek to raise capital through the issuance of common stock, either refinance or restructure our Term Loan Facility and Revolving Credit Facility, restructure our Revenue Interest Obligation or pursue asset sale transactions. However, such transactions may not be successful and we may not be able to raise additional equity, refinance our Term Loan Facility and Revolving Credit Facility, or sell assets on acceptable terms, or at all. As such, there can be no assurance that we will be able to continue as a going concern.</w:t>
      </w:r>
    </w:p>
    <w:p>
      <w:pPr>
        <w:spacing w:after="0" w:line="15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41" w:lineRule="exact"/>
        <w:rPr>
          <w:sz w:val="20"/>
          <w:szCs w:val="20"/>
          <w:color w:val="auto"/>
        </w:rPr>
      </w:pPr>
    </w:p>
    <w:p>
      <w:pPr>
        <w:jc w:val="both"/>
        <w:ind w:left="60"/>
        <w:spacing w:after="0" w:line="314"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Restated Certificate of Incorporation of Aziyo Biologics, Inc.</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Amended and Restated Bylaws of Aziyo Biologics, Inc.</w:t>
        </w:r>
      </w:hyperlink>
    </w:p>
    <w:p>
      <w:pPr>
        <w:spacing w:after="0" w:line="333" w:lineRule="exact"/>
        <w:rPr>
          <w:sz w:val="20"/>
          <w:szCs w:val="20"/>
          <w:color w:val="auto"/>
        </w:rPr>
      </w:pPr>
    </w:p>
    <w:p>
      <w:pPr>
        <w:jc w:val="both"/>
        <w:spacing w:after="0" w:line="263" w:lineRule="auto"/>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Second Amended and Restated Investor Rights Agreement, dated</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as of September 14, 2020, among the Registrant and the investors</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8" w:lineRule="exact"/>
        <w:rPr>
          <w:rFonts w:ascii="Arial" w:cs="Arial" w:eastAsia="Arial" w:hAnsi="Arial"/>
          <w:sz w:val="18"/>
          <w:szCs w:val="18"/>
          <w:u w:val="single" w:color="auto"/>
          <w:color w:val="0000EE"/>
        </w:rPr>
      </w:pPr>
    </w:p>
    <w:p>
      <w:pPr>
        <w:ind w:left="2560"/>
        <w:spacing w:after="0"/>
        <w:rPr>
          <w:sz w:val="20"/>
          <w:szCs w:val="20"/>
          <w:color w:val="auto"/>
        </w:rPr>
      </w:pPr>
      <w:r>
        <w:rPr>
          <w:rFonts w:ascii="Arial" w:cs="Arial" w:eastAsia="Arial" w:hAnsi="Arial"/>
          <w:sz w:val="18"/>
          <w:szCs w:val="18"/>
          <w:b w:val="1"/>
          <w:bCs w:val="1"/>
          <w:color w:val="auto"/>
        </w:rPr>
        <w:t>Filed/</w:t>
      </w:r>
    </w:p>
    <w:p>
      <w:pPr>
        <w:spacing w:after="0" w:line="27" w:lineRule="exact"/>
        <w:rPr>
          <w:rFonts w:ascii="Arial" w:cs="Arial" w:eastAsia="Arial" w:hAnsi="Arial"/>
          <w:sz w:val="18"/>
          <w:szCs w:val="18"/>
          <w:u w:val="single" w:color="auto"/>
          <w:color w:val="0000EE"/>
        </w:rPr>
      </w:pPr>
    </w:p>
    <w:p>
      <w:pPr>
        <w:jc w:val="both"/>
        <w:ind w:left="560"/>
        <w:spacing w:after="0"/>
        <w:tabs>
          <w:tab w:leader="none" w:pos="1720" w:val="left"/>
          <w:tab w:leader="none" w:pos="2380" w:val="left"/>
        </w:tabs>
        <w:rPr>
          <w:sz w:val="20"/>
          <w:szCs w:val="20"/>
          <w:color w:val="auto"/>
        </w:rPr>
      </w:pPr>
      <w:r>
        <w:rPr>
          <w:rFonts w:ascii="Arial" w:cs="Arial" w:eastAsia="Arial" w:hAnsi="Arial"/>
          <w:sz w:val="18"/>
          <w:szCs w:val="18"/>
          <w:b w:val="1"/>
          <w:bCs w:val="1"/>
          <w:color w:val="auto"/>
        </w:rPr>
        <w:t>File</w:t>
      </w:r>
      <w:r>
        <w:rPr>
          <w:sz w:val="20"/>
          <w:szCs w:val="20"/>
          <w:color w:val="auto"/>
        </w:rPr>
        <w:tab/>
      </w:r>
      <w:r>
        <w:rPr>
          <w:rFonts w:ascii="Arial" w:cs="Arial" w:eastAsia="Arial" w:hAnsi="Arial"/>
          <w:sz w:val="18"/>
          <w:szCs w:val="18"/>
          <w:b w:val="1"/>
          <w:bCs w:val="1"/>
          <w:color w:val="auto"/>
        </w:rPr>
        <w:t>Filing</w:t>
      </w:r>
      <w:r>
        <w:rPr>
          <w:sz w:val="20"/>
          <w:szCs w:val="20"/>
          <w:color w:val="auto"/>
        </w:rPr>
        <w:tab/>
      </w:r>
      <w:r>
        <w:rPr>
          <w:rFonts w:ascii="Arial" w:cs="Arial" w:eastAsia="Arial" w:hAnsi="Arial"/>
          <w:sz w:val="16"/>
          <w:szCs w:val="16"/>
          <w:b w:val="1"/>
          <w:bCs w:val="1"/>
          <w:color w:val="auto"/>
        </w:rPr>
        <w:t>Furnished</w:t>
      </w:r>
    </w:p>
    <w:p>
      <w:pPr>
        <w:spacing w:after="0" w:line="9" w:lineRule="exact"/>
        <w:rPr>
          <w:rFonts w:ascii="Arial" w:cs="Arial" w:eastAsia="Arial" w:hAnsi="Arial"/>
          <w:sz w:val="18"/>
          <w:szCs w:val="18"/>
          <w:u w:val="single" w:color="auto"/>
          <w:color w:val="0000EE"/>
        </w:rPr>
      </w:pPr>
    </w:p>
    <w:p>
      <w:pPr>
        <w:spacing w:after="0"/>
        <w:tabs>
          <w:tab w:leader="none" w:pos="1780" w:val="left"/>
          <w:tab w:leader="none" w:pos="2420" w:val="left"/>
        </w:tabs>
        <w:rPr>
          <w:sz w:val="20"/>
          <w:szCs w:val="20"/>
          <w:color w:val="auto"/>
        </w:rPr>
      </w:pPr>
      <w:r>
        <w:rPr>
          <w:rFonts w:ascii="Arial" w:cs="Arial" w:eastAsia="Arial" w:hAnsi="Arial"/>
          <w:sz w:val="18"/>
          <w:szCs w:val="18"/>
          <w:b w:val="1"/>
          <w:bCs w:val="1"/>
          <w:color w:val="auto"/>
        </w:rPr>
        <w:t>Form  No.  Exhibit</w:t>
        <w:tab/>
        <w:t>Date</w:t>
      </w:r>
      <w:r>
        <w:rPr>
          <w:sz w:val="20"/>
          <w:szCs w:val="20"/>
          <w:color w:val="auto"/>
        </w:rPr>
        <w:tab/>
      </w:r>
      <w:r>
        <w:rPr>
          <w:rFonts w:ascii="Arial" w:cs="Arial" w:eastAsia="Arial" w:hAnsi="Arial"/>
          <w:sz w:val="16"/>
          <w:szCs w:val="16"/>
          <w:b w:val="1"/>
          <w:bCs w:val="1"/>
          <w:color w:val="auto"/>
        </w:rPr>
        <w:t>Herewith</w:t>
      </w:r>
    </w:p>
    <w:p>
      <w:pPr>
        <w:ind w:left="80"/>
        <w:spacing w:after="0" w:line="185" w:lineRule="auto"/>
        <w:tabs>
          <w:tab w:leader="none" w:pos="520" w:val="left"/>
          <w:tab w:leader="none" w:pos="1140" w:val="left"/>
          <w:tab w:leader="none" w:pos="1540" w:val="left"/>
        </w:tabs>
        <w:rPr>
          <w:sz w:val="20"/>
          <w:szCs w:val="20"/>
          <w:color w:val="auto"/>
        </w:rPr>
      </w:pPr>
      <w:r>
        <w:rPr>
          <w:rFonts w:ascii="Arial" w:cs="Arial" w:eastAsia="Arial" w:hAnsi="Arial"/>
          <w:sz w:val="15"/>
          <w:szCs w:val="15"/>
          <w:color w:val="auto"/>
        </w:rPr>
        <w:t>8-K</w:t>
      </w:r>
      <w:r>
        <w:rPr>
          <w:sz w:val="20"/>
          <w:szCs w:val="20"/>
          <w:color w:val="auto"/>
        </w:rPr>
        <w:tab/>
      </w:r>
      <w:r>
        <w:rPr>
          <w:rFonts w:ascii="Arial" w:cs="Arial" w:eastAsia="Arial" w:hAnsi="Arial"/>
          <w:sz w:val="26"/>
          <w:szCs w:val="26"/>
          <w:color w:val="auto"/>
          <w:vertAlign w:val="superscript"/>
        </w:rPr>
        <w:t>001-</w:t>
      </w:r>
      <w:r>
        <w:rPr>
          <w:sz w:val="20"/>
          <w:szCs w:val="20"/>
          <w:color w:val="auto"/>
        </w:rPr>
        <w:tab/>
      </w:r>
      <w:r>
        <w:rPr>
          <w:rFonts w:ascii="Arial" w:cs="Arial" w:eastAsia="Arial" w:hAnsi="Arial"/>
          <w:sz w:val="15"/>
          <w:szCs w:val="15"/>
          <w:color w:val="auto"/>
        </w:rPr>
        <w:t>3.1</w:t>
        <w:tab/>
        <w:t>10/13/2020</w:t>
      </w:r>
    </w:p>
    <w:p>
      <w:pPr>
        <w:spacing w:after="0" w:line="1" w:lineRule="exact"/>
        <w:rPr>
          <w:rFonts w:ascii="Arial" w:cs="Arial" w:eastAsia="Arial" w:hAnsi="Arial"/>
          <w:sz w:val="18"/>
          <w:szCs w:val="18"/>
          <w:u w:val="single" w:color="auto"/>
          <w:color w:val="0000EE"/>
        </w:rPr>
      </w:pPr>
    </w:p>
    <w:p>
      <w:pPr>
        <w:ind w:left="480"/>
        <w:spacing w:after="0"/>
        <w:rPr>
          <w:sz w:val="20"/>
          <w:szCs w:val="20"/>
          <w:color w:val="auto"/>
        </w:rPr>
      </w:pPr>
      <w:r>
        <w:rPr>
          <w:rFonts w:ascii="Arial" w:cs="Arial" w:eastAsia="Arial" w:hAnsi="Arial"/>
          <w:sz w:val="18"/>
          <w:szCs w:val="18"/>
          <w:color w:val="auto"/>
        </w:rPr>
        <w:t>39577</w:t>
      </w:r>
    </w:p>
    <w:p>
      <w:pPr>
        <w:spacing w:after="0" w:line="27" w:lineRule="exact"/>
        <w:rPr>
          <w:rFonts w:ascii="Arial" w:cs="Arial" w:eastAsia="Arial" w:hAnsi="Arial"/>
          <w:sz w:val="18"/>
          <w:szCs w:val="18"/>
          <w:u w:val="single" w:color="auto"/>
          <w:color w:val="0000EE"/>
        </w:rPr>
      </w:pPr>
    </w:p>
    <w:p>
      <w:pPr>
        <w:ind w:left="80"/>
        <w:spacing w:after="0"/>
        <w:tabs>
          <w:tab w:leader="none" w:pos="520" w:val="left"/>
          <w:tab w:leader="none" w:pos="1140" w:val="left"/>
          <w:tab w:leader="none" w:pos="15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36"/>
          <w:szCs w:val="36"/>
          <w:color w:val="auto"/>
          <w:vertAlign w:val="superscript"/>
        </w:rPr>
        <w:t>001-</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10/13/2020</w:t>
      </w:r>
    </w:p>
    <w:p>
      <w:pPr>
        <w:ind w:left="480"/>
        <w:spacing w:after="0"/>
        <w:rPr>
          <w:sz w:val="20"/>
          <w:szCs w:val="20"/>
          <w:color w:val="auto"/>
        </w:rPr>
      </w:pPr>
      <w:r>
        <w:rPr>
          <w:rFonts w:ascii="Arial" w:cs="Arial" w:eastAsia="Arial" w:hAnsi="Arial"/>
          <w:sz w:val="18"/>
          <w:szCs w:val="18"/>
          <w:color w:val="auto"/>
        </w:rPr>
        <w:t>39577</w:t>
      </w:r>
    </w:p>
    <w:p>
      <w:pPr>
        <w:spacing w:after="0" w:line="234" w:lineRule="exact"/>
        <w:rPr>
          <w:rFonts w:ascii="Arial" w:cs="Arial" w:eastAsia="Arial" w:hAnsi="Arial"/>
          <w:sz w:val="18"/>
          <w:szCs w:val="18"/>
          <w:u w:val="single" w:color="auto"/>
          <w:color w:val="0000EE"/>
        </w:rPr>
      </w:pPr>
    </w:p>
    <w:p>
      <w:pPr>
        <w:ind w:left="540"/>
        <w:spacing w:after="0"/>
        <w:rPr>
          <w:sz w:val="20"/>
          <w:szCs w:val="20"/>
          <w:color w:val="auto"/>
        </w:rPr>
      </w:pPr>
      <w:r>
        <w:rPr>
          <w:rFonts w:ascii="Arial" w:cs="Arial" w:eastAsia="Arial" w:hAnsi="Arial"/>
          <w:sz w:val="18"/>
          <w:szCs w:val="18"/>
          <w:color w:val="auto"/>
        </w:rPr>
        <w:t>333-</w:t>
      </w:r>
    </w:p>
    <w:p>
      <w:pPr>
        <w:ind w:left="100"/>
        <w:spacing w:after="0"/>
        <w:tabs>
          <w:tab w:leader="none" w:pos="1140" w:val="left"/>
          <w:tab w:leader="none" w:pos="1540" w:val="left"/>
        </w:tabs>
        <w:rPr>
          <w:sz w:val="20"/>
          <w:szCs w:val="20"/>
          <w:color w:val="auto"/>
        </w:rPr>
      </w:pPr>
      <w:r>
        <w:rPr>
          <w:rFonts w:ascii="Arial" w:cs="Arial" w:eastAsia="Arial" w:hAnsi="Arial"/>
          <w:sz w:val="18"/>
          <w:szCs w:val="18"/>
          <w:color w:val="auto"/>
        </w:rPr>
        <w:t xml:space="preserve">S-1 </w:t>
      </w:r>
      <w:r>
        <w:rPr>
          <w:rFonts w:ascii="Arial" w:cs="Arial" w:eastAsia="Arial" w:hAnsi="Arial"/>
          <w:sz w:val="35"/>
          <w:szCs w:val="35"/>
          <w:color w:val="auto"/>
          <w:vertAlign w:val="subscript"/>
        </w:rPr>
        <w:t>248788</w:t>
      </w:r>
      <w:r>
        <w:rPr>
          <w:rFonts w:ascii="Arial" w:cs="Arial" w:eastAsia="Arial" w:hAnsi="Arial"/>
          <w:sz w:val="18"/>
          <w:szCs w:val="18"/>
          <w:color w:val="auto"/>
        </w:rPr>
        <w:tab/>
        <w:t>4.1</w:t>
      </w:r>
      <w:r>
        <w:rPr>
          <w:sz w:val="20"/>
          <w:szCs w:val="20"/>
          <w:color w:val="auto"/>
        </w:rPr>
        <w:tab/>
      </w:r>
      <w:r>
        <w:rPr>
          <w:rFonts w:ascii="Arial" w:cs="Arial" w:eastAsia="Arial" w:hAnsi="Arial"/>
          <w:sz w:val="16"/>
          <w:szCs w:val="16"/>
          <w:color w:val="auto"/>
        </w:rPr>
        <w:t>09/14/2020</w:t>
      </w:r>
    </w:p>
    <w:p>
      <w:pPr>
        <w:spacing w:after="0" w:line="256" w:lineRule="exact"/>
        <w:rPr>
          <w:rFonts w:ascii="Arial" w:cs="Arial" w:eastAsia="Arial" w:hAnsi="Arial"/>
          <w:sz w:val="18"/>
          <w:szCs w:val="18"/>
          <w:u w:val="single" w:color="auto"/>
          <w:color w:val="0000EE"/>
        </w:rPr>
      </w:pPr>
    </w:p>
    <w:p>
      <w:pPr>
        <w:sectPr>
          <w:pgSz w:w="11900" w:h="16838" w:orient="portrait"/>
          <w:cols w:equalWidth="0" w:num="3">
            <w:col w:w="700" w:space="220"/>
            <w:col w:w="4740" w:space="100"/>
            <w:col w:w="3259"/>
          </w:cols>
          <w:pgMar w:left="1440" w:top="517" w:right="1440" w:bottom="1440" w:gutter="0" w:footer="0" w:header="0"/>
          <w:type w:val="continuous"/>
        </w:sectPr>
      </w:pPr>
    </w:p>
    <w:p>
      <w:pPr>
        <w:spacing w:after="0" w:line="36"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4320" w:type="dxa"/>
            <w:vAlign w:val="bottom"/>
            <w:tcBorders>
              <w:bottom w:val="single" w:sz="8" w:color="0000EE"/>
            </w:tcBorders>
            <w:gridSpan w:val="3"/>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Specimen stock certificate evidencing the shares of Class A</w:t>
              </w:r>
            </w:hyperlink>
          </w:p>
        </w:tc>
        <w:tc>
          <w:tcPr>
            <w:tcW w:w="4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60" w:type="dxa"/>
            <w:vAlign w:val="bottom"/>
            <w:gridSpan w:val="6"/>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common stock</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4300" w:type="dxa"/>
            <w:vAlign w:val="bottom"/>
            <w:tcBorders>
              <w:bottom w:val="single" w:sz="8" w:color="0000EE"/>
            </w:tcBorders>
            <w:gridSpan w:val="2"/>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Specimen stock certificate evidencing the shares of Class B</w:t>
              </w:r>
            </w:hyperlink>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760" w:type="dxa"/>
            <w:vAlign w:val="bottom"/>
            <w:gridSpan w:val="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common stock</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600" w:type="dxa"/>
            <w:vAlign w:val="bottom"/>
            <w:tcBorders>
              <w:bottom w:val="single" w:sz="8" w:color="0000EE"/>
            </w:tcBorders>
            <w:gridSpan w:val="4"/>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Second Amendment, dated January 21, 2022, to Amended and</w:t>
              </w:r>
            </w:hyperlink>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7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Restated Credit and Security Agreement (Revolving Loan), dated</w:t>
              </w:r>
            </w:hyperlink>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as of July 15, 2019, by and among the Registrant and Aziyo Med,</w:t>
              </w:r>
            </w:hyperlink>
          </w:p>
        </w:tc>
        <w:tc>
          <w:tcPr>
            <w:tcW w:w="20" w:type="dxa"/>
            <w:vAlign w:val="bottom"/>
            <w:tcBorders>
              <w:bottom w:val="single" w:sz="8" w:color="0000EE"/>
            </w:tcBorders>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LLC, as Borrowers, Midcap Funding IV Trust, as Agent and as a</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3" w:lineRule="exact"/>
        <w:rPr>
          <w:sz w:val="20"/>
          <w:szCs w:val="20"/>
          <w:color w:val="auto"/>
        </w:rPr>
      </w:pPr>
    </w:p>
    <w:p>
      <w:pPr>
        <w:ind w:left="920"/>
        <w:spacing w:after="0" w:line="277" w:lineRule="auto"/>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Lender, and the additional Lenders from time to time party thereto,</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as amended</w:t>
        </w:r>
      </w:hyperlink>
    </w:p>
    <w:p>
      <w:pPr>
        <w:spacing w:after="0" w:line="20" w:lineRule="exact"/>
        <w:rPr>
          <w:sz w:val="20"/>
          <w:szCs w:val="20"/>
          <w:color w:val="auto"/>
        </w:rPr>
      </w:pPr>
      <w:r>
        <w:rPr>
          <w:sz w:val="20"/>
          <w:szCs w:val="20"/>
          <w:color w:val="auto"/>
        </w:rPr>
        <w:br w:type="column"/>
      </w:r>
    </w:p>
    <w:p>
      <w:pPr>
        <w:ind w:left="440" w:hanging="340"/>
        <w:spacing w:after="0" w:line="342" w:lineRule="auto"/>
        <w:tabs>
          <w:tab w:leader="none" w:pos="420" w:val="left"/>
        </w:tabs>
        <w:rPr>
          <w:sz w:val="20"/>
          <w:szCs w:val="20"/>
          <w:color w:val="auto"/>
        </w:rPr>
      </w:pPr>
      <w:r>
        <w:rPr>
          <w:rFonts w:ascii="Arial" w:cs="Arial" w:eastAsia="Arial" w:hAnsi="Arial"/>
          <w:sz w:val="35"/>
          <w:szCs w:val="35"/>
          <w:color w:val="auto"/>
          <w:vertAlign w:val="subscript"/>
        </w:rPr>
        <w:t>S-1</w:t>
      </w:r>
      <w:r>
        <w:rPr>
          <w:sz w:val="20"/>
          <w:szCs w:val="20"/>
          <w:color w:val="auto"/>
        </w:rPr>
        <w:tab/>
      </w:r>
      <w:r>
        <w:rPr>
          <w:rFonts w:ascii="Arial" w:cs="Arial" w:eastAsia="Arial" w:hAnsi="Arial"/>
          <w:sz w:val="16"/>
          <w:szCs w:val="16"/>
          <w:color w:val="auto"/>
        </w:rPr>
        <w:t>333-248788</w:t>
      </w:r>
    </w:p>
    <w:p>
      <w:pPr>
        <w:spacing w:after="0" w:line="178" w:lineRule="exact"/>
        <w:rPr>
          <w:sz w:val="20"/>
          <w:szCs w:val="20"/>
          <w:color w:val="auto"/>
        </w:rPr>
      </w:pPr>
    </w:p>
    <w:p>
      <w:pPr>
        <w:ind w:left="440" w:hanging="430"/>
        <w:spacing w:after="0" w:line="181" w:lineRule="auto"/>
        <w:rPr>
          <w:sz w:val="20"/>
          <w:szCs w:val="20"/>
          <w:color w:val="auto"/>
        </w:rPr>
      </w:pPr>
      <w:r>
        <w:rPr>
          <w:rFonts w:ascii="Arial" w:cs="Arial" w:eastAsia="Arial" w:hAnsi="Arial"/>
          <w:sz w:val="15"/>
          <w:szCs w:val="15"/>
          <w:color w:val="auto"/>
        </w:rPr>
        <w:t xml:space="preserve">S-1/A </w:t>
      </w:r>
      <w:r>
        <w:rPr>
          <w:rFonts w:ascii="Arial" w:cs="Arial" w:eastAsia="Arial" w:hAnsi="Arial"/>
          <w:sz w:val="27"/>
          <w:szCs w:val="27"/>
          <w:color w:val="auto"/>
          <w:vertAlign w:val="superscript"/>
        </w:rPr>
        <w:t>333-</w:t>
      </w:r>
      <w:r>
        <w:rPr>
          <w:rFonts w:ascii="Arial" w:cs="Arial" w:eastAsia="Arial" w:hAnsi="Arial"/>
          <w:sz w:val="15"/>
          <w:szCs w:val="15"/>
          <w:color w:val="auto"/>
        </w:rPr>
        <w:t>248788</w:t>
      </w:r>
    </w:p>
    <w:p>
      <w:pPr>
        <w:spacing w:after="0" w:line="200" w:lineRule="exact"/>
        <w:rPr>
          <w:sz w:val="20"/>
          <w:szCs w:val="20"/>
          <w:color w:val="auto"/>
        </w:rPr>
      </w:pPr>
    </w:p>
    <w:p>
      <w:pPr>
        <w:spacing w:after="0" w:line="299" w:lineRule="exact"/>
        <w:rPr>
          <w:sz w:val="20"/>
          <w:szCs w:val="20"/>
          <w:color w:val="auto"/>
        </w:rPr>
      </w:pPr>
    </w:p>
    <w:p>
      <w:pPr>
        <w:jc w:val="right"/>
        <w:ind w:right="120"/>
        <w:spacing w:after="0"/>
        <w:rPr>
          <w:sz w:val="20"/>
          <w:szCs w:val="20"/>
          <w:color w:val="auto"/>
        </w:rPr>
      </w:pPr>
      <w:r>
        <w:rPr>
          <w:rFonts w:ascii="Arial" w:cs="Arial" w:eastAsia="Arial" w:hAnsi="Arial"/>
          <w:sz w:val="30"/>
          <w:szCs w:val="30"/>
          <w:color w:val="auto"/>
          <w:vertAlign w:val="subscript"/>
        </w:rPr>
        <w:t>10-K</w:t>
      </w:r>
      <w:r>
        <w:rPr>
          <w:rFonts w:ascii="Arial" w:cs="Arial" w:eastAsia="Arial" w:hAnsi="Arial"/>
          <w:sz w:val="16"/>
          <w:szCs w:val="16"/>
          <w:color w:val="auto"/>
        </w:rPr>
        <w:t xml:space="preserve">  001-</w:t>
      </w:r>
    </w:p>
    <w:p>
      <w:pPr>
        <w:jc w:val="right"/>
        <w:ind w:right="60"/>
        <w:spacing w:after="0"/>
        <w:rPr>
          <w:sz w:val="20"/>
          <w:szCs w:val="20"/>
          <w:color w:val="auto"/>
        </w:rPr>
      </w:pPr>
      <w:r>
        <w:rPr>
          <w:rFonts w:ascii="Arial" w:cs="Arial" w:eastAsia="Arial" w:hAnsi="Arial"/>
          <w:sz w:val="18"/>
          <w:szCs w:val="18"/>
          <w:color w:val="auto"/>
        </w:rPr>
        <w:t>39577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09/14/2020</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09/30/2020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03/08/2022</w:t>
      </w:r>
    </w:p>
    <w:p>
      <w:pPr>
        <w:spacing w:after="0" w:line="747" w:lineRule="exact"/>
        <w:rPr>
          <w:sz w:val="20"/>
          <w:szCs w:val="20"/>
          <w:color w:val="auto"/>
        </w:rPr>
      </w:pPr>
    </w:p>
    <w:p>
      <w:pPr>
        <w:sectPr>
          <w:pgSz w:w="11900" w:h="16838" w:orient="portrait"/>
          <w:cols w:equalWidth="0" w:num="3">
            <w:col w:w="5740" w:space="20"/>
            <w:col w:w="980" w:space="120"/>
            <w:col w:w="215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10.2</w:t>
            </w:r>
          </w:p>
        </w:tc>
        <w:tc>
          <w:tcPr>
            <w:tcW w:w="4600" w:type="dxa"/>
            <w:vAlign w:val="bottom"/>
            <w:tcBorders>
              <w:bottom w:val="single" w:sz="8" w:color="0000EE"/>
            </w:tcBorders>
            <w:gridSpan w:val="5"/>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Second Amendment, dated January 21, 2022, to Amended and</w:t>
              </w:r>
            </w:hyperlink>
          </w:p>
        </w:tc>
        <w:tc>
          <w:tcPr>
            <w:tcW w:w="260" w:type="dxa"/>
            <w:vAlign w:val="bottom"/>
            <w:gridSpan w:val="5"/>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Restated Credit and Security Agreement (Term Loan), dated as of</w:t>
              </w:r>
            </w:hyperlink>
          </w:p>
        </w:tc>
        <w:tc>
          <w:tcPr>
            <w:tcW w:w="8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July 15, 2019, by and among the Registrant and Aziyo Med, LLC,</w:t>
              </w:r>
            </w:hyperlink>
          </w:p>
        </w:tc>
        <w:tc>
          <w:tcPr>
            <w:tcW w:w="20" w:type="dxa"/>
            <w:vAlign w:val="bottom"/>
          </w:tcPr>
          <w:p>
            <w:pPr>
              <w:spacing w:after="0"/>
              <w:rPr>
                <w:sz w:val="17"/>
                <w:szCs w:val="17"/>
                <w:color w:val="auto"/>
              </w:rPr>
            </w:pPr>
          </w:p>
        </w:tc>
        <w:tc>
          <w:tcPr>
            <w:tcW w:w="420" w:type="dxa"/>
            <w:vAlign w:val="bottom"/>
            <w:vMerge w:val="restart"/>
          </w:tcPr>
          <w:p>
            <w:pPr>
              <w:ind w:left="20"/>
              <w:spacing w:after="0"/>
              <w:rPr>
                <w:sz w:val="20"/>
                <w:szCs w:val="20"/>
                <w:color w:val="auto"/>
              </w:rPr>
            </w:pPr>
            <w:r>
              <w:rPr>
                <w:rFonts w:ascii="Arial" w:cs="Arial" w:eastAsia="Arial" w:hAnsi="Arial"/>
                <w:sz w:val="18"/>
                <w:szCs w:val="18"/>
                <w:color w:val="auto"/>
                <w:w w:val="99"/>
              </w:rPr>
              <w:t>10-K</w:t>
            </w:r>
          </w:p>
        </w:tc>
        <w:tc>
          <w:tcPr>
            <w:tcW w:w="5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001-</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w w:val="99"/>
              </w:rPr>
              <w:t>10.4  03/08/2022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60" w:type="dxa"/>
            <w:vAlign w:val="bottom"/>
            <w:gridSpan w:val="10"/>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as Borrowers, Midcap Funding IV Trust, as Agent and as a Lender,</w:t>
              </w:r>
            </w:hyperlink>
          </w:p>
        </w:tc>
        <w:tc>
          <w:tcPr>
            <w:tcW w:w="420" w:type="dxa"/>
            <w:vAlign w:val="bottom"/>
            <w:vMerge w:val="continue"/>
          </w:tcPr>
          <w:p>
            <w:pPr>
              <w:spacing w:after="0"/>
              <w:rPr>
                <w:sz w:val="17"/>
                <w:szCs w:val="17"/>
                <w:color w:val="auto"/>
              </w:rPr>
            </w:pPr>
          </w:p>
        </w:tc>
        <w:tc>
          <w:tcPr>
            <w:tcW w:w="5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1"/>
              </w:rPr>
              <w:t>39577</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and the additional Lenders from time to time party thereto, as</w:t>
              </w:r>
            </w:hyperlink>
          </w:p>
        </w:tc>
        <w:tc>
          <w:tcPr>
            <w:tcW w:w="3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64">
              <w:r>
                <w:rPr>
                  <w:rFonts w:ascii="Arial" w:cs="Arial" w:eastAsia="Arial" w:hAnsi="Arial"/>
                  <w:sz w:val="18"/>
                  <w:szCs w:val="18"/>
                  <w:color w:val="0000EE"/>
                  <w:w w:val="85"/>
                </w:rPr>
                <w:t>amended</w:t>
              </w:r>
            </w:hyperlink>
          </w:p>
        </w:tc>
        <w:tc>
          <w:tcPr>
            <w:tcW w:w="420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31.1</w:t>
            </w:r>
          </w:p>
        </w:tc>
        <w:tc>
          <w:tcPr>
            <w:tcW w:w="4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Principal Executive Officer Pursuant to Rules 13a-</w:t>
              </w:r>
            </w:hyperlink>
          </w:p>
        </w:tc>
        <w:tc>
          <w:tcPr>
            <w:tcW w:w="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14(a) and 15d-14(a) under the Securities Exchange Act of 1934, as</w:t>
              </w:r>
            </w:hyperlink>
          </w:p>
        </w:tc>
        <w:tc>
          <w:tcPr>
            <w:tcW w:w="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60" w:type="dxa"/>
            <w:vAlign w:val="bottom"/>
            <w:gridSpan w:val="10"/>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Adopted Pursuant to Section 302 of the Sarbanes-Oxley Act of</w:t>
              </w:r>
            </w:hyperlink>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2002.</w:t>
              </w:r>
            </w:hyperlink>
          </w:p>
        </w:tc>
        <w:tc>
          <w:tcPr>
            <w:tcW w:w="240" w:type="dxa"/>
            <w:vAlign w:val="bottom"/>
            <w:tcBorders>
              <w:top w:val="single" w:sz="8" w:color="0000EE"/>
            </w:tcBorders>
          </w:tcPr>
          <w:p>
            <w:pPr>
              <w:spacing w:after="0"/>
              <w:rPr>
                <w:sz w:val="17"/>
                <w:szCs w:val="17"/>
                <w:color w:val="auto"/>
              </w:rPr>
            </w:pPr>
          </w:p>
        </w:tc>
        <w:tc>
          <w:tcPr>
            <w:tcW w:w="3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right"/>
              <w:ind w:right="470"/>
              <w:spacing w:after="0"/>
              <w:rPr>
                <w:sz w:val="20"/>
                <w:szCs w:val="20"/>
                <w:color w:val="auto"/>
              </w:rPr>
            </w:pPr>
            <w:r>
              <w:rPr>
                <w:rFonts w:ascii="Arial" w:cs="Arial" w:eastAsia="Arial" w:hAnsi="Arial"/>
                <w:sz w:val="18"/>
                <w:szCs w:val="18"/>
                <w:color w:val="auto"/>
                <w:w w:val="79"/>
              </w:rPr>
              <w:t>31.2</w:t>
            </w:r>
          </w:p>
        </w:tc>
        <w:tc>
          <w:tcPr>
            <w:tcW w:w="4860" w:type="dxa"/>
            <w:vAlign w:val="bottom"/>
            <w:gridSpan w:val="10"/>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Certification of Principal Financial Officer Pursuant to Rules 13a-</w:t>
              </w:r>
            </w:hyperlink>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14(a) and 15d-14(a) under the Securities Exchange Act of 1934, as</w:t>
              </w:r>
            </w:hyperlink>
          </w:p>
        </w:tc>
        <w:tc>
          <w:tcPr>
            <w:tcW w:w="4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right="2680"/>
        <w:spacing w:after="0" w:line="277"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Adopted Pursuant to Section 302 of the Sarbanes-Oxley Act of</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2002.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48" w:lineRule="exact"/>
        <w:rPr>
          <w:sz w:val="20"/>
          <w:szCs w:val="20"/>
          <w:color w:val="auto"/>
        </w:rPr>
      </w:pPr>
    </w:p>
    <w:p>
      <w:pPr>
        <w:sectPr>
          <w:pgSz w:w="11900" w:h="16838" w:orient="portrait"/>
          <w:cols w:equalWidth="0" w:num="2">
            <w:col w:w="8140" w:space="360"/>
            <w:col w:w="519"/>
          </w:cols>
          <w:pgMar w:left="1440" w:top="517" w:right="1440" w:bottom="1440" w:gutter="0" w:footer="0" w:header="0"/>
          <w:type w:val="continuous"/>
        </w:sectPr>
      </w:pPr>
    </w:p>
    <w:p>
      <w:pPr>
        <w:ind w:left="6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45">
        <w:r>
          <w:rPr>
            <w:rFonts w:ascii="Arial" w:cs="Arial" w:eastAsia="Arial" w:hAnsi="Arial"/>
            <w:sz w:val="16"/>
            <w:szCs w:val="16"/>
            <w:u w:val="single" w:color="auto"/>
            <w:color w:val="0000EE"/>
          </w:rPr>
          <w:t>Certification of Principal Executive Officer Pursuant to 18 U.S.C.</w:t>
        </w:r>
      </w:hyperlink>
    </w:p>
    <w:p>
      <w:pPr>
        <w:spacing w:after="0" w:line="23" w:lineRule="exact"/>
        <w:rPr>
          <w:sz w:val="20"/>
          <w:szCs w:val="20"/>
          <w:color w:val="auto"/>
        </w:rPr>
      </w:pPr>
    </w:p>
    <w:p>
      <w:pPr>
        <w:ind w:left="920" w:right="379"/>
        <w:spacing w:after="0" w:line="250"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Section 1350, as Adopted Pursuant to Section 906 of the Sarbanes-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45">
        <w:r>
          <w:rPr>
            <w:rFonts w:ascii="Arial" w:cs="Arial" w:eastAsia="Arial" w:hAnsi="Arial"/>
            <w:sz w:val="18"/>
            <w:szCs w:val="18"/>
            <w:u w:val="single" w:color="auto"/>
            <w:color w:val="0000EE"/>
          </w:rPr>
          <w:t>Oxley Act of 2002.</w:t>
        </w:r>
      </w:hyperlink>
    </w:p>
    <w:p>
      <w:pPr>
        <w:spacing w:after="0" w:line="200" w:lineRule="exact"/>
        <w:rPr>
          <w:sz w:val="20"/>
          <w:szCs w:val="20"/>
          <w:color w:val="auto"/>
        </w:rPr>
      </w:pPr>
    </w:p>
    <w:p>
      <w:pPr>
        <w:spacing w:after="0" w:line="218" w:lineRule="exact"/>
        <w:rPr>
          <w:sz w:val="20"/>
          <w:szCs w:val="20"/>
          <w:color w:val="auto"/>
        </w:rPr>
      </w:pPr>
    </w:p>
    <w:p>
      <w:pPr>
        <w:ind w:left="6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46">
        <w:r>
          <w:rPr>
            <w:rFonts w:ascii="Arial" w:cs="Arial" w:eastAsia="Arial" w:hAnsi="Arial"/>
            <w:sz w:val="16"/>
            <w:szCs w:val="16"/>
            <w:u w:val="single" w:color="auto"/>
            <w:color w:val="0000EE"/>
          </w:rPr>
          <w:t>Certification of Principal Financial Officer Pursuant to 18 U.S.C.</w:t>
        </w:r>
      </w:hyperlink>
    </w:p>
    <w:p>
      <w:pPr>
        <w:spacing w:after="0" w:line="23" w:lineRule="exact"/>
        <w:rPr>
          <w:sz w:val="20"/>
          <w:szCs w:val="20"/>
          <w:color w:val="auto"/>
        </w:rPr>
      </w:pPr>
    </w:p>
    <w:p>
      <w:pPr>
        <w:ind w:left="920" w:right="379"/>
        <w:spacing w:after="0" w:line="250"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1350, as Adopted Pursuant to Section 906 of the Sarbanes-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46">
        <w:r>
          <w:rPr>
            <w:rFonts w:ascii="Arial" w:cs="Arial" w:eastAsia="Arial" w:hAnsi="Arial"/>
            <w:sz w:val="18"/>
            <w:szCs w:val="18"/>
            <w:u w:val="single" w:color="auto"/>
            <w:color w:val="0000EE"/>
          </w:rPr>
          <w:t>Oxley Act of 2002.</w:t>
        </w:r>
      </w:hyperlink>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4900" w:type="dxa"/>
            <w:vAlign w:val="bottom"/>
          </w:tcPr>
          <w:p>
            <w:pPr>
              <w:ind w:left="100"/>
              <w:spacing w:after="0"/>
              <w:rPr>
                <w:sz w:val="20"/>
                <w:szCs w:val="20"/>
                <w:color w:val="auto"/>
              </w:rPr>
            </w:pPr>
            <w:r>
              <w:rPr>
                <w:rFonts w:ascii="Arial" w:cs="Arial" w:eastAsia="Arial" w:hAnsi="Arial"/>
                <w:sz w:val="18"/>
                <w:szCs w:val="18"/>
                <w:color w:val="auto"/>
                <w:w w:val="90"/>
              </w:rPr>
              <w:t>Inline XBRL Instance Document - the instance document does not</w:t>
            </w:r>
          </w:p>
        </w:tc>
      </w:tr>
      <w:tr>
        <w:trPr>
          <w:trHeight w:val="216"/>
        </w:trPr>
        <w:tc>
          <w:tcPr>
            <w:tcW w:w="76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w w:val="97"/>
              </w:rPr>
              <w:t>appear in the Interactive Data File because its XBRL tags are</w:t>
            </w:r>
          </w:p>
        </w:tc>
      </w:tr>
      <w:tr>
        <w:trPr>
          <w:trHeight w:val="230"/>
        </w:trPr>
        <w:tc>
          <w:tcPr>
            <w:tcW w:w="760" w:type="dxa"/>
            <w:vAlign w:val="bottom"/>
          </w:tcPr>
          <w:p>
            <w:pPr>
              <w:spacing w:after="0"/>
              <w:rPr>
                <w:sz w:val="20"/>
                <w:szCs w:val="20"/>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4900" w:type="dxa"/>
            <w:vAlign w:val="bottom"/>
          </w:tcPr>
          <w:p>
            <w:pPr>
              <w:ind w:left="100"/>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490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760" w:type="dxa"/>
            <w:vAlign w:val="bottom"/>
          </w:tcPr>
          <w:p>
            <w:pPr>
              <w:spacing w:after="0"/>
              <w:rPr>
                <w:sz w:val="20"/>
                <w:szCs w:val="20"/>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4900" w:type="dxa"/>
            <w:vAlign w:val="bottom"/>
          </w:tcPr>
          <w:p>
            <w:pPr>
              <w:ind w:left="100"/>
              <w:spacing w:after="0"/>
              <w:rPr>
                <w:sz w:val="20"/>
                <w:szCs w:val="20"/>
                <w:color w:val="auto"/>
              </w:rPr>
            </w:pPr>
            <w:r>
              <w:rPr>
                <w:rFonts w:ascii="Arial" w:cs="Arial" w:eastAsia="Arial" w:hAnsi="Arial"/>
                <w:sz w:val="18"/>
                <w:szCs w:val="18"/>
                <w:color w:val="auto"/>
                <w:w w:val="93"/>
              </w:rPr>
              <w:t>Inline XBRL Taxonomy Extension Definition Linkbase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4900" w:type="dxa"/>
            <w:vAlign w:val="bottom"/>
          </w:tcPr>
          <w:p>
            <w:pPr>
              <w:ind w:left="100"/>
              <w:spacing w:after="0"/>
              <w:rPr>
                <w:sz w:val="20"/>
                <w:szCs w:val="20"/>
                <w:color w:val="auto"/>
              </w:rPr>
            </w:pPr>
            <w:r>
              <w:rPr>
                <w:rFonts w:ascii="Arial" w:cs="Arial" w:eastAsia="Arial" w:hAnsi="Arial"/>
                <w:sz w:val="18"/>
                <w:szCs w:val="18"/>
                <w:color w:val="auto"/>
                <w:w w:val="99"/>
              </w:rPr>
              <w:t>Inline XBRL Taxonomy Extension Label Linkbase Document</w:t>
            </w:r>
          </w:p>
        </w:tc>
      </w:tr>
      <w:tr>
        <w:trPr>
          <w:trHeight w:val="634"/>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490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760" w:type="dxa"/>
            <w:vAlign w:val="bottom"/>
          </w:tcPr>
          <w:p>
            <w:pPr>
              <w:spacing w:after="0"/>
              <w:rPr>
                <w:sz w:val="20"/>
                <w:szCs w:val="20"/>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Document</w:t>
            </w:r>
          </w:p>
        </w:tc>
      </w:tr>
    </w:tbl>
    <w:p>
      <w:pPr>
        <w:spacing w:after="0" w:line="202" w:lineRule="exact"/>
        <w:rPr>
          <w:sz w:val="20"/>
          <w:szCs w:val="20"/>
          <w:color w:val="auto"/>
        </w:rPr>
      </w:pPr>
    </w:p>
    <w:p>
      <w:pPr>
        <w:ind w:left="920" w:right="2220" w:hanging="870"/>
        <w:spacing w:after="0" w:line="27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920" w:hanging="222"/>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-438785</wp:posOffset>
            </wp:positionV>
            <wp:extent cx="1414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780" w:space="720"/>
            <w:col w:w="5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ind w:left="940"/>
              <w:spacing w:after="0"/>
              <w:rPr>
                <w:sz w:val="20"/>
                <w:szCs w:val="20"/>
                <w:color w:val="auto"/>
              </w:rPr>
            </w:pPr>
            <w:r>
              <w:rPr>
                <w:rFonts w:ascii="Arial" w:cs="Arial" w:eastAsia="Arial" w:hAnsi="Arial"/>
                <w:sz w:val="18"/>
                <w:szCs w:val="18"/>
                <w:color w:val="auto"/>
              </w:rPr>
              <w:t>AZIYO BIOLOGICS,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10, 2022</w:t>
            </w:r>
          </w:p>
        </w:tc>
        <w:tc>
          <w:tcPr>
            <w:tcW w:w="1780" w:type="dxa"/>
            <w:vAlign w:val="bottom"/>
          </w:tcPr>
          <w:p>
            <w:pPr>
              <w:ind w:left="150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Ronald Lloyd</w:t>
            </w: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Ronald Lloyd</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10, 2022</w:t>
            </w:r>
          </w:p>
        </w:tc>
        <w:tc>
          <w:tcPr>
            <w:tcW w:w="1780" w:type="dxa"/>
            <w:vAlign w:val="bottom"/>
          </w:tcPr>
          <w:p>
            <w:pPr>
              <w:ind w:left="150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Lloyd,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2022 of Aziyo Biologics, Inc.;</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10, 2022</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2022 of Aziyo Biologics, Inc.;</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10, 2022</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6"/>
        </w:trPr>
        <w:tc>
          <w:tcPr>
            <w:tcW w:w="3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In connection with the Quarterly Report of Aziyo Biologics, Inc. (the “Company”) on Form 10-Q for the quarterly period ended March 31, 2022 as filed with the Securities and Exchange Commission on the date hereof (the “Report”), I certify, pursuant to 18 U.S.C.</w:t>
      </w:r>
    </w:p>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10, 2022</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10, 2022</w:t>
            </w:r>
          </w:p>
        </w:tc>
        <w:tc>
          <w:tcPr>
            <w:tcW w:w="2060" w:type="dxa"/>
            <w:vAlign w:val="bottom"/>
          </w:tcPr>
          <w:p>
            <w:pPr>
              <w:ind w:left="17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1)"/>
      <w:numFmt w:val="lowerRoman"/>
      <w:start w:val="4"/>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lvl w:ilvl="1">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lvl w:ilvl="1">
      <w:lvlJc w:val="left"/>
      <w:lvlText w:val="(%2)"/>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58" Type="http://schemas.openxmlformats.org/officeDocument/2006/relationships/hyperlink" Target="https://www.sec.gov/Archives/edgar/data/1708527/000110465920114535/tm2023171d18_ex3-1.htm" TargetMode="External"/><Relationship Id="rId59" Type="http://schemas.openxmlformats.org/officeDocument/2006/relationships/hyperlink" Target="https://www.sec.gov/Archives/edgar/data/1708527/000110465920114535/tm2023171d18_ex3-2.htm" TargetMode="External"/><Relationship Id="rId60" Type="http://schemas.openxmlformats.org/officeDocument/2006/relationships/hyperlink" Target="https://www.sec.gov/Archives/edgar/data/1708527/000110465920104884/tm2023171d8_ex4-1.htm" TargetMode="External"/><Relationship Id="rId61" Type="http://schemas.openxmlformats.org/officeDocument/2006/relationships/hyperlink" Target="https://www.sec.gov/Archives/edgar/data/1708527/000110465920104884/tm2023171d8_ex4-2.htm" TargetMode="External"/><Relationship Id="rId62" Type="http://schemas.openxmlformats.org/officeDocument/2006/relationships/hyperlink" Target="https://www.sec.gov/Archives/edgar/data/1708527/000110465920110107/tm2023171d11_ex4-3.htm" TargetMode="External"/><Relationship Id="rId63" Type="http://schemas.openxmlformats.org/officeDocument/2006/relationships/hyperlink" Target="https://www.sec.gov/Archives/edgar/data/1708527/000155837022003073/azyo-20211231xex10d3.htm" TargetMode="External"/><Relationship Id="rId64" Type="http://schemas.openxmlformats.org/officeDocument/2006/relationships/hyperlink" Target="https://www.sec.gov/Archives/edgar/data/1708527/000155837022003073/azyo-20211231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2022-05-10T15:31:40Z</dcterms:created>
  <dcterms:modified xsi:type="dcterms:W3CDTF">2022-05-10T15:31:40Z</dcterms:modified>
</cp:coreProperties>
</file>