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521d1_8k.htm"/>
      <w:bookmarkStart w:id="1" w:name="kstm2622521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w:t>
      </w:r>
      <w:bookmarkStart w:id="2" w:name="xdx_900_edei--DocumentType_c20260806__20"/>
      <w:bookmarkEnd w:id="2"/>
      <w:r>
        <w:rPr>
          <w:rFonts w:ascii="Times New Roman;Times;Serif" w:hAnsi="Times New Roman;Times;Serif"/>
          <w:b/>
          <w:i w:val="false"/>
          <w:caps w:val="false"/>
          <w:smallCaps w:val="false"/>
          <w:sz w:val="20"/>
        </w:rPr>
        <w:t>8-K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val="false"/>
          <w:i w:val="false"/>
          <w:caps w:val="false"/>
          <w:smallCaps w:val="false"/>
          <w:sz w:val="20"/>
          <w:u w:val="single"/>
        </w:rPr>
        <w:t>August 7, 2026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w:t>
      </w:r>
      <w:bookmarkStart w:id="3" w:name="xdx_90C_edei--DocumentPeriodEndDate_c202"/>
      <w:bookmarkEnd w:id="3"/>
      <w:r>
        <w:rPr>
          <w:rFonts w:ascii="Times New Roman;Times;Serif" w:hAnsi="Times New Roman;Times;Serif"/>
          <w:b w:val="false"/>
          <w:i w:val="false"/>
          <w:caps w:val="false"/>
          <w:smallCaps w:val="false"/>
          <w:sz w:val="20"/>
          <w:u w:val="single"/>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B_edei--EntityRegistrantName_c2026"/>
      <w:bookmarkEnd w:id="4"/>
      <w:r>
        <w:rPr>
          <w:rFonts w:ascii="Times New Roman;Times;Serif" w:hAnsi="Times New Roman;Times;Serif"/>
          <w:b/>
          <w:i w:val="false"/>
          <w:caps w:val="false"/>
          <w:smallCaps w:val="false"/>
          <w:sz w:val="28"/>
          <w:u w:val="single"/>
        </w:rPr>
        <w:t>ELUTIA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u w:val="single"/>
              </w:rPr>
            </w:pPr>
            <w:bookmarkStart w:id="5" w:name="xdx_903_edei--EntityIncorporationStateCo"/>
            <w:bookmarkEnd w:id="5"/>
            <w:r>
              <w:rPr>
                <w:rFonts w:ascii="Times New Roman;Times;Serif" w:hAnsi="Times New Roman;Times;Serif"/>
                <w:b/>
                <w:sz w:val="20"/>
                <w:u w:val="single"/>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sz w:val="20"/>
                <w:u w:val="single"/>
              </w:rPr>
            </w:pPr>
            <w:bookmarkStart w:id="6" w:name="xdx_902_edei--EntityFileNumber_c20260806"/>
            <w:bookmarkEnd w:id="6"/>
            <w:r>
              <w:rPr>
                <w:rFonts w:ascii="Times New Roman;Times;Serif" w:hAnsi="Times New Roman;Times;Serif"/>
                <w:b/>
                <w:sz w:val="20"/>
                <w:u w:val="single"/>
              </w:rPr>
              <w:t>001-39577</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u w:val="single"/>
              </w:rPr>
            </w:pPr>
            <w:bookmarkStart w:id="7" w:name="xdx_904_edei--EntityTaxIdentificationNum"/>
            <w:bookmarkEnd w:id="7"/>
            <w:r>
              <w:rPr>
                <w:rFonts w:ascii="Times New Roman;Times;Serif" w:hAnsi="Times New Roman;Times;Serif"/>
                <w:b/>
                <w:sz w:val="20"/>
                <w:u w:val="single"/>
              </w:rPr>
              <w:t>47-4790334</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8" w:name="xdx_904_edei--EntityAddressAddressLine1_"/>
      <w:bookmarkEnd w:id="8"/>
      <w:r>
        <w:rPr>
          <w:rFonts w:ascii="Times New Roman;Times;Serif" w:hAnsi="Times New Roman;Times;Serif"/>
          <w:b/>
          <w:i w:val="false"/>
          <w:caps w:val="false"/>
          <w:smallCaps w:val="false"/>
          <w:sz w:val="20"/>
          <w:u w:val="single"/>
        </w:rPr>
        <w:t>20 Firstfield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u w:val="single"/>
        </w:rPr>
        <w:t xml:space="preserve">Gaithersburg, </w:t>
      </w:r>
      <w:bookmarkStart w:id="10" w:name="xdx_907_edei--EntityAddressStateOrProvin"/>
      <w:bookmarkEnd w:id="10"/>
      <w:r>
        <w:rPr>
          <w:rFonts w:ascii="Times New Roman;Times;Serif" w:hAnsi="Times New Roman;Times;Serif"/>
          <w:b/>
          <w:i w:val="false"/>
          <w:caps w:val="false"/>
          <w:smallCaps w:val="false"/>
          <w:sz w:val="20"/>
          <w:u w:val="single"/>
        </w:rPr>
        <w:t xml:space="preserve">MD </w:t>
      </w:r>
      <w:bookmarkStart w:id="11" w:name="xdx_90A_edei--EntityAddressPostalZipCode"/>
      <w:bookmarkEnd w:id="11"/>
      <w:r>
        <w:rPr>
          <w:rFonts w:ascii="Times New Roman;Times;Serif" w:hAnsi="Times New Roman;Times;Serif"/>
          <w:b/>
          <w:i w:val="false"/>
          <w:caps w:val="false"/>
          <w:smallCaps w:val="false"/>
          <w:sz w:val="20"/>
          <w:u w:val="single"/>
        </w:rPr>
        <w:t>20878</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w:t>
      </w:r>
      <w:bookmarkStart w:id="12" w:name="xdx_90C_edei--CityAreaCode_c20260806__20"/>
      <w:bookmarkEnd w:id="12"/>
      <w:r>
        <w:rPr>
          <w:rFonts w:ascii="Times New Roman;Times;Serif" w:hAnsi="Times New Roman;Times;Serif"/>
          <w:b/>
          <w:i w:val="false"/>
          <w:caps w:val="false"/>
          <w:smallCaps w:val="false"/>
          <w:sz w:val="20"/>
          <w:u w:val="single"/>
        </w:rPr>
        <w:t xml:space="preserve">240) </w:t>
      </w:r>
      <w:bookmarkStart w:id="13" w:name="xdx_901_edei--LocalPhoneNumber_c20260806"/>
      <w:bookmarkEnd w:id="13"/>
      <w:r>
        <w:rPr>
          <w:rFonts w:ascii="Times New Roman;Times;Serif" w:hAnsi="Times New Roman;Times;Serif"/>
          <w:b/>
          <w:i w:val="false"/>
          <w:caps w:val="false"/>
          <w:smallCaps w:val="false"/>
          <w:sz w:val="20"/>
          <w:u w:val="single"/>
        </w:rPr>
        <w:t>247-1170</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caps w:val="false"/>
                <w:smallCaps w:val="false"/>
              </w:rPr>
            </w:pPr>
            <w:bookmarkStart w:id="14" w:name="xdx_900_edei--WrittenCommunications_c202"/>
            <w:bookmarkEnd w:id="14"/>
            <w:r>
              <w:rPr>
                <w:caps w:val="false"/>
                <w:smallCaps w:val="false"/>
              </w:rPr>
              <w:t>☐</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caps w:val="false"/>
                <w:smallCaps w:val="false"/>
              </w:rPr>
            </w:pPr>
            <w:bookmarkStart w:id="15" w:name="xdx_90F_edei--SolicitingMaterial_c202608"/>
            <w:bookmarkEnd w:id="15"/>
            <w:r>
              <w:rPr>
                <w:caps w:val="false"/>
                <w:smallCaps w:val="false"/>
              </w:rPr>
              <w:t>☐</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caps w:val="false"/>
                <w:smallCaps w:val="false"/>
              </w:rPr>
            </w:pPr>
            <w:bookmarkStart w:id="16" w:name="xdx_906_edei--PreCommencementTenderOffer"/>
            <w:bookmarkEnd w:id="16"/>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caps w:val="false"/>
                <w:smallCaps w:val="false"/>
              </w:rPr>
            </w:pPr>
            <w:bookmarkStart w:id="17" w:name="xdx_90A_edei--PreCommencementIssuerTende"/>
            <w:bookmarkEnd w:id="17"/>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15" w:type="dxa"/>
        <w:jc w:val="left"/>
        <w:tblInd w:w="0" w:type="dxa"/>
        <w:tblLayout w:type="fixed"/>
        <w:tblCellMar>
          <w:top w:w="0" w:type="dxa"/>
          <w:left w:w="0" w:type="dxa"/>
          <w:bottom w:w="0" w:type="dxa"/>
          <w:right w:w="0" w:type="dxa"/>
        </w:tblCellMar>
      </w:tblPr>
      <w:tblGrid>
        <w:gridCol w:w="4175"/>
        <w:gridCol w:w="60"/>
        <w:gridCol w:w="1610"/>
        <w:gridCol w:w="60"/>
        <w:gridCol w:w="3710"/>
      </w:tblGrid>
      <w:tr>
        <w:trPr/>
        <w:tc>
          <w:tcPr>
            <w:tcW w:w="4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Title of each class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10" w:type="dxa"/>
            <w:tcBorders/>
            <w:vAlign w:val="center"/>
          </w:tcPr>
          <w:p>
            <w:pPr>
              <w:pStyle w:val="TableContents"/>
              <w:bidi w:val="0"/>
              <w:spacing w:before="0" w:after="283"/>
              <w:jc w:val="center"/>
              <w:rPr>
                <w:sz w:val="20"/>
              </w:rPr>
            </w:pPr>
            <w:r>
              <w:rPr>
                <w:rFonts w:ascii="Times New Roman;Times;Serif" w:hAnsi="Times New Roman;Times;Serif"/>
                <w:b/>
                <w:i w:val="false"/>
                <w:caps w:val="false"/>
                <w:smallCaps w:val="false"/>
                <w:sz w:val="20"/>
                <w:u w:val="single"/>
              </w:rPr>
              <w:t>Trading Symbol</w:t>
            </w:r>
            <w:r>
              <w:rPr>
                <w:b/>
                <w:sz w:val="20"/>
                <w:u w:val="single"/>
              </w:rPr>
              <w: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 of each exchange on which registered</w:t>
            </w:r>
          </w:p>
        </w:tc>
      </w:tr>
      <w:tr>
        <w:trPr/>
        <w:tc>
          <w:tcPr>
            <w:tcW w:w="4175" w:type="dxa"/>
            <w:tcBorders/>
            <w:vAlign w:val="center"/>
          </w:tcPr>
          <w:p>
            <w:pPr>
              <w:pStyle w:val="TableContents"/>
              <w:bidi w:val="0"/>
              <w:spacing w:before="0" w:after="283"/>
              <w:jc w:val="center"/>
              <w:rPr>
                <w:sz w:val="20"/>
              </w:rPr>
            </w:pPr>
            <w:bookmarkStart w:id="18" w:name="xdx_906_edei--Security12bTitle_c20260806"/>
            <w:bookmarkEnd w:id="18"/>
            <w:r>
              <w:rPr>
                <w:sz w:val="20"/>
              </w:rPr>
              <w:t>Class A Common Stock, $0.001 par value per share</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sz w:val="20"/>
              </w:rPr>
            </w:pPr>
            <w:bookmarkStart w:id="19" w:name="xdx_905_edei--TradingSymbol_c20260806__2"/>
            <w:bookmarkEnd w:id="19"/>
            <w:r>
              <w:rPr>
                <w:rFonts w:ascii="Times New Roman;Times;Serif" w:hAnsi="Times New Roman;Times;Serif"/>
                <w:sz w:val="20"/>
              </w:rPr>
              <w:t>ELUT</w:t>
            </w:r>
          </w:p>
        </w:tc>
        <w:tc>
          <w:tcPr>
            <w:tcW w:w="6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sz w:val="20"/>
              </w:rPr>
            </w:pPr>
            <w:r>
              <w:rPr>
                <w:rFonts w:ascii="Times New Roman;Times;Serif" w:hAnsi="Times New Roman;Times;Serif"/>
                <w:sz w:val="20"/>
              </w:rPr>
              <w:t xml:space="preserve">The </w:t>
            </w:r>
            <w:bookmarkStart w:id="20" w:name="xdx_90B_edei--SecurityExchangeName_c2026"/>
            <w:bookmarkEnd w:id="20"/>
            <w:r>
              <w:rPr>
                <w:rFonts w:ascii="Times New Roman;Times;Serif" w:hAnsi="Times New Roman;Times;Serif"/>
                <w:sz w:val="20"/>
              </w:rPr>
              <w:t>Nasdaq</w:t>
            </w:r>
            <w:r>
              <w:rPr>
                <w:sz w:val="20"/>
              </w:rPr>
              <w:t xml:space="preserve"> </w:t>
            </w:r>
            <w:r>
              <w:rPr>
                <w:rFonts w:ascii="Times New Roman;Times;Serif" w:hAnsi="Times New Roman;Times;Serif"/>
                <w:sz w:val="20"/>
              </w:rPr>
              <w:t>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0"/>
        <w:gridCol w:w="9265"/>
      </w:tblGrid>
      <w:tr>
        <w:trPr/>
        <w:tc>
          <w:tcPr>
            <w:tcW w:w="940" w:type="dxa"/>
            <w:tcBorders/>
            <w:vAlign w:val="center"/>
          </w:tcPr>
          <w:p>
            <w:pPr>
              <w:pStyle w:val="TableContents"/>
              <w:bidi w:val="0"/>
              <w:spacing w:before="0" w:after="283"/>
              <w:jc w:val="left"/>
              <w:rPr>
                <w:b/>
              </w:rPr>
            </w:pPr>
            <w:r>
              <w:rPr>
                <w:b/>
              </w:rPr>
              <w:t>Item 3.01</w:t>
            </w:r>
          </w:p>
        </w:tc>
        <w:tc>
          <w:tcPr>
            <w:tcW w:w="9265" w:type="dxa"/>
            <w:tcBorders/>
            <w:vAlign w:val="center"/>
          </w:tcPr>
          <w:p>
            <w:pPr>
              <w:pStyle w:val="TableContents"/>
              <w:bidi w:val="0"/>
              <w:spacing w:before="0" w:after="283"/>
              <w:jc w:val="left"/>
              <w:rPr>
                <w:b/>
              </w:rPr>
            </w:pPr>
            <w:r>
              <w:rPr>
                <w:b/>
              </w:rPr>
              <w:t>Notice of Delisting or Failure to Satisfy a Continued Listing Rule or Standard; Transfer of Listing.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Elutia Inc., a Delaware corporation (the “Company” or “Elutia”), received a letter from the Listing Qualifications Department of The Nasdaq Stock Market LLC (“Nasdaq”) notifying the Company that, for the last 30 consecutive business days, the closing bid price for the Company’s Class A common stock, par value $0.001 per share (the “Common Stock”), was below $1.00 per share, which is the minimum closing bid price (the “Minimum Bid Price”) required for continued listing on The Nasdaq Capital Market pursuant to Nasdaq Listing Rule 5550(a)(2) (the “Notice”). This Notice has no immediate effect on the listing of the Company’s Common Stock which will continue to trade on The Nasdaq Capital Market under the symbol “ELUT,” subject to the Company’s compliance with the other Nasdaq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5810(c)(3)(A), the Company was provided a compliance period of 180 calendar days from the date of the Notice, or until February 2, 2027 (the “Compliance Period”), to regain compliance with the Minimum Bid Price requirement. If at any time during the Compliance Period, the closing bid price of the Company’s Common Stock is at least $1.00 per share for a minimum of ten consecutive business days (unless the Nasdaq staff exercises its discretion to extend this ten business day period pursuant to Nasdaq Listing Rule 5810(c)(3)(H)), Nasdaq will provide the Company written confirmation of compliance with the Minimum Bid Price, and the matter will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during the Compliance Period, the Company may be eligible for an additional 180-calendar day period to regain compliance with the Minimum Bid Price, provided that it meets the applicable market value of publicly held shares requirement for continued listing and all other applicable standards for initial listing on The Nasdaq Capital Market (except the Minimum Bid Price requirement), and notifies Nasdaq of its intent to cure the deficiency by effecting a reverse stock split of its Common Stock, if necessary. If Nasdaq determines that the Company is not eligible for an additional 180 calendar days compliance period or the Company will not be able to cure the deficiency with the Minimum Bid Price requirement within the allotted compliance period, the Company’s stock will be subject to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monitor the closing bid price of the Common Stock and assess its available options to regain compliance with the Minimum Bid Price requirement and continue listing on The Nasdaq Capital Market. There can be no assurance that the Company will be able to regain compliance with the Minimum Bid Price requirement or will otherwise be in compliance with other applicable Nasdaq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Current Report on Form 8-K includes “forward-looking statements” within the meaning of Section 27A of the Securities Act of 1933, as amended, and Section 21E of the Securities Exchange Act of 1934, as amended. We may, in some cases, use terms such as “intends,” “believes,” “potential,” “anticipates,” “estimates,” “expects,” “plans,” “may,” “could,” “might,” “likely,” “will,” “should” or other words that convey the uncertainty of the future events or outcomes to identify these forward-looking statements. Our forward-looking statements are based on current beliefs and expectations of our management team that involve risks, potential changes in circumstances, assumptions, and uncertainties, including statements regarding our ability to regain compliance with Nasdaq’s continued listing requirements or maintain the listing of our Common Stock on the Nasdaq Capital Market. These forward-looking statements are subject to risks and uncertainties, including risks related to our ability to regain compliance with Nasdaq’s continued listing requirements or otherwise maintain compliance with any other listing requirement of the Nasdaq Capital Market, the potential delisting of our shares from the Nasdaq Capital Market due to our failure to comply with the applicable rules, and the other risks set forth in our filings with the Securities and Exchange Commission, including in our Annual Report on Form 10-K and our subsequently filed Quarterly Reports on Form 10-Q and Current Reports on Form 8-K. For all these reasons, actual results and developments could be materially different from those expressed in or implied by our forward-looking statements. You are cautioned not to place undue reliance on these forward-looking statements, which are made only as of the date of this Current Report on Form 8-K. We undertake no obligation to publicly update such forward-looking statements to reflect subsequent events or circumstances unless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305"/>
        <w:gridCol w:w="875"/>
      </w:tblGrid>
      <w:tr>
        <w:trPr/>
        <w:tc>
          <w:tcPr>
            <w:tcW w:w="305" w:type="dxa"/>
            <w:tcBorders/>
            <w:vAlign w:val="center"/>
          </w:tcPr>
          <w:p>
            <w:pPr>
              <w:pStyle w:val="TableContents"/>
              <w:bidi w:val="0"/>
              <w:spacing w:before="0" w:after="283"/>
              <w:jc w:val="left"/>
              <w:rPr/>
            </w:pPr>
            <w:r>
              <w:rPr/>
              <w:t>(d)</w:t>
            </w:r>
          </w:p>
        </w:tc>
        <w:tc>
          <w:tcPr>
            <w:tcW w:w="875" w:type="dxa"/>
            <w:tcBorders/>
            <w:vAlign w:val="center"/>
          </w:tcPr>
          <w:p>
            <w:pPr>
              <w:pStyle w:val="TableContents"/>
              <w:bidi w:val="0"/>
              <w:spacing w:before="0" w:after="283"/>
              <w:jc w:val="both"/>
              <w:rPr/>
            </w:pPr>
            <w:r>
              <w:rPr/>
              <w:t>Exhibits.</w:t>
            </w:r>
          </w:p>
        </w:tc>
      </w:tr>
    </w:tbl>
    <w:p>
      <w:pPr>
        <w:pStyle w:val="TextBody"/>
        <w:bidi w:val="0"/>
        <w:spacing w:before="0" w:after="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995"/>
        <w:gridCol w:w="60"/>
        <w:gridCol w:w="5765"/>
      </w:tblGrid>
      <w:tr>
        <w:trPr/>
        <w:tc>
          <w:tcPr>
            <w:tcW w:w="995" w:type="dxa"/>
            <w:tcBorders/>
            <w:vAlign w:val="center"/>
          </w:tcPr>
          <w:p>
            <w:pPr>
              <w:pStyle w:val="TableContents"/>
              <w:bidi w:val="0"/>
              <w:spacing w:before="0" w:after="283"/>
              <w:jc w:val="both"/>
              <w:rPr>
                <w:b/>
                <w:sz w:val="20"/>
              </w:rPr>
            </w:pPr>
            <w:r>
              <w:rPr>
                <w:b/>
                <w:sz w:val="20"/>
              </w:rPr>
              <w:t>Exhibit No.</w:t>
            </w:r>
          </w:p>
        </w:tc>
        <w:tc>
          <w:tcPr>
            <w:tcW w:w="60" w:type="dxa"/>
            <w:tcBorders/>
            <w:vAlign w:val="center"/>
          </w:tcPr>
          <w:p>
            <w:pPr>
              <w:pStyle w:val="TableContents"/>
              <w:bidi w:val="0"/>
              <w:spacing w:before="0" w:after="283"/>
              <w:jc w:val="both"/>
              <w:rPr/>
            </w:pPr>
            <w:r>
              <w:rPr/>
              <w:t> </w:t>
            </w:r>
          </w:p>
        </w:tc>
        <w:tc>
          <w:tcPr>
            <w:tcW w:w="5765" w:type="dxa"/>
            <w:tcBorders/>
            <w:vAlign w:val="center"/>
          </w:tcPr>
          <w:p>
            <w:pPr>
              <w:pStyle w:val="TableContents"/>
              <w:bidi w:val="0"/>
              <w:spacing w:before="0" w:after="283"/>
              <w:jc w:val="both"/>
              <w:rPr>
                <w:b/>
                <w:sz w:val="20"/>
              </w:rPr>
            </w:pPr>
            <w:r>
              <w:rPr>
                <w:b/>
                <w:sz w:val="20"/>
              </w:rPr>
              <w:t>Exhibit Description</w:t>
            </w:r>
          </w:p>
        </w:tc>
      </w:tr>
      <w:tr>
        <w:trPr/>
        <w:tc>
          <w:tcPr>
            <w:tcW w:w="9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765" w:type="dxa"/>
            <w:tcBorders/>
            <w:vAlign w:val="center"/>
          </w:tcPr>
          <w:p>
            <w:pPr>
              <w:pStyle w:val="TableContents"/>
              <w:bidi w:val="0"/>
              <w:spacing w:before="0" w:after="283"/>
              <w:jc w:val="both"/>
              <w:rPr/>
            </w:pPr>
            <w:r>
              <w:rPr/>
              <w:t> </w:t>
            </w:r>
          </w:p>
        </w:tc>
      </w:tr>
      <w:tr>
        <w:trPr/>
        <w:tc>
          <w:tcPr>
            <w:tcW w:w="995" w:type="dxa"/>
            <w:tcBorders/>
            <w:vAlign w:val="center"/>
          </w:tcPr>
          <w:p>
            <w:pPr>
              <w:pStyle w:val="TableContents"/>
              <w:bidi w:val="0"/>
              <w:spacing w:before="0" w:after="283"/>
              <w:jc w:val="both"/>
              <w:rPr>
                <w:sz w:val="20"/>
              </w:rPr>
            </w:pPr>
            <w:r>
              <w:rPr>
                <w:sz w:val="20"/>
              </w:rPr>
              <w:t>104</w:t>
            </w:r>
          </w:p>
        </w:tc>
        <w:tc>
          <w:tcPr>
            <w:tcW w:w="60" w:type="dxa"/>
            <w:tcBorders/>
            <w:vAlign w:val="center"/>
          </w:tcPr>
          <w:p>
            <w:pPr>
              <w:pStyle w:val="TableContents"/>
              <w:bidi w:val="0"/>
              <w:spacing w:before="0" w:after="283"/>
              <w:jc w:val="both"/>
              <w:rPr/>
            </w:pPr>
            <w:r>
              <w:rPr/>
              <w:t> </w:t>
            </w:r>
          </w:p>
        </w:tc>
        <w:tc>
          <w:tcPr>
            <w:tcW w:w="5765" w:type="dxa"/>
            <w:tcBorders/>
            <w:vAlign w:val="center"/>
          </w:tcPr>
          <w:p>
            <w:pPr>
              <w:pStyle w:val="TableContents"/>
              <w:bidi w:val="0"/>
              <w:spacing w:before="0" w:after="283"/>
              <w:jc w:val="both"/>
              <w:rPr>
                <w:sz w:val="20"/>
              </w:rPr>
            </w:pPr>
            <w:r>
              <w:rPr>
                <w:sz w:val="20"/>
              </w:rPr>
              <w:t>Cover Page Interactive Data File (formatted as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70" w:type="dxa"/>
        <w:jc w:val="left"/>
        <w:tblInd w:w="0" w:type="dxa"/>
        <w:tblLayout w:type="fixed"/>
        <w:tblCellMar>
          <w:top w:w="0" w:type="dxa"/>
          <w:left w:w="0" w:type="dxa"/>
          <w:bottom w:w="0" w:type="dxa"/>
          <w:right w:w="0" w:type="dxa"/>
        </w:tblCellMar>
      </w:tblPr>
      <w:tblGrid>
        <w:gridCol w:w="1760"/>
        <w:gridCol w:w="320"/>
        <w:gridCol w:w="1790"/>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1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ELUTIA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110" w:type="dxa"/>
            <w:gridSpan w:val="2"/>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Ferguson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1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Ferguson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1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1131</Words>
  <Characters>6236</Characters>
  <CharactersWithSpaces>7374</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