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ASHINGTON</w:t>
      </w:r>
      <w:r>
        <w:rPr>
          <w:rFonts w:ascii="Times New Roman" w:cs="Times New Roman" w:eastAsia="Times New Roman" w:hAnsi="Times New Roman"/>
          <w:sz w:val="18"/>
          <w:szCs w:val="18"/>
          <w:b w:val="1"/>
          <w:bCs w:val="1"/>
          <w:color w:val="auto"/>
        </w:rPr>
        <w:t>,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54"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4480" w:right="4100" w:hanging="4472"/>
        <w:spacing w:after="0" w:line="266" w:lineRule="auto"/>
        <w:tabs>
          <w:tab w:leader="none" w:pos="39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transition period from to</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001-39577</w:t>
      </w:r>
    </w:p>
    <w:p>
      <w:pPr>
        <w:spacing w:after="0" w:line="3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Aziyo Biologics,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w:t>
      </w:r>
    </w:p>
    <w:p>
      <w:pPr>
        <w:sectPr>
          <w:pgSz w:w="11900" w:h="16838" w:orient="portrait"/>
          <w:cols w:equalWidth="0" w:num="1">
            <w:col w:w="11240"/>
          </w:cols>
          <w:pgMar w:left="320" w:top="590" w:right="339" w:bottom="1440" w:gutter="0" w:footer="0" w:header="0"/>
        </w:sectPr>
      </w:pPr>
    </w:p>
    <w:p>
      <w:pPr>
        <w:spacing w:after="0" w:line="12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organization)</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47-4790334</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350" w:lineRule="exact"/>
        <w:rPr>
          <w:sz w:val="24"/>
          <w:szCs w:val="24"/>
          <w:color w:val="auto"/>
        </w:rPr>
      </w:pPr>
    </w:p>
    <w:p>
      <w:pPr>
        <w:sectPr>
          <w:pgSz w:w="11900" w:h="16838" w:orient="portrait"/>
          <w:cols w:equalWidth="0" w:num="2">
            <w:col w:w="6400" w:space="720"/>
            <w:col w:w="4120"/>
          </w:cols>
          <w:pgMar w:left="320" w:top="590"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2510 Prosperity Drive, Suite 370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Silver Spring, MD 20904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(240) 247-1170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144" w:lineRule="exact"/>
        <w:rPr>
          <w:sz w:val="24"/>
          <w:szCs w:val="24"/>
          <w:color w:val="auto"/>
        </w:rPr>
      </w:pPr>
    </w:p>
    <w:tbl>
      <w:tblPr>
        <w:tblLayout w:type="fixed"/>
        <w:tblInd w:w="48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3820" w:type="dxa"/>
            <w:vAlign w:val="bottom"/>
            <w:gridSpan w:val="2"/>
            <w:vMerge w:val="restart"/>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7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420" w:type="dxa"/>
            <w:vAlign w:val="bottom"/>
          </w:tcPr>
          <w:p>
            <w:pPr>
              <w:spacing w:after="0"/>
              <w:rPr>
                <w:sz w:val="18"/>
                <w:szCs w:val="18"/>
                <w:color w:val="auto"/>
              </w:rPr>
            </w:pPr>
          </w:p>
        </w:tc>
        <w:tc>
          <w:tcPr>
            <w:tcW w:w="3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820" w:type="dxa"/>
            <w:vAlign w:val="bottom"/>
            <w:gridSpan w:val="2"/>
            <w:vMerge w:val="continue"/>
          </w:tcPr>
          <w:p>
            <w:pPr>
              <w:spacing w:after="0"/>
              <w:rPr>
                <w:sz w:val="17"/>
                <w:szCs w:val="17"/>
                <w:color w:val="auto"/>
              </w:rPr>
            </w:pPr>
          </w:p>
        </w:tc>
        <w:tc>
          <w:tcPr>
            <w:tcW w:w="2140" w:type="dxa"/>
            <w:vAlign w:val="bottom"/>
            <w:gridSpan w:val="2"/>
          </w:tcPr>
          <w:p>
            <w:pPr>
              <w:jc w:val="center"/>
              <w:ind w:right="1420"/>
              <w:spacing w:after="0" w:line="196" w:lineRule="exact"/>
              <w:rPr>
                <w:sz w:val="20"/>
                <w:szCs w:val="20"/>
                <w:color w:val="auto"/>
              </w:rPr>
            </w:pPr>
            <w:r>
              <w:rPr>
                <w:rFonts w:ascii="Times New Roman" w:cs="Times New Roman" w:eastAsia="Times New Roman" w:hAnsi="Times New Roman"/>
                <w:sz w:val="18"/>
                <w:szCs w:val="18"/>
                <w:b w:val="1"/>
                <w:bCs w:val="1"/>
                <w:color w:val="auto"/>
                <w:w w:val="93"/>
              </w:rPr>
              <w:t>Symbol(s)</w:t>
            </w:r>
          </w:p>
        </w:tc>
        <w:tc>
          <w:tcPr>
            <w:tcW w:w="3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80" w:type="dxa"/>
            <w:vAlign w:val="bottom"/>
            <w:tcBorders>
              <w:right w:val="single" w:sz="8" w:color="auto"/>
            </w:tcBorders>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82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Class A Common Stock, par value $0.001 per</w:t>
            </w:r>
          </w:p>
        </w:tc>
        <w:tc>
          <w:tcPr>
            <w:tcW w:w="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3820" w:type="dxa"/>
            <w:vAlign w:val="bottom"/>
            <w:gridSpan w:val="2"/>
          </w:tcPr>
          <w:p>
            <w:pPr>
              <w:jc w:val="center"/>
              <w:ind w:right="2480"/>
              <w:spacing w:after="0"/>
              <w:rPr>
                <w:sz w:val="20"/>
                <w:szCs w:val="20"/>
                <w:color w:val="auto"/>
              </w:rPr>
            </w:pPr>
            <w:r>
              <w:rPr>
                <w:rFonts w:ascii="Times New Roman" w:cs="Times New Roman" w:eastAsia="Times New Roman" w:hAnsi="Times New Roman"/>
                <w:sz w:val="18"/>
                <w:szCs w:val="18"/>
                <w:color w:val="auto"/>
                <w:w w:val="99"/>
              </w:rPr>
              <w:t>share</w:t>
            </w:r>
          </w:p>
        </w:tc>
        <w:tc>
          <w:tcPr>
            <w:tcW w:w="214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color w:val="auto"/>
                <w:w w:val="99"/>
              </w:rPr>
              <w:t>AZYO</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bl>
    <w:p>
      <w:pPr>
        <w:spacing w:after="0" w:line="113"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w:t>
      </w:r>
    </w:p>
    <w:p>
      <w:pPr>
        <w:spacing w:after="0" w:line="148"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ind w:right="1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2860" w:type="dxa"/>
        <w:tblCellMar>
          <w:top w:w="0" w:type="dxa"/>
          <w:left w:w="0" w:type="dxa"/>
          <w:bottom w:w="0" w:type="dxa"/>
          <w:right w:w="0" w:type="dxa"/>
        </w:tblCellMar>
      </w:tblPr>
      <w:tr>
        <w:trPr>
          <w:trHeight w:val="270"/>
        </w:trPr>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22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Accelerated Filer</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Non-accelerated filer</w:t>
            </w:r>
          </w:p>
        </w:tc>
        <w:tc>
          <w:tcPr>
            <w:tcW w:w="22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7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Emerging growth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indicated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3" w:lineRule="exact"/>
        <w:rPr>
          <w:sz w:val="24"/>
          <w:szCs w:val="24"/>
          <w:color w:val="auto"/>
        </w:rPr>
      </w:pPr>
    </w:p>
    <w:p>
      <w:pPr>
        <w:spacing w:after="0" w:line="207" w:lineRule="exact"/>
        <w:tabs>
          <w:tab w:leader="none" w:pos="88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8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November 9, 2020, there were 7,091,960 shares of the registrant’s Class A common stock and 3,134,162 shares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results of operations, financial position, seasonality, business strategy and approach, including, without limitation, expectations regarding our products and their targeted effects, plans for our sales and marketing growth and anticipated expansion of our product development and clinical and research activities, expectations regarding our competitive advantages and overall clinical and commercial success, and the potential impact of COVID-19 pandemic on our business.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Without limiting the foregoing, in some cases, you can identify forward-looking statements by terms such as “aim”, “believe,”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2. “Management’s Discussion and Analysis of Financial Condition and Results of Operations” and Part II, Item 1A. “Risk Factors” in this Quarterly Report. These risks and uncertainties include, but are not limited to:</w:t>
      </w:r>
    </w:p>
    <w:p>
      <w:pPr>
        <w:spacing w:after="0" w:line="18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enhance our products, expand our product indications and develop, acquire and commercialize additional product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commercial partners and independent sales agents to generate a substantial portion of our net sales;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our relationships with our existing contract manufacturing customers and enter into agreements with new contract manufacturing customers, or if existing contract manufacturing customers reduce purchases of our products;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manage and maintain our direct sales force;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profitability;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impacts of the novel strain of coronavirus disease, COVID-19 or any other future pandemic, epidemic or outbreak of an infectious disease in the United States or worldwide;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general domestic and global economic conditions and instability and disruption of credit markets, including as a result of the current COVID-19 pandemic or any other outbreak of an infectious disease;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 awareness of the distinctive characteristics, benefits, safety, clinical efficacy and cost-effectiveness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and future acceptance of our products by the medical community;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or other marketing authorizations by the FDA and comparable foreign authorities for our products and product candidates;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adequately protect our intellectual property rights.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unless otherwise specified or the context otherwise requires, references to “we,” “us,” “our,” the “Company” and “Aziyo” refer to the operations of Aziyo Biologics, Inc. and its consolidated subsidiaries.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may use our website as a distribution channel of material information about the Company. Financial and other important information regarding the Company is routinely posted on and accessible through the Investor Relations sections of its website at </w:t>
      </w:r>
      <w:r>
        <w:rPr>
          <w:rFonts w:ascii="Times New Roman" w:cs="Times New Roman" w:eastAsia="Times New Roman" w:hAnsi="Times New Roman"/>
          <w:sz w:val="18"/>
          <w:szCs w:val="18"/>
          <w:i w:val="1"/>
          <w:iCs w:val="1"/>
          <w:color w:val="auto"/>
        </w:rPr>
        <w:t>www.aziyo.com</w:t>
      </w:r>
      <w:r>
        <w:rPr>
          <w:rFonts w:ascii="Times New Roman" w:cs="Times New Roman" w:eastAsia="Times New Roman" w:hAnsi="Times New Roman"/>
          <w:sz w:val="18"/>
          <w:szCs w:val="18"/>
          <w:color w:val="auto"/>
        </w:rPr>
        <w:t xml:space="preserve">. In addition, you may automatically receive email alerts and other information about the Company when you enroll your email address by visiting the “Email Alerts” option under the IR Resources menu of the Investor Relations of our website at </w:t>
      </w:r>
      <w:r>
        <w:rPr>
          <w:rFonts w:ascii="Times New Roman" w:cs="Times New Roman" w:eastAsia="Times New Roman" w:hAnsi="Times New Roman"/>
          <w:sz w:val="18"/>
          <w:szCs w:val="18"/>
          <w:i w:val="1"/>
          <w:iCs w:val="1"/>
          <w:color w:val="auto"/>
        </w:rPr>
        <w:t>www.aziyo.com</w:t>
      </w:r>
      <w:r>
        <w:rPr>
          <w:rFonts w:ascii="Times New Roman" w:cs="Times New Roman" w:eastAsia="Times New Roman" w:hAnsi="Times New Roman"/>
          <w:sz w:val="18"/>
          <w:szCs w:val="18"/>
          <w:color w:val="auto"/>
        </w:rPr>
        <w:t>. The reference to our website address does not constitute incorporation by reference of the information contained on or available through our website, and you should not consider such information to be a part of this Quarterly Report.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You should carefully consider these risks and uncertainties when investing in our common stock. The principal risks and uncertainties affecting our business include the following:</w:t>
      </w:r>
    </w:p>
    <w:p>
      <w:pPr>
        <w:spacing w:after="0" w:line="176"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growth depends on our ability to enhance our products, expand our product indications and develop, acquire and commercialize additional product offerings;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net sales is generated through our commercial partners and independent sales agents, which subjects us to various risks;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and profitability could be materially and adversely affected if we fail to maintain our relationships with our existing contract manufacturing customers and enter into agreements with new contract manufacturing customers, or if existing contract manufacturing customers reduce purchases of our products. Our relationships with these customers also subject us to certain risks;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expand our direct sales force, and if we are unable to successfully expand, manage and maintain our direct sales force, we may not be able to generate greater market share and revenue growth;</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operating losses since our inception, expect to continue to incur significant expenses and operating losses in the future, and may not be able to achieve or sustain profitability;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has been, and may continue to be, adversely affected by the outbreak of the novel strain of coronavirus disease, COVID-19, and may be adversely affected by any future pandemic, epidemic or outbreak of an infectious disease in the United States or worldwide;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general domestic and global economic conditions and instability and disruption of credit markets, including as a result of the current COVID-19 pandemic or any other outbreak of an infectious disease, could adversely affect our business, financial condition, results of operations and liquidity;</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growth depends on physician awareness of the distinctive characteristics, benefits, safety, clinical efficacy and cost-effectiveness of our products;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the continued and future acceptance of our products by the medical community;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and continuing competition from other companies, some of which have longer operating histories, more established products and/or greater resources than we do, which could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as a result of cost-containment efforts of our customers, purchasing groups, third-party payors and governmental organizations, could adversely affect our sales and profitability;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processing of human and porcine tissue for our products is technically complex, requiring high levels of quality control and precision, which subjects us to increased production risks;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depend upon a limited number of third-party suppliers and manufacturers and, in certain cases, exclusive suppliers for raw materials essential to our business, we may incur significant product development costs and experience material delivery delays if we lose any significant supplier, which could materially and adversely affect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and clearance processes of the FDA and comparable foreign authorities are lengthy, time consuming and inherently unpredictable, and if we are ultimately unable to obtain regulatory approval or other marketing authorizations for our products and product candidates, our business will be substantially harmed;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adequately protect our intellectual property rights, our competitive position could be harmed or we could be required to incur significant expenses to enforce or defend our rights.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876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ABLE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ONTENTS</w:t>
            </w:r>
          </w:p>
        </w:tc>
        <w:tc>
          <w:tcPr>
            <w:tcW w:w="1500" w:type="dxa"/>
            <w:vAlign w:val="bottom"/>
          </w:tcPr>
          <w:p>
            <w:pPr>
              <w:spacing w:after="0"/>
              <w:rPr>
                <w:sz w:val="20"/>
                <w:szCs w:val="20"/>
                <w:color w:val="auto"/>
              </w:rPr>
            </w:pPr>
          </w:p>
        </w:tc>
      </w:tr>
      <w:tr>
        <w:trPr>
          <w:trHeight w:val="459"/>
        </w:trPr>
        <w:tc>
          <w:tcPr>
            <w:tcW w:w="98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15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974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40" w:type="dxa"/>
            <w:vAlign w:val="bottom"/>
            <w:tcBorders>
              <w:bottom w:val="single" w:sz="8" w:color="CCEEFF"/>
            </w:tcBorders>
            <w:gridSpan w:val="2"/>
            <w:shd w:val="clear" w:color="auto" w:fill="CCEEFF"/>
          </w:tcPr>
          <w:p>
            <w:pPr>
              <w:ind w:left="20"/>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PART I – FINANCIAL INFORMATION</w:t>
              </w:r>
            </w:hyperlink>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980" w:type="dxa"/>
            <w:vAlign w:val="bottom"/>
          </w:tcPr>
          <w:p>
            <w:pPr>
              <w:ind w:left="2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Item 1.</w:t>
              </w:r>
            </w:hyperlink>
          </w:p>
        </w:tc>
        <w:tc>
          <w:tcPr>
            <w:tcW w:w="8760" w:type="dxa"/>
            <w:vAlign w:val="bottom"/>
          </w:tcPr>
          <w:p>
            <w:pPr>
              <w:ind w:left="18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Condensed Financial Statements (Unaudited)</w:t>
              </w:r>
            </w:hyperlink>
          </w:p>
        </w:tc>
        <w:tc>
          <w:tcPr>
            <w:tcW w:w="1500" w:type="dxa"/>
            <w:vAlign w:val="bottom"/>
          </w:tcPr>
          <w:p>
            <w:pPr>
              <w:spacing w:after="0"/>
              <w:rPr>
                <w:sz w:val="21"/>
                <w:szCs w:val="21"/>
                <w:color w:val="auto"/>
              </w:rPr>
            </w:pPr>
          </w:p>
        </w:tc>
      </w:tr>
      <w:tr>
        <w:trPr>
          <w:trHeight w:val="27"/>
        </w:trPr>
        <w:tc>
          <w:tcPr>
            <w:tcW w:w="98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Condensed Consolidated Balance Sheets</w:t>
              </w:r>
            </w:hyperlink>
          </w:p>
        </w:tc>
        <w:tc>
          <w:tcPr>
            <w:tcW w:w="1500" w:type="dxa"/>
            <w:vAlign w:val="bottom"/>
            <w:tcBorders>
              <w:bottom w:val="single" w:sz="8" w:color="CCEEFF"/>
            </w:tcBorders>
            <w:shd w:val="clear" w:color="auto" w:fill="CCEEFF"/>
          </w:tcPr>
          <w:p>
            <w:pPr>
              <w:jc w:val="center"/>
              <w:ind w:left="850"/>
              <w:spacing w:after="0"/>
              <w:rPr>
                <w:rFonts w:ascii="Times New Roman" w:cs="Times New Roman" w:eastAsia="Times New Roman" w:hAnsi="Times New Roman"/>
                <w:sz w:val="18"/>
                <w:szCs w:val="18"/>
                <w:u w:val="single" w:color="auto"/>
                <w:color w:val="0000EE"/>
                <w:w w:val="88"/>
              </w:rPr>
            </w:pPr>
            <w:hyperlink w:anchor="page6">
              <w:r>
                <w:rPr>
                  <w:rFonts w:ascii="Times New Roman" w:cs="Times New Roman" w:eastAsia="Times New Roman" w:hAnsi="Times New Roman"/>
                  <w:sz w:val="18"/>
                  <w:szCs w:val="18"/>
                  <w:u w:val="single" w:color="auto"/>
                  <w:color w:val="0000EE"/>
                  <w:w w:val="88"/>
                </w:rPr>
                <w:t>6</w:t>
              </w:r>
            </w:hyperlink>
          </w:p>
        </w:tc>
      </w:tr>
      <w:tr>
        <w:trPr>
          <w:trHeight w:val="243"/>
        </w:trPr>
        <w:tc>
          <w:tcPr>
            <w:tcW w:w="980" w:type="dxa"/>
            <w:vAlign w:val="bottom"/>
          </w:tcPr>
          <w:p>
            <w:pPr>
              <w:spacing w:after="0"/>
              <w:rPr>
                <w:sz w:val="21"/>
                <w:szCs w:val="21"/>
                <w:color w:val="auto"/>
              </w:rPr>
            </w:pPr>
          </w:p>
        </w:tc>
        <w:tc>
          <w:tcPr>
            <w:tcW w:w="8760" w:type="dxa"/>
            <w:vAlign w:val="bottom"/>
          </w:tcPr>
          <w:p>
            <w:pPr>
              <w:ind w:left="18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Condensed Consolidated Statements of Operations</w:t>
              </w:r>
            </w:hyperlink>
          </w:p>
        </w:tc>
        <w:tc>
          <w:tcPr>
            <w:tcW w:w="1500" w:type="dxa"/>
            <w:vAlign w:val="bottom"/>
          </w:tcPr>
          <w:p>
            <w:pPr>
              <w:jc w:val="center"/>
              <w:ind w:left="850"/>
              <w:spacing w:after="0"/>
              <w:rPr>
                <w:rFonts w:ascii="Times New Roman" w:cs="Times New Roman" w:eastAsia="Times New Roman" w:hAnsi="Times New Roman"/>
                <w:sz w:val="18"/>
                <w:szCs w:val="18"/>
                <w:u w:val="single" w:color="auto"/>
                <w:color w:val="0000EE"/>
                <w:w w:val="88"/>
              </w:rPr>
            </w:pPr>
            <w:hyperlink w:anchor="page7">
              <w:r>
                <w:rPr>
                  <w:rFonts w:ascii="Times New Roman" w:cs="Times New Roman" w:eastAsia="Times New Roman" w:hAnsi="Times New Roman"/>
                  <w:sz w:val="18"/>
                  <w:szCs w:val="18"/>
                  <w:u w:val="single" w:color="auto"/>
                  <w:color w:val="0000EE"/>
                  <w:w w:val="88"/>
                </w:rPr>
                <w:t>7</w:t>
              </w:r>
            </w:hyperlink>
          </w:p>
        </w:tc>
      </w:tr>
      <w:tr>
        <w:trPr>
          <w:trHeight w:val="27"/>
        </w:trPr>
        <w:tc>
          <w:tcPr>
            <w:tcW w:w="98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Condensed Consolidated Statements of Changes in Convertible Preferred Stock and Stockholders’ Deficit</w:t>
              </w:r>
            </w:hyperlink>
          </w:p>
        </w:tc>
        <w:tc>
          <w:tcPr>
            <w:tcW w:w="1500" w:type="dxa"/>
            <w:vAlign w:val="bottom"/>
            <w:tcBorders>
              <w:bottom w:val="single" w:sz="8" w:color="CCEEFF"/>
            </w:tcBorders>
            <w:shd w:val="clear" w:color="auto" w:fill="CCEEFF"/>
          </w:tcPr>
          <w:p>
            <w:pPr>
              <w:jc w:val="center"/>
              <w:ind w:left="850"/>
              <w:spacing w:after="0"/>
              <w:rPr>
                <w:rFonts w:ascii="Times New Roman" w:cs="Times New Roman" w:eastAsia="Times New Roman" w:hAnsi="Times New Roman"/>
                <w:sz w:val="18"/>
                <w:szCs w:val="18"/>
                <w:u w:val="single" w:color="auto"/>
                <w:color w:val="0000EE"/>
                <w:w w:val="88"/>
              </w:rPr>
            </w:pPr>
            <w:hyperlink w:anchor="page8">
              <w:r>
                <w:rPr>
                  <w:rFonts w:ascii="Times New Roman" w:cs="Times New Roman" w:eastAsia="Times New Roman" w:hAnsi="Times New Roman"/>
                  <w:sz w:val="18"/>
                  <w:szCs w:val="18"/>
                  <w:u w:val="single" w:color="auto"/>
                  <w:color w:val="0000EE"/>
                  <w:w w:val="88"/>
                </w:rPr>
                <w:t>8</w:t>
              </w:r>
            </w:hyperlink>
          </w:p>
        </w:tc>
      </w:tr>
      <w:tr>
        <w:trPr>
          <w:trHeight w:val="243"/>
        </w:trPr>
        <w:tc>
          <w:tcPr>
            <w:tcW w:w="980" w:type="dxa"/>
            <w:vAlign w:val="bottom"/>
          </w:tcPr>
          <w:p>
            <w:pPr>
              <w:spacing w:after="0"/>
              <w:rPr>
                <w:sz w:val="21"/>
                <w:szCs w:val="21"/>
                <w:color w:val="auto"/>
              </w:rPr>
            </w:pPr>
          </w:p>
        </w:tc>
        <w:tc>
          <w:tcPr>
            <w:tcW w:w="8760" w:type="dxa"/>
            <w:vAlign w:val="bottom"/>
          </w:tcPr>
          <w:p>
            <w:pPr>
              <w:ind w:left="180"/>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Condensed Consolidated Statements of Cash Flows</w:t>
              </w:r>
            </w:hyperlink>
          </w:p>
        </w:tc>
        <w:tc>
          <w:tcPr>
            <w:tcW w:w="1500" w:type="dxa"/>
            <w:vAlign w:val="bottom"/>
          </w:tcPr>
          <w:p>
            <w:pPr>
              <w:jc w:val="center"/>
              <w:ind w:left="850"/>
              <w:spacing w:after="0"/>
              <w:rPr>
                <w:rFonts w:ascii="Times New Roman" w:cs="Times New Roman" w:eastAsia="Times New Roman" w:hAnsi="Times New Roman"/>
                <w:sz w:val="18"/>
                <w:szCs w:val="18"/>
                <w:u w:val="single" w:color="auto"/>
                <w:color w:val="0000EE"/>
                <w:w w:val="88"/>
              </w:rPr>
            </w:pPr>
            <w:hyperlink w:anchor="page9">
              <w:r>
                <w:rPr>
                  <w:rFonts w:ascii="Times New Roman" w:cs="Times New Roman" w:eastAsia="Times New Roman" w:hAnsi="Times New Roman"/>
                  <w:sz w:val="18"/>
                  <w:szCs w:val="18"/>
                  <w:u w:val="single" w:color="auto"/>
                  <w:color w:val="0000EE"/>
                  <w:w w:val="88"/>
                </w:rPr>
                <w:t>9</w:t>
              </w:r>
            </w:hyperlink>
          </w:p>
        </w:tc>
      </w:tr>
      <w:tr>
        <w:trPr>
          <w:trHeight w:val="27"/>
        </w:trPr>
        <w:tc>
          <w:tcPr>
            <w:tcW w:w="98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Notes to the Condensed Consolidated Financial Statements</w:t>
              </w:r>
            </w:hyperlink>
          </w:p>
        </w:tc>
        <w:tc>
          <w:tcPr>
            <w:tcW w:w="1500" w:type="dxa"/>
            <w:vAlign w:val="bottom"/>
            <w:tcBorders>
              <w:bottom w:val="single" w:sz="8" w:color="CCEEFF"/>
            </w:tcBorders>
            <w:shd w:val="clear" w:color="auto" w:fill="CCEEFF"/>
          </w:tcPr>
          <w:p>
            <w:pPr>
              <w:jc w:val="center"/>
              <w:ind w:left="870"/>
              <w:spacing w:after="0"/>
              <w:rPr>
                <w:rFonts w:ascii="Times New Roman" w:cs="Times New Roman" w:eastAsia="Times New Roman" w:hAnsi="Times New Roman"/>
                <w:sz w:val="18"/>
                <w:szCs w:val="18"/>
                <w:u w:val="single" w:color="auto"/>
                <w:color w:val="0000EE"/>
                <w:w w:val="99"/>
              </w:rPr>
            </w:pPr>
            <w:hyperlink w:anchor="page10">
              <w:r>
                <w:rPr>
                  <w:rFonts w:ascii="Times New Roman" w:cs="Times New Roman" w:eastAsia="Times New Roman" w:hAnsi="Times New Roman"/>
                  <w:sz w:val="18"/>
                  <w:szCs w:val="18"/>
                  <w:u w:val="single" w:color="auto"/>
                  <w:color w:val="0000EE"/>
                  <w:w w:val="99"/>
                </w:rPr>
                <w:t>10</w:t>
              </w:r>
            </w:hyperlink>
          </w:p>
        </w:tc>
      </w:tr>
      <w:tr>
        <w:trPr>
          <w:trHeight w:val="243"/>
        </w:trPr>
        <w:tc>
          <w:tcPr>
            <w:tcW w:w="980" w:type="dxa"/>
            <w:vAlign w:val="bottom"/>
          </w:tcPr>
          <w:p>
            <w:pPr>
              <w:ind w:left="20"/>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Item 2.</w:t>
              </w:r>
            </w:hyperlink>
          </w:p>
        </w:tc>
        <w:tc>
          <w:tcPr>
            <w:tcW w:w="8760" w:type="dxa"/>
            <w:vAlign w:val="bottom"/>
          </w:tcPr>
          <w:p>
            <w:pPr>
              <w:ind w:left="180"/>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1500" w:type="dxa"/>
            <w:vAlign w:val="bottom"/>
          </w:tcPr>
          <w:p>
            <w:pPr>
              <w:jc w:val="center"/>
              <w:ind w:left="870"/>
              <w:spacing w:after="0"/>
              <w:rPr>
                <w:rFonts w:ascii="Times New Roman" w:cs="Times New Roman" w:eastAsia="Times New Roman" w:hAnsi="Times New Roman"/>
                <w:sz w:val="18"/>
                <w:szCs w:val="18"/>
                <w:u w:val="single" w:color="auto"/>
                <w:color w:val="0000EE"/>
                <w:w w:val="99"/>
              </w:rPr>
            </w:pPr>
            <w:hyperlink w:anchor="page21">
              <w:r>
                <w:rPr>
                  <w:rFonts w:ascii="Times New Roman" w:cs="Times New Roman" w:eastAsia="Times New Roman" w:hAnsi="Times New Roman"/>
                  <w:sz w:val="18"/>
                  <w:szCs w:val="18"/>
                  <w:u w:val="single" w:color="auto"/>
                  <w:color w:val="0000EE"/>
                  <w:w w:val="99"/>
                </w:rPr>
                <w:t>21</w:t>
              </w:r>
            </w:hyperlink>
          </w:p>
        </w:tc>
      </w:tr>
      <w:tr>
        <w:trPr>
          <w:trHeight w:val="27"/>
        </w:trPr>
        <w:tc>
          <w:tcPr>
            <w:tcW w:w="98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Item 3.</w:t>
              </w:r>
            </w:hyperlink>
          </w:p>
        </w:tc>
        <w:tc>
          <w:tcPr>
            <w:tcW w:w="876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Quantitative And Qualitative Disclosures About Market Risk</w:t>
              </w:r>
            </w:hyperlink>
          </w:p>
        </w:tc>
        <w:tc>
          <w:tcPr>
            <w:tcW w:w="1500" w:type="dxa"/>
            <w:vAlign w:val="bottom"/>
            <w:tcBorders>
              <w:bottom w:val="single" w:sz="8" w:color="CCEEFF"/>
            </w:tcBorders>
            <w:shd w:val="clear" w:color="auto" w:fill="CCEEFF"/>
          </w:tcPr>
          <w:p>
            <w:pPr>
              <w:jc w:val="center"/>
              <w:ind w:left="870"/>
              <w:spacing w:after="0"/>
              <w:rPr>
                <w:rFonts w:ascii="Times New Roman" w:cs="Times New Roman" w:eastAsia="Times New Roman" w:hAnsi="Times New Roman"/>
                <w:sz w:val="18"/>
                <w:szCs w:val="18"/>
                <w:u w:val="single" w:color="auto"/>
                <w:color w:val="0000EE"/>
                <w:w w:val="99"/>
              </w:rPr>
            </w:pPr>
            <w:hyperlink w:anchor="page33">
              <w:r>
                <w:rPr>
                  <w:rFonts w:ascii="Times New Roman" w:cs="Times New Roman" w:eastAsia="Times New Roman" w:hAnsi="Times New Roman"/>
                  <w:sz w:val="18"/>
                  <w:szCs w:val="18"/>
                  <w:u w:val="single" w:color="auto"/>
                  <w:color w:val="0000EE"/>
                  <w:w w:val="99"/>
                </w:rPr>
                <w:t>33</w:t>
              </w:r>
            </w:hyperlink>
          </w:p>
        </w:tc>
      </w:tr>
      <w:tr>
        <w:trPr>
          <w:trHeight w:val="243"/>
        </w:trPr>
        <w:tc>
          <w:tcPr>
            <w:tcW w:w="980" w:type="dxa"/>
            <w:vAlign w:val="bottom"/>
          </w:tcPr>
          <w:p>
            <w:pPr>
              <w:ind w:left="2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Item 4.</w:t>
              </w:r>
            </w:hyperlink>
          </w:p>
        </w:tc>
        <w:tc>
          <w:tcPr>
            <w:tcW w:w="8760" w:type="dxa"/>
            <w:vAlign w:val="bottom"/>
          </w:tcPr>
          <w:p>
            <w:pPr>
              <w:ind w:left="18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Controls And Procedures</w:t>
              </w:r>
            </w:hyperlink>
          </w:p>
        </w:tc>
        <w:tc>
          <w:tcPr>
            <w:tcW w:w="1500" w:type="dxa"/>
            <w:vAlign w:val="bottom"/>
          </w:tcPr>
          <w:p>
            <w:pPr>
              <w:jc w:val="center"/>
              <w:ind w:left="870"/>
              <w:spacing w:after="0"/>
              <w:rPr>
                <w:rFonts w:ascii="Times New Roman" w:cs="Times New Roman" w:eastAsia="Times New Roman" w:hAnsi="Times New Roman"/>
                <w:sz w:val="18"/>
                <w:szCs w:val="18"/>
                <w:u w:val="single" w:color="auto"/>
                <w:color w:val="0000EE"/>
                <w:w w:val="99"/>
              </w:rPr>
            </w:pPr>
            <w:hyperlink w:anchor="page34">
              <w:r>
                <w:rPr>
                  <w:rFonts w:ascii="Times New Roman" w:cs="Times New Roman" w:eastAsia="Times New Roman" w:hAnsi="Times New Roman"/>
                  <w:sz w:val="18"/>
                  <w:szCs w:val="18"/>
                  <w:u w:val="single" w:color="auto"/>
                  <w:color w:val="0000EE"/>
                  <w:w w:val="99"/>
                </w:rPr>
                <w:t>34</w:t>
              </w:r>
            </w:hyperlink>
          </w:p>
        </w:tc>
      </w:tr>
      <w:tr>
        <w:trPr>
          <w:trHeight w:val="27"/>
        </w:trPr>
        <w:tc>
          <w:tcPr>
            <w:tcW w:w="974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40" w:type="dxa"/>
            <w:vAlign w:val="bottom"/>
            <w:tcBorders>
              <w:bottom w:val="single" w:sz="8" w:color="CCEEFF"/>
            </w:tcBorders>
            <w:gridSpan w:val="2"/>
            <w:shd w:val="clear" w:color="auto" w:fill="CCEEFF"/>
          </w:tcPr>
          <w:p>
            <w:pPr>
              <w:ind w:left="20"/>
              <w:spacing w:after="0"/>
              <w:rPr>
                <w:rFonts w:ascii="Times New Roman" w:cs="Times New Roman" w:eastAsia="Times New Roman" w:hAnsi="Times New Roman"/>
                <w:sz w:val="18"/>
                <w:szCs w:val="18"/>
                <w:b w:val="1"/>
                <w:bCs w:val="1"/>
                <w:u w:val="single" w:color="auto"/>
                <w:color w:val="0000EE"/>
              </w:rPr>
            </w:pPr>
            <w:hyperlink w:anchor="page34">
              <w:r>
                <w:rPr>
                  <w:rFonts w:ascii="Times New Roman" w:cs="Times New Roman" w:eastAsia="Times New Roman" w:hAnsi="Times New Roman"/>
                  <w:sz w:val="18"/>
                  <w:szCs w:val="18"/>
                  <w:b w:val="1"/>
                  <w:bCs w:val="1"/>
                  <w:u w:val="single" w:color="auto"/>
                  <w:color w:val="0000EE"/>
                </w:rPr>
                <w:t>PART II – OTHER INFORMATION</w:t>
              </w:r>
            </w:hyperlink>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980" w:type="dxa"/>
            <w:vAlign w:val="bottom"/>
          </w:tcPr>
          <w:p>
            <w:pPr>
              <w:ind w:left="2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Item 1.</w:t>
              </w:r>
            </w:hyperlink>
          </w:p>
        </w:tc>
        <w:tc>
          <w:tcPr>
            <w:tcW w:w="8760" w:type="dxa"/>
            <w:vAlign w:val="bottom"/>
          </w:tcPr>
          <w:p>
            <w:pPr>
              <w:ind w:left="18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Legal Proceedings</w:t>
              </w:r>
            </w:hyperlink>
          </w:p>
        </w:tc>
        <w:tc>
          <w:tcPr>
            <w:tcW w:w="1500" w:type="dxa"/>
            <w:vAlign w:val="bottom"/>
          </w:tcPr>
          <w:p>
            <w:pPr>
              <w:jc w:val="center"/>
              <w:ind w:left="870"/>
              <w:spacing w:after="0"/>
              <w:rPr>
                <w:rFonts w:ascii="Times New Roman" w:cs="Times New Roman" w:eastAsia="Times New Roman" w:hAnsi="Times New Roman"/>
                <w:sz w:val="18"/>
                <w:szCs w:val="18"/>
                <w:u w:val="single" w:color="auto"/>
                <w:color w:val="0000EE"/>
                <w:w w:val="99"/>
              </w:rPr>
            </w:pPr>
            <w:hyperlink w:anchor="page34">
              <w:r>
                <w:rPr>
                  <w:rFonts w:ascii="Times New Roman" w:cs="Times New Roman" w:eastAsia="Times New Roman" w:hAnsi="Times New Roman"/>
                  <w:sz w:val="18"/>
                  <w:szCs w:val="18"/>
                  <w:u w:val="single" w:color="auto"/>
                  <w:color w:val="0000EE"/>
                  <w:w w:val="99"/>
                </w:rPr>
                <w:t>34</w:t>
              </w:r>
            </w:hyperlink>
          </w:p>
        </w:tc>
      </w:tr>
      <w:tr>
        <w:trPr>
          <w:trHeight w:val="27"/>
        </w:trPr>
        <w:tc>
          <w:tcPr>
            <w:tcW w:w="98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Item 1A.</w:t>
              </w:r>
            </w:hyperlink>
          </w:p>
        </w:tc>
        <w:tc>
          <w:tcPr>
            <w:tcW w:w="876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Risk Factors</w:t>
              </w:r>
            </w:hyperlink>
          </w:p>
        </w:tc>
        <w:tc>
          <w:tcPr>
            <w:tcW w:w="1500" w:type="dxa"/>
            <w:vAlign w:val="bottom"/>
            <w:tcBorders>
              <w:bottom w:val="single" w:sz="8" w:color="CCEEFF"/>
            </w:tcBorders>
            <w:shd w:val="clear" w:color="auto" w:fill="CCEEFF"/>
          </w:tcPr>
          <w:p>
            <w:pPr>
              <w:jc w:val="center"/>
              <w:ind w:left="870"/>
              <w:spacing w:after="0"/>
              <w:rPr>
                <w:rFonts w:ascii="Times New Roman" w:cs="Times New Roman" w:eastAsia="Times New Roman" w:hAnsi="Times New Roman"/>
                <w:sz w:val="18"/>
                <w:szCs w:val="18"/>
                <w:u w:val="single" w:color="auto"/>
                <w:color w:val="0000EE"/>
                <w:w w:val="99"/>
              </w:rPr>
            </w:pPr>
            <w:hyperlink w:anchor="page35">
              <w:r>
                <w:rPr>
                  <w:rFonts w:ascii="Times New Roman" w:cs="Times New Roman" w:eastAsia="Times New Roman" w:hAnsi="Times New Roman"/>
                  <w:sz w:val="18"/>
                  <w:szCs w:val="18"/>
                  <w:u w:val="single" w:color="auto"/>
                  <w:color w:val="0000EE"/>
                  <w:w w:val="99"/>
                </w:rPr>
                <w:t>35</w:t>
              </w:r>
            </w:hyperlink>
          </w:p>
        </w:tc>
      </w:tr>
      <w:tr>
        <w:trPr>
          <w:trHeight w:val="243"/>
        </w:trPr>
        <w:tc>
          <w:tcPr>
            <w:tcW w:w="980" w:type="dxa"/>
            <w:vAlign w:val="bottom"/>
          </w:tcPr>
          <w:p>
            <w:pPr>
              <w:ind w:left="20"/>
              <w:spacing w:after="0"/>
              <w:rPr>
                <w:rFonts w:ascii="Times New Roman" w:cs="Times New Roman" w:eastAsia="Times New Roman" w:hAnsi="Times New Roman"/>
                <w:sz w:val="18"/>
                <w:szCs w:val="18"/>
                <w:u w:val="single" w:color="auto"/>
                <w:color w:val="0000EE"/>
              </w:rPr>
            </w:pPr>
            <w:hyperlink w:anchor="page79">
              <w:r>
                <w:rPr>
                  <w:rFonts w:ascii="Times New Roman" w:cs="Times New Roman" w:eastAsia="Times New Roman" w:hAnsi="Times New Roman"/>
                  <w:sz w:val="18"/>
                  <w:szCs w:val="18"/>
                  <w:u w:val="single" w:color="auto"/>
                  <w:color w:val="0000EE"/>
                </w:rPr>
                <w:t>Item 2.</w:t>
              </w:r>
            </w:hyperlink>
          </w:p>
        </w:tc>
        <w:tc>
          <w:tcPr>
            <w:tcW w:w="8760" w:type="dxa"/>
            <w:vAlign w:val="bottom"/>
          </w:tcPr>
          <w:p>
            <w:pPr>
              <w:ind w:left="180"/>
              <w:spacing w:after="0"/>
              <w:rPr>
                <w:rFonts w:ascii="Times New Roman" w:cs="Times New Roman" w:eastAsia="Times New Roman" w:hAnsi="Times New Roman"/>
                <w:sz w:val="18"/>
                <w:szCs w:val="18"/>
                <w:u w:val="single" w:color="auto"/>
                <w:color w:val="0000EE"/>
              </w:rPr>
            </w:pPr>
            <w:hyperlink w:anchor="page79">
              <w:r>
                <w:rPr>
                  <w:rFonts w:ascii="Times New Roman" w:cs="Times New Roman" w:eastAsia="Times New Roman" w:hAnsi="Times New Roman"/>
                  <w:sz w:val="18"/>
                  <w:szCs w:val="18"/>
                  <w:u w:val="single" w:color="auto"/>
                  <w:color w:val="0000EE"/>
                </w:rPr>
                <w:t>Unregistered Sales of Equity Securities and Use of Proceeds</w:t>
              </w:r>
            </w:hyperlink>
          </w:p>
        </w:tc>
        <w:tc>
          <w:tcPr>
            <w:tcW w:w="1500" w:type="dxa"/>
            <w:vAlign w:val="bottom"/>
          </w:tcPr>
          <w:p>
            <w:pPr>
              <w:jc w:val="center"/>
              <w:ind w:left="870"/>
              <w:spacing w:after="0"/>
              <w:rPr>
                <w:rFonts w:ascii="Times New Roman" w:cs="Times New Roman" w:eastAsia="Times New Roman" w:hAnsi="Times New Roman"/>
                <w:sz w:val="18"/>
                <w:szCs w:val="18"/>
                <w:u w:val="single" w:color="auto"/>
                <w:color w:val="0000EE"/>
                <w:w w:val="99"/>
              </w:rPr>
            </w:pPr>
            <w:hyperlink w:anchor="page79">
              <w:r>
                <w:rPr>
                  <w:rFonts w:ascii="Times New Roman" w:cs="Times New Roman" w:eastAsia="Times New Roman" w:hAnsi="Times New Roman"/>
                  <w:sz w:val="18"/>
                  <w:szCs w:val="18"/>
                  <w:u w:val="single" w:color="auto"/>
                  <w:color w:val="0000EE"/>
                  <w:w w:val="99"/>
                </w:rPr>
                <w:t>79</w:t>
              </w:r>
            </w:hyperlink>
          </w:p>
        </w:tc>
      </w:tr>
      <w:tr>
        <w:trPr>
          <w:trHeight w:val="27"/>
        </w:trPr>
        <w:tc>
          <w:tcPr>
            <w:tcW w:w="98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80">
              <w:r>
                <w:rPr>
                  <w:rFonts w:ascii="Times New Roman" w:cs="Times New Roman" w:eastAsia="Times New Roman" w:hAnsi="Times New Roman"/>
                  <w:sz w:val="18"/>
                  <w:szCs w:val="18"/>
                  <w:u w:val="single" w:color="auto"/>
                  <w:color w:val="0000EE"/>
                </w:rPr>
                <w:t>Item 3.</w:t>
              </w:r>
            </w:hyperlink>
          </w:p>
        </w:tc>
        <w:tc>
          <w:tcPr>
            <w:tcW w:w="876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80">
              <w:r>
                <w:rPr>
                  <w:rFonts w:ascii="Times New Roman" w:cs="Times New Roman" w:eastAsia="Times New Roman" w:hAnsi="Times New Roman"/>
                  <w:sz w:val="18"/>
                  <w:szCs w:val="18"/>
                  <w:u w:val="single" w:color="auto"/>
                  <w:color w:val="0000EE"/>
                </w:rPr>
                <w:t>Defaults Upon Senior Securities</w:t>
              </w:r>
            </w:hyperlink>
          </w:p>
        </w:tc>
        <w:tc>
          <w:tcPr>
            <w:tcW w:w="1500" w:type="dxa"/>
            <w:vAlign w:val="bottom"/>
            <w:tcBorders>
              <w:bottom w:val="single" w:sz="8" w:color="CCEEFF"/>
            </w:tcBorders>
            <w:shd w:val="clear" w:color="auto" w:fill="CCEEFF"/>
          </w:tcPr>
          <w:p>
            <w:pPr>
              <w:jc w:val="center"/>
              <w:ind w:left="870"/>
              <w:spacing w:after="0"/>
              <w:rPr>
                <w:rFonts w:ascii="Times New Roman" w:cs="Times New Roman" w:eastAsia="Times New Roman" w:hAnsi="Times New Roman"/>
                <w:sz w:val="18"/>
                <w:szCs w:val="18"/>
                <w:u w:val="single" w:color="auto"/>
                <w:color w:val="0000EE"/>
                <w:w w:val="99"/>
              </w:rPr>
            </w:pPr>
            <w:hyperlink w:anchor="page80">
              <w:r>
                <w:rPr>
                  <w:rFonts w:ascii="Times New Roman" w:cs="Times New Roman" w:eastAsia="Times New Roman" w:hAnsi="Times New Roman"/>
                  <w:sz w:val="18"/>
                  <w:szCs w:val="18"/>
                  <w:u w:val="single" w:color="auto"/>
                  <w:color w:val="0000EE"/>
                  <w:w w:val="99"/>
                </w:rPr>
                <w:t>80</w:t>
              </w:r>
            </w:hyperlink>
          </w:p>
        </w:tc>
      </w:tr>
      <w:tr>
        <w:trPr>
          <w:trHeight w:val="243"/>
        </w:trPr>
        <w:tc>
          <w:tcPr>
            <w:tcW w:w="980" w:type="dxa"/>
            <w:vAlign w:val="bottom"/>
          </w:tcPr>
          <w:p>
            <w:pPr>
              <w:ind w:left="20"/>
              <w:spacing w:after="0"/>
              <w:rPr>
                <w:rFonts w:ascii="Times New Roman" w:cs="Times New Roman" w:eastAsia="Times New Roman" w:hAnsi="Times New Roman"/>
                <w:sz w:val="18"/>
                <w:szCs w:val="18"/>
                <w:u w:val="single" w:color="auto"/>
                <w:color w:val="0000EE"/>
              </w:rPr>
            </w:pPr>
            <w:hyperlink w:anchor="page80">
              <w:r>
                <w:rPr>
                  <w:rFonts w:ascii="Times New Roman" w:cs="Times New Roman" w:eastAsia="Times New Roman" w:hAnsi="Times New Roman"/>
                  <w:sz w:val="18"/>
                  <w:szCs w:val="18"/>
                  <w:u w:val="single" w:color="auto"/>
                  <w:color w:val="0000EE"/>
                </w:rPr>
                <w:t>Item 4.</w:t>
              </w:r>
            </w:hyperlink>
          </w:p>
        </w:tc>
        <w:tc>
          <w:tcPr>
            <w:tcW w:w="8760" w:type="dxa"/>
            <w:vAlign w:val="bottom"/>
          </w:tcPr>
          <w:p>
            <w:pPr>
              <w:ind w:left="180"/>
              <w:spacing w:after="0"/>
              <w:rPr>
                <w:rFonts w:ascii="Times New Roman" w:cs="Times New Roman" w:eastAsia="Times New Roman" w:hAnsi="Times New Roman"/>
                <w:sz w:val="18"/>
                <w:szCs w:val="18"/>
                <w:u w:val="single" w:color="auto"/>
                <w:color w:val="0000EE"/>
              </w:rPr>
            </w:pPr>
            <w:hyperlink w:anchor="page80">
              <w:r>
                <w:rPr>
                  <w:rFonts w:ascii="Times New Roman" w:cs="Times New Roman" w:eastAsia="Times New Roman" w:hAnsi="Times New Roman"/>
                  <w:sz w:val="18"/>
                  <w:szCs w:val="18"/>
                  <w:u w:val="single" w:color="auto"/>
                  <w:color w:val="0000EE"/>
                </w:rPr>
                <w:t>Mine Safety Disclosures</w:t>
              </w:r>
            </w:hyperlink>
          </w:p>
        </w:tc>
        <w:tc>
          <w:tcPr>
            <w:tcW w:w="1500" w:type="dxa"/>
            <w:vAlign w:val="bottom"/>
          </w:tcPr>
          <w:p>
            <w:pPr>
              <w:jc w:val="center"/>
              <w:ind w:left="870"/>
              <w:spacing w:after="0"/>
              <w:rPr>
                <w:rFonts w:ascii="Times New Roman" w:cs="Times New Roman" w:eastAsia="Times New Roman" w:hAnsi="Times New Roman"/>
                <w:sz w:val="18"/>
                <w:szCs w:val="18"/>
                <w:u w:val="single" w:color="auto"/>
                <w:color w:val="0000EE"/>
                <w:w w:val="99"/>
              </w:rPr>
            </w:pPr>
            <w:hyperlink w:anchor="page80">
              <w:r>
                <w:rPr>
                  <w:rFonts w:ascii="Times New Roman" w:cs="Times New Roman" w:eastAsia="Times New Roman" w:hAnsi="Times New Roman"/>
                  <w:sz w:val="18"/>
                  <w:szCs w:val="18"/>
                  <w:u w:val="single" w:color="auto"/>
                  <w:color w:val="0000EE"/>
                  <w:w w:val="99"/>
                </w:rPr>
                <w:t>80</w:t>
              </w:r>
            </w:hyperlink>
          </w:p>
        </w:tc>
      </w:tr>
      <w:tr>
        <w:trPr>
          <w:trHeight w:val="27"/>
        </w:trPr>
        <w:tc>
          <w:tcPr>
            <w:tcW w:w="98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80">
              <w:r>
                <w:rPr>
                  <w:rFonts w:ascii="Times New Roman" w:cs="Times New Roman" w:eastAsia="Times New Roman" w:hAnsi="Times New Roman"/>
                  <w:sz w:val="18"/>
                  <w:szCs w:val="18"/>
                  <w:u w:val="single" w:color="auto"/>
                  <w:color w:val="0000EE"/>
                </w:rPr>
                <w:t>Item 5.</w:t>
              </w:r>
            </w:hyperlink>
          </w:p>
        </w:tc>
        <w:tc>
          <w:tcPr>
            <w:tcW w:w="876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80">
              <w:r>
                <w:rPr>
                  <w:rFonts w:ascii="Times New Roman" w:cs="Times New Roman" w:eastAsia="Times New Roman" w:hAnsi="Times New Roman"/>
                  <w:sz w:val="18"/>
                  <w:szCs w:val="18"/>
                  <w:u w:val="single" w:color="auto"/>
                  <w:color w:val="0000EE"/>
                </w:rPr>
                <w:t>Other Information</w:t>
              </w:r>
            </w:hyperlink>
          </w:p>
        </w:tc>
        <w:tc>
          <w:tcPr>
            <w:tcW w:w="1500" w:type="dxa"/>
            <w:vAlign w:val="bottom"/>
            <w:tcBorders>
              <w:bottom w:val="single" w:sz="8" w:color="CCEEFF"/>
            </w:tcBorders>
            <w:shd w:val="clear" w:color="auto" w:fill="CCEEFF"/>
          </w:tcPr>
          <w:p>
            <w:pPr>
              <w:jc w:val="center"/>
              <w:ind w:left="870"/>
              <w:spacing w:after="0"/>
              <w:rPr>
                <w:rFonts w:ascii="Times New Roman" w:cs="Times New Roman" w:eastAsia="Times New Roman" w:hAnsi="Times New Roman"/>
                <w:sz w:val="18"/>
                <w:szCs w:val="18"/>
                <w:u w:val="single" w:color="auto"/>
                <w:color w:val="0000EE"/>
                <w:w w:val="99"/>
              </w:rPr>
            </w:pPr>
            <w:hyperlink w:anchor="page80">
              <w:r>
                <w:rPr>
                  <w:rFonts w:ascii="Times New Roman" w:cs="Times New Roman" w:eastAsia="Times New Roman" w:hAnsi="Times New Roman"/>
                  <w:sz w:val="18"/>
                  <w:szCs w:val="18"/>
                  <w:u w:val="single" w:color="auto"/>
                  <w:color w:val="0000EE"/>
                  <w:w w:val="99"/>
                </w:rPr>
                <w:t>80</w:t>
              </w:r>
            </w:hyperlink>
          </w:p>
        </w:tc>
      </w:tr>
      <w:tr>
        <w:trPr>
          <w:trHeight w:val="243"/>
        </w:trPr>
        <w:tc>
          <w:tcPr>
            <w:tcW w:w="980" w:type="dxa"/>
            <w:vAlign w:val="bottom"/>
          </w:tcPr>
          <w:p>
            <w:pPr>
              <w:ind w:left="20"/>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Item 6.</w:t>
              </w:r>
            </w:hyperlink>
          </w:p>
        </w:tc>
        <w:tc>
          <w:tcPr>
            <w:tcW w:w="8760" w:type="dxa"/>
            <w:vAlign w:val="bottom"/>
          </w:tcPr>
          <w:p>
            <w:pPr>
              <w:ind w:left="180"/>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Exhibits</w:t>
              </w:r>
            </w:hyperlink>
          </w:p>
        </w:tc>
        <w:tc>
          <w:tcPr>
            <w:tcW w:w="1500" w:type="dxa"/>
            <w:vAlign w:val="bottom"/>
          </w:tcPr>
          <w:p>
            <w:pPr>
              <w:jc w:val="center"/>
              <w:ind w:left="870"/>
              <w:spacing w:after="0"/>
              <w:rPr>
                <w:rFonts w:ascii="Times New Roman" w:cs="Times New Roman" w:eastAsia="Times New Roman" w:hAnsi="Times New Roman"/>
                <w:sz w:val="18"/>
                <w:szCs w:val="18"/>
                <w:u w:val="single" w:color="auto"/>
                <w:color w:val="0000EE"/>
                <w:w w:val="99"/>
              </w:rPr>
            </w:pPr>
            <w:hyperlink w:anchor="page81">
              <w:r>
                <w:rPr>
                  <w:rFonts w:ascii="Times New Roman" w:cs="Times New Roman" w:eastAsia="Times New Roman" w:hAnsi="Times New Roman"/>
                  <w:sz w:val="18"/>
                  <w:szCs w:val="18"/>
                  <w:u w:val="single" w:color="auto"/>
                  <w:color w:val="0000EE"/>
                  <w:w w:val="99"/>
                </w:rPr>
                <w:t>81</w:t>
              </w:r>
            </w:hyperlink>
          </w:p>
        </w:tc>
      </w:tr>
      <w:tr>
        <w:trPr>
          <w:trHeight w:val="27"/>
        </w:trPr>
        <w:tc>
          <w:tcPr>
            <w:tcW w:w="980" w:type="dxa"/>
            <w:vAlign w:val="bottom"/>
          </w:tcPr>
          <w:p>
            <w:pPr>
              <w:spacing w:after="0"/>
              <w:rPr>
                <w:sz w:val="2"/>
                <w:szCs w:val="2"/>
                <w:color w:val="auto"/>
              </w:rPr>
            </w:pPr>
          </w:p>
        </w:tc>
        <w:tc>
          <w:tcPr>
            <w:tcW w:w="87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Signatures</w:t>
              </w:r>
            </w:hyperlink>
          </w:p>
        </w:tc>
        <w:tc>
          <w:tcPr>
            <w:tcW w:w="87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ind w:left="870"/>
              <w:spacing w:after="0"/>
              <w:rPr>
                <w:rFonts w:ascii="Times New Roman" w:cs="Times New Roman" w:eastAsia="Times New Roman" w:hAnsi="Times New Roman"/>
                <w:sz w:val="18"/>
                <w:szCs w:val="18"/>
                <w:u w:val="single" w:color="auto"/>
                <w:color w:val="0000EE"/>
                <w:w w:val="99"/>
              </w:rPr>
            </w:pPr>
            <w:hyperlink w:anchor="page83">
              <w:r>
                <w:rPr>
                  <w:rFonts w:ascii="Times New Roman" w:cs="Times New Roman" w:eastAsia="Times New Roman" w:hAnsi="Times New Roman"/>
                  <w:sz w:val="18"/>
                  <w:szCs w:val="18"/>
                  <w:u w:val="single" w:color="auto"/>
                  <w:color w:val="0000EE"/>
                  <w:w w:val="99"/>
                </w:rPr>
                <w:t>83</w:t>
              </w:r>
            </w:hyperlink>
          </w:p>
        </w:tc>
      </w:tr>
      <w:tr>
        <w:trPr>
          <w:trHeight w:val="648"/>
        </w:trPr>
        <w:tc>
          <w:tcPr>
            <w:tcW w:w="98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tcPr>
          <w:p>
            <w:pPr>
              <w:ind w:left="4600"/>
              <w:spacing w:after="0"/>
              <w:rPr>
                <w:sz w:val="20"/>
                <w:szCs w:val="20"/>
                <w:color w:val="auto"/>
              </w:rPr>
            </w:pPr>
            <w:r>
              <w:rPr>
                <w:rFonts w:ascii="Times New Roman" w:cs="Times New Roman" w:eastAsia="Times New Roman" w:hAnsi="Times New Roman"/>
                <w:sz w:val="18"/>
                <w:szCs w:val="18"/>
                <w:color w:val="auto"/>
              </w:rPr>
              <w:t>5</w:t>
            </w:r>
          </w:p>
        </w:tc>
        <w:tc>
          <w:tcPr>
            <w:tcW w:w="1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AZIYO BIOLOGICS,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620" w:type="dxa"/>
            <w:vAlign w:val="bottom"/>
            <w:tcBorders>
              <w:bottom w:val="single" w:sz="8" w:color="CCEEFF"/>
            </w:tcBorders>
          </w:tcPr>
          <w:p>
            <w:pPr>
              <w:spacing w:after="0"/>
              <w:rPr>
                <w:sz w:val="20"/>
                <w:szCs w:val="20"/>
                <w:color w:val="auto"/>
              </w:rPr>
            </w:pPr>
          </w:p>
        </w:tc>
        <w:tc>
          <w:tcPr>
            <w:tcW w:w="48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09"/>
        </w:trPr>
        <w:tc>
          <w:tcPr>
            <w:tcW w:w="3620" w:type="dxa"/>
            <w:vAlign w:val="bottom"/>
            <w:shd w:val="clear" w:color="auto" w:fill="CCEEFF"/>
          </w:tcPr>
          <w:p>
            <w:pPr>
              <w:spacing w:after="0"/>
              <w:rPr>
                <w:sz w:val="18"/>
                <w:szCs w:val="18"/>
                <w:color w:val="auto"/>
              </w:rPr>
            </w:pPr>
          </w:p>
        </w:tc>
        <w:tc>
          <w:tcPr>
            <w:tcW w:w="4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5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2,482</w:t>
            </w:r>
          </w:p>
        </w:tc>
      </w:tr>
      <w:tr>
        <w:trPr>
          <w:trHeight w:val="216"/>
        </w:trPr>
        <w:tc>
          <w:tcPr>
            <w:tcW w:w="3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3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4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7,229</w:t>
            </w:r>
          </w:p>
        </w:tc>
      </w:tr>
      <w:tr>
        <w:trPr>
          <w:trHeight w:val="216"/>
        </w:trPr>
        <w:tc>
          <w:tcPr>
            <w:tcW w:w="3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7,190</w:t>
            </w:r>
          </w:p>
        </w:tc>
      </w:tr>
      <w:tr>
        <w:trPr>
          <w:trHeight w:val="230"/>
        </w:trPr>
        <w:tc>
          <w:tcPr>
            <w:tcW w:w="3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1,437</w:t>
            </w:r>
          </w:p>
        </w:tc>
      </w:tr>
      <w:tr>
        <w:trPr>
          <w:trHeight w:val="209"/>
        </w:trPr>
        <w:tc>
          <w:tcPr>
            <w:tcW w:w="36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Total current assets</w:t>
            </w:r>
          </w:p>
        </w:tc>
        <w:tc>
          <w:tcPr>
            <w:tcW w:w="48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18,446</w:t>
            </w: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Property and equipment, net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1,140</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988</w:t>
            </w:r>
          </w:p>
        </w:tc>
      </w:tr>
      <w:tr>
        <w:trPr>
          <w:trHeight w:val="230"/>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22,714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25,262</w:t>
            </w:r>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46,143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44,772</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-462280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-179070</wp:posOffset>
            </wp:positionV>
            <wp:extent cx="71323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800"/>
          </w:cols>
          <w:pgMar w:left="320" w:top="900"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840" w:type="dxa"/>
            <w:vAlign w:val="bottom"/>
            <w:gridSpan w:val="3"/>
            <w:shd w:val="clear" w:color="auto" w:fill="CCEEFF"/>
          </w:tcPr>
          <w:p>
            <w:pPr>
              <w:ind w:left="1660"/>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Deficit</w:t>
            </w:r>
          </w:p>
        </w:tc>
        <w:tc>
          <w:tcPr>
            <w:tcW w:w="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380" w:type="dxa"/>
            <w:vAlign w:val="bottom"/>
            <w:tcBorders>
              <w:bottom w:val="single" w:sz="8" w:color="CCEEFF"/>
            </w:tcBorders>
            <w:vMerge w:val="continue"/>
          </w:tcPr>
          <w:p>
            <w:pPr>
              <w:spacing w:after="0"/>
              <w:rPr>
                <w:sz w:val="20"/>
                <w:szCs w:val="20"/>
                <w:color w:val="auto"/>
              </w:rPr>
            </w:pPr>
          </w:p>
        </w:tc>
        <w:tc>
          <w:tcPr>
            <w:tcW w:w="20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380" w:type="dxa"/>
            <w:vAlign w:val="bottom"/>
            <w:shd w:val="clear" w:color="auto" w:fill="CCEEFF"/>
          </w:tcPr>
          <w:p>
            <w:pPr>
              <w:ind w:left="340"/>
              <w:spacing w:after="0" w:line="201" w:lineRule="exact"/>
              <w:rPr>
                <w:sz w:val="20"/>
                <w:szCs w:val="20"/>
                <w:color w:val="auto"/>
              </w:rPr>
            </w:pPr>
            <w:r>
              <w:rPr>
                <w:rFonts w:ascii="Times New Roman" w:cs="Times New Roman" w:eastAsia="Times New Roman" w:hAnsi="Times New Roman"/>
                <w:sz w:val="18"/>
                <w:szCs w:val="18"/>
                <w:color w:val="auto"/>
              </w:rPr>
              <w:t>Accounts payable</w:t>
            </w:r>
          </w:p>
        </w:tc>
        <w:tc>
          <w:tcPr>
            <w:tcW w:w="20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3,245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2,492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7,866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3,978</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Payables to tissue suppliers</w:t>
            </w:r>
          </w:p>
        </w:tc>
        <w:tc>
          <w:tcPr>
            <w:tcW w:w="2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2,431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16"/>
        </w:trPr>
        <w:tc>
          <w:tcPr>
            <w:tcW w:w="6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2,890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revenue interest obligation</w:t>
            </w:r>
          </w:p>
        </w:tc>
        <w:tc>
          <w:tcPr>
            <w:tcW w:w="2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2,750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16"/>
        </w:trPr>
        <w:tc>
          <w:tcPr>
            <w:tcW w:w="6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Revolving line of credit</w:t>
            </w:r>
          </w:p>
        </w:tc>
        <w:tc>
          <w:tcPr>
            <w:tcW w:w="2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5,866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4,227</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 and other current liabilities</w:t>
            </w:r>
          </w:p>
        </w:tc>
        <w:tc>
          <w:tcPr>
            <w:tcW w:w="2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0"/>
        </w:trPr>
        <w:tc>
          <w:tcPr>
            <w:tcW w:w="63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21,201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19,612</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revenue interest obligation</w:t>
            </w:r>
          </w:p>
        </w:tc>
        <w:tc>
          <w:tcPr>
            <w:tcW w:w="2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16,667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16,596</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and other long-term liabilities</w:t>
            </w:r>
          </w:p>
        </w:tc>
        <w:tc>
          <w:tcPr>
            <w:tcW w:w="2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warrant liability</w:t>
            </w:r>
          </w:p>
        </w:tc>
        <w:tc>
          <w:tcPr>
            <w:tcW w:w="2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8"/>
                <w:szCs w:val="18"/>
                <w:color w:val="auto"/>
              </w:rPr>
              <w:t>Total liabilities</w:t>
            </w:r>
          </w:p>
        </w:tc>
        <w:tc>
          <w:tcPr>
            <w:tcW w:w="206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64,454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2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4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Series A Preferred stock, $0.001 par value, 51,505,000 and 45,500,000 shares authorized, as of September 30,</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2020 and December 31, 2019, respectively, 50,414,427 and 44,550,230 shares issued and outstanding, in</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3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September 30, 2020 and December 31, 2019, respectively</w:t>
            </w:r>
          </w:p>
        </w:tc>
        <w:tc>
          <w:tcPr>
            <w:tcW w:w="20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56,593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44,449</w:t>
            </w:r>
          </w:p>
        </w:tc>
        <w:tc>
          <w:tcPr>
            <w:tcW w:w="0" w:type="dxa"/>
            <w:vAlign w:val="bottom"/>
          </w:tcPr>
          <w:p>
            <w:pPr>
              <w:spacing w:after="0"/>
              <w:rPr>
                <w:sz w:val="1"/>
                <w:szCs w:val="1"/>
                <w:color w:val="auto"/>
              </w:rPr>
            </w:pPr>
          </w:p>
        </w:tc>
      </w:tr>
      <w:tr>
        <w:trPr>
          <w:trHeight w:val="20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0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$0.001 par value, 4,801,180 and 4,514,543 shares authorized, as of</w:t>
            </w:r>
          </w:p>
        </w:tc>
        <w:tc>
          <w:tcPr>
            <w:tcW w:w="2460" w:type="dxa"/>
            <w:vAlign w:val="bottom"/>
            <w:gridSpan w:val="2"/>
            <w:shd w:val="clear" w:color="auto" w:fill="CCEEFF"/>
          </w:tcPr>
          <w:p>
            <w:pPr>
              <w:jc w:val="right"/>
              <w:ind w:right="570"/>
              <w:spacing w:after="0" w:line="198" w:lineRule="exact"/>
              <w:rPr>
                <w:sz w:val="20"/>
                <w:szCs w:val="20"/>
                <w:color w:val="auto"/>
              </w:rPr>
            </w:pPr>
            <w:r>
              <w:rPr>
                <w:rFonts w:ascii="Times New Roman" w:cs="Times New Roman" w:eastAsia="Times New Roman" w:hAnsi="Times New Roman"/>
                <w:sz w:val="18"/>
                <w:szCs w:val="18"/>
                <w:color w:val="auto"/>
              </w:rPr>
              <w:t>September 30, 2020 and</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December 31, 2019 respectively, 648,679 and 648,277 issued and outstanding in September 30, 2020 and</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December 31, 2019, respectively</w:t>
            </w:r>
          </w:p>
        </w:tc>
        <w:tc>
          <w:tcPr>
            <w:tcW w:w="20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1,826</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(74,905)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(56,938)</w:t>
            </w: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6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(74,904</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convertible preferred stock and stockholders' deficit</w:t>
            </w:r>
          </w:p>
        </w:tc>
        <w:tc>
          <w:tcPr>
            <w:tcW w:w="20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46,143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44,772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AZIYO BIOLOGICS,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2040" w:type="dxa"/>
            <w:vAlign w:val="bottom"/>
            <w:gridSpan w:val="4"/>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gridSpan w:val="6"/>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2520" w:type="dxa"/>
            <w:vAlign w:val="bottom"/>
            <w:gridSpan w:val="7"/>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7"/>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30,847</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6,233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5,595</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15,676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15,972</w:t>
            </w:r>
          </w:p>
        </w:tc>
        <w:tc>
          <w:tcPr>
            <w:tcW w:w="0" w:type="dxa"/>
            <w:vAlign w:val="bottom"/>
          </w:tcPr>
          <w:p>
            <w:pPr>
              <w:spacing w:after="0"/>
              <w:rPr>
                <w:sz w:val="1"/>
                <w:szCs w:val="1"/>
                <w:color w:val="auto"/>
              </w:rPr>
            </w:pPr>
          </w:p>
        </w:tc>
      </w:tr>
      <w:tr>
        <w:trPr>
          <w:trHeight w:val="209"/>
        </w:trPr>
        <w:tc>
          <w:tcPr>
            <w:tcW w:w="48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4,174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4,435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12,471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2,448</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8,894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507</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from operations</w:t>
            </w:r>
          </w:p>
        </w:tc>
        <w:tc>
          <w:tcPr>
            <w:tcW w:w="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1,249</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4,248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2,567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(3,104)</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(16,469)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(9,156)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Convertible Preferred stock</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3,510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(10,241</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(19,979</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(9,156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 – basic and</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5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(15.79)</w:t>
            </w:r>
          </w:p>
        </w:tc>
        <w:tc>
          <w:tcPr>
            <w:tcW w:w="52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(4.81)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(30.82)</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(14.19)</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648,436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645,142</w:t>
            </w:r>
          </w:p>
        </w:tc>
        <w:tc>
          <w:tcPr>
            <w:tcW w:w="260" w:type="dxa"/>
            <w:vAlign w:val="bottom"/>
          </w:tcPr>
          <w:p>
            <w:pPr>
              <w:spacing w:after="0"/>
              <w:rPr>
                <w:sz w:val="21"/>
                <w:szCs w:val="21"/>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648,331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645,142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AZIYO BIOLOGICS,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CONVERTIBLE</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PREFERRED STOCK AND STOCKHOLDERS’ DEFICIT</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180"/>
          </w:cols>
          <w:pgMar w:left="320" w:top="900" w:right="399" w:bottom="1440" w:gutter="0" w:footer="0" w:header="0"/>
        </w:sect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Borders>
              <w:bottom w:val="single" w:sz="8" w:color="auto"/>
            </w:tcBorders>
            <w:gridSpan w:val="5"/>
          </w:tcPr>
          <w:p>
            <w:pPr>
              <w:jc w:val="right"/>
              <w:ind w:right="209"/>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2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Number of</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171"/>
        </w:trPr>
        <w:tc>
          <w:tcPr>
            <w:tcW w:w="2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2018</w:t>
            </w:r>
          </w:p>
        </w:tc>
        <w:tc>
          <w:tcPr>
            <w:tcW w:w="120" w:type="dxa"/>
            <w:vAlign w:val="bottom"/>
          </w:tcPr>
          <w:p>
            <w:pPr>
              <w:spacing w:after="0"/>
              <w:rPr>
                <w:sz w:val="14"/>
                <w:szCs w:val="1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20" w:type="dxa"/>
            <w:vAlign w:val="bottom"/>
            <w:vMerge w:val="continue"/>
          </w:tcPr>
          <w:p>
            <w:pPr>
              <w:spacing w:after="0"/>
              <w:rPr>
                <w:sz w:val="10"/>
                <w:szCs w:val="10"/>
                <w:color w:val="auto"/>
              </w:rPr>
            </w:pPr>
          </w:p>
        </w:tc>
        <w:tc>
          <w:tcPr>
            <w:tcW w:w="1020" w:type="dxa"/>
            <w:vAlign w:val="bottom"/>
            <w:tcBorders>
              <w:top w:val="single" w:sz="8" w:color="auto"/>
            </w:tcBorders>
            <w:gridSpan w:val="2"/>
          </w:tcPr>
          <w:p>
            <w:pPr>
              <w:ind w:left="380"/>
              <w:spacing w:after="0" w:line="119" w:lineRule="exact"/>
              <w:rPr>
                <w:sz w:val="20"/>
                <w:szCs w:val="20"/>
                <w:color w:val="auto"/>
              </w:rPr>
            </w:pPr>
            <w:r>
              <w:rPr>
                <w:rFonts w:ascii="Times New Roman" w:cs="Times New Roman" w:eastAsia="Times New Roman" w:hAnsi="Times New Roman"/>
                <w:sz w:val="13"/>
                <w:szCs w:val="13"/>
                <w:b w:val="1"/>
                <w:bCs w:val="1"/>
                <w:color w:val="auto"/>
              </w:rPr>
              <w:t>41,500,000</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41,411</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8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2019</w:t>
            </w: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8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720" w:type="dxa"/>
            <w:vAlign w:val="bottom"/>
            <w:vMerge w:val="continue"/>
          </w:tcPr>
          <w:p>
            <w:pPr>
              <w:spacing w:after="0"/>
              <w:rPr>
                <w:sz w:val="13"/>
                <w:szCs w:val="13"/>
                <w:color w:val="auto"/>
              </w:rPr>
            </w:pPr>
          </w:p>
        </w:tc>
        <w:tc>
          <w:tcPr>
            <w:tcW w:w="1020" w:type="dxa"/>
            <w:vAlign w:val="bottom"/>
            <w:tcBorders>
              <w:top w:val="single" w:sz="8" w:color="auto"/>
              <w:bottom w:val="single" w:sz="8" w:color="auto"/>
            </w:tcBorders>
            <w:gridSpan w:val="2"/>
          </w:tcPr>
          <w:p>
            <w:pPr>
              <w:ind w:left="380"/>
              <w:spacing w:after="0" w:line="155" w:lineRule="exact"/>
              <w:rPr>
                <w:sz w:val="20"/>
                <w:szCs w:val="20"/>
                <w:color w:val="auto"/>
              </w:rPr>
            </w:pPr>
            <w:r>
              <w:rPr>
                <w:rFonts w:ascii="Times New Roman" w:cs="Times New Roman" w:eastAsia="Times New Roman" w:hAnsi="Times New Roman"/>
                <w:sz w:val="14"/>
                <w:szCs w:val="14"/>
                <w:b w:val="1"/>
                <w:bCs w:val="1"/>
                <w:color w:val="auto"/>
                <w:w w:val="98"/>
              </w:rPr>
              <w:t>41,500,000</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4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41,411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Balance, December 31, 2019</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720" w:type="dxa"/>
            <w:vAlign w:val="bottom"/>
            <w:vMerge w:val="continue"/>
          </w:tcPr>
          <w:p>
            <w:pPr>
              <w:spacing w:after="0"/>
              <w:rPr>
                <w:sz w:val="9"/>
                <w:szCs w:val="9"/>
                <w:color w:val="auto"/>
              </w:rPr>
            </w:pPr>
          </w:p>
        </w:tc>
        <w:tc>
          <w:tcPr>
            <w:tcW w:w="1020" w:type="dxa"/>
            <w:vAlign w:val="bottom"/>
            <w:gridSpan w:val="2"/>
          </w:tcPr>
          <w:p>
            <w:pPr>
              <w:ind w:left="380"/>
              <w:spacing w:after="0" w:line="106" w:lineRule="exact"/>
              <w:rPr>
                <w:sz w:val="20"/>
                <w:szCs w:val="20"/>
                <w:color w:val="auto"/>
              </w:rPr>
            </w:pPr>
            <w:r>
              <w:rPr>
                <w:rFonts w:ascii="Times New Roman" w:cs="Times New Roman" w:eastAsia="Times New Roman" w:hAnsi="Times New Roman"/>
                <w:sz w:val="12"/>
                <w:szCs w:val="12"/>
                <w:b w:val="1"/>
                <w:bCs w:val="1"/>
                <w:color w:val="auto"/>
              </w:rPr>
              <w:t>44,550,230</w:t>
            </w:r>
          </w:p>
        </w:tc>
        <w:tc>
          <w:tcPr>
            <w:tcW w:w="2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44,449</w:t>
            </w:r>
          </w:p>
        </w:tc>
        <w:tc>
          <w:tcPr>
            <w:tcW w:w="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Convertible Preferred Stock, net</w:t>
            </w:r>
          </w:p>
        </w:tc>
        <w:tc>
          <w:tcPr>
            <w:tcW w:w="12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5,864,197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8,634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 issuance costs of $9</w:t>
            </w:r>
          </w:p>
        </w:tc>
        <w:tc>
          <w:tcPr>
            <w:tcW w:w="12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stock option exercises</w:t>
            </w:r>
          </w:p>
        </w:tc>
        <w:tc>
          <w:tcPr>
            <w:tcW w:w="128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Accretion of Convertible Preferred stock</w:t>
            </w:r>
          </w:p>
        </w:tc>
        <w:tc>
          <w:tcPr>
            <w:tcW w:w="128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8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2020</w:t>
            </w: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720" w:type="dxa"/>
            <w:vAlign w:val="bottom"/>
            <w:vMerge w:val="continue"/>
          </w:tcPr>
          <w:p>
            <w:pPr>
              <w:spacing w:after="0"/>
              <w:rPr>
                <w:sz w:val="13"/>
                <w:szCs w:val="13"/>
                <w:color w:val="auto"/>
              </w:rPr>
            </w:pPr>
          </w:p>
        </w:tc>
        <w:tc>
          <w:tcPr>
            <w:tcW w:w="1020" w:type="dxa"/>
            <w:vAlign w:val="bottom"/>
            <w:tcBorders>
              <w:top w:val="single" w:sz="8" w:color="auto"/>
              <w:bottom w:val="single" w:sz="8" w:color="auto"/>
            </w:tcBorders>
            <w:gridSpan w:val="2"/>
          </w:tcPr>
          <w:p>
            <w:pPr>
              <w:ind w:left="380"/>
              <w:spacing w:after="0" w:line="155" w:lineRule="exact"/>
              <w:rPr>
                <w:sz w:val="20"/>
                <w:szCs w:val="20"/>
                <w:color w:val="auto"/>
              </w:rPr>
            </w:pPr>
            <w:r>
              <w:rPr>
                <w:rFonts w:ascii="Times New Roman" w:cs="Times New Roman" w:eastAsia="Times New Roman" w:hAnsi="Times New Roman"/>
                <w:sz w:val="14"/>
                <w:szCs w:val="14"/>
                <w:b w:val="1"/>
                <w:bCs w:val="1"/>
                <w:color w:val="auto"/>
                <w:w w:val="98"/>
              </w:rPr>
              <w:t>50,414,427</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56,593</w:t>
            </w:r>
          </w:p>
        </w:tc>
        <w:tc>
          <w:tcPr>
            <w:tcW w:w="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Borders>
              <w:bottom w:val="single" w:sz="8" w:color="auto"/>
            </w:tcBorders>
            <w:gridSpan w:val="5"/>
          </w:tcPr>
          <w:p>
            <w:pPr>
              <w:jc w:val="right"/>
              <w:ind w:right="209"/>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Number of</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171"/>
        </w:trPr>
        <w:tc>
          <w:tcPr>
            <w:tcW w:w="2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June 30, 2019</w:t>
            </w:r>
          </w:p>
        </w:tc>
        <w:tc>
          <w:tcPr>
            <w:tcW w:w="120" w:type="dxa"/>
            <w:vAlign w:val="bottom"/>
          </w:tcPr>
          <w:p>
            <w:pPr>
              <w:spacing w:after="0"/>
              <w:rPr>
                <w:sz w:val="14"/>
                <w:szCs w:val="1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Shares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20" w:type="dxa"/>
            <w:vAlign w:val="bottom"/>
            <w:vMerge w:val="continue"/>
          </w:tcPr>
          <w:p>
            <w:pPr>
              <w:spacing w:after="0"/>
              <w:rPr>
                <w:sz w:val="10"/>
                <w:szCs w:val="10"/>
                <w:color w:val="auto"/>
              </w:rPr>
            </w:pPr>
          </w:p>
        </w:tc>
        <w:tc>
          <w:tcPr>
            <w:tcW w:w="1020" w:type="dxa"/>
            <w:vAlign w:val="bottom"/>
            <w:tcBorders>
              <w:top w:val="single" w:sz="8" w:color="auto"/>
            </w:tcBorders>
            <w:gridSpan w:val="2"/>
          </w:tcPr>
          <w:p>
            <w:pPr>
              <w:ind w:left="380"/>
              <w:spacing w:after="0" w:line="119" w:lineRule="exact"/>
              <w:rPr>
                <w:sz w:val="20"/>
                <w:szCs w:val="20"/>
                <w:color w:val="auto"/>
              </w:rPr>
            </w:pPr>
            <w:r>
              <w:rPr>
                <w:rFonts w:ascii="Times New Roman" w:cs="Times New Roman" w:eastAsia="Times New Roman" w:hAnsi="Times New Roman"/>
                <w:sz w:val="13"/>
                <w:szCs w:val="13"/>
                <w:b w:val="1"/>
                <w:bCs w:val="1"/>
                <w:color w:val="auto"/>
              </w:rPr>
              <w:t>41,500,000</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41,411</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8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2019</w:t>
            </w:r>
          </w:p>
        </w:tc>
        <w:tc>
          <w:tcPr>
            <w:tcW w:w="1280" w:type="dxa"/>
            <w:vAlign w:val="bottom"/>
            <w:gridSpan w:val="3"/>
          </w:tcPr>
          <w:p>
            <w:pPr>
              <w:spacing w:after="0"/>
              <w:rPr>
                <w:sz w:val="2"/>
                <w:szCs w:val="2"/>
                <w:color w:val="auto"/>
              </w:rPr>
            </w:pPr>
          </w:p>
        </w:tc>
        <w:tc>
          <w:tcPr>
            <w:tcW w:w="200" w:type="dxa"/>
            <w:vAlign w:val="bottom"/>
            <w:gridSpan w:val="2"/>
          </w:tcPr>
          <w:p>
            <w:pPr>
              <w:spacing w:after="0"/>
              <w:rPr>
                <w:sz w:val="2"/>
                <w:szCs w:val="2"/>
                <w:color w:val="auto"/>
              </w:rPr>
            </w:pPr>
          </w:p>
        </w:tc>
        <w:tc>
          <w:tcPr>
            <w:tcW w:w="8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720" w:type="dxa"/>
            <w:vAlign w:val="bottom"/>
            <w:vMerge w:val="continue"/>
          </w:tcPr>
          <w:p>
            <w:pPr>
              <w:spacing w:after="0"/>
              <w:rPr>
                <w:sz w:val="13"/>
                <w:szCs w:val="13"/>
                <w:color w:val="auto"/>
              </w:rPr>
            </w:pPr>
          </w:p>
        </w:tc>
        <w:tc>
          <w:tcPr>
            <w:tcW w:w="1020" w:type="dxa"/>
            <w:vAlign w:val="bottom"/>
            <w:tcBorders>
              <w:top w:val="single" w:sz="8" w:color="auto"/>
              <w:bottom w:val="single" w:sz="8" w:color="auto"/>
            </w:tcBorders>
            <w:gridSpan w:val="2"/>
          </w:tcPr>
          <w:p>
            <w:pPr>
              <w:ind w:left="380"/>
              <w:spacing w:after="0" w:line="155" w:lineRule="exact"/>
              <w:rPr>
                <w:sz w:val="20"/>
                <w:szCs w:val="20"/>
                <w:color w:val="auto"/>
              </w:rPr>
            </w:pPr>
            <w:r>
              <w:rPr>
                <w:rFonts w:ascii="Times New Roman" w:cs="Times New Roman" w:eastAsia="Times New Roman" w:hAnsi="Times New Roman"/>
                <w:sz w:val="14"/>
                <w:szCs w:val="14"/>
                <w:b w:val="1"/>
                <w:bCs w:val="1"/>
                <w:color w:val="auto"/>
                <w:w w:val="98"/>
              </w:rPr>
              <w:t>41,500,000</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4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41,411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Balance, June 30, 2020</w:t>
            </w:r>
          </w:p>
        </w:tc>
        <w:tc>
          <w:tcPr>
            <w:tcW w:w="1020" w:type="dxa"/>
            <w:vAlign w:val="bottom"/>
            <w:tcBorders>
              <w:bottom w:val="single" w:sz="8" w:color="auto"/>
            </w:tcBorders>
            <w:gridSpan w:val="2"/>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720" w:type="dxa"/>
            <w:vAlign w:val="bottom"/>
            <w:vMerge w:val="continue"/>
          </w:tcPr>
          <w:p>
            <w:pPr>
              <w:spacing w:after="0"/>
              <w:rPr>
                <w:sz w:val="9"/>
                <w:szCs w:val="9"/>
                <w:color w:val="auto"/>
              </w:rPr>
            </w:pPr>
          </w:p>
        </w:tc>
        <w:tc>
          <w:tcPr>
            <w:tcW w:w="1020" w:type="dxa"/>
            <w:vAlign w:val="bottom"/>
            <w:gridSpan w:val="2"/>
          </w:tcPr>
          <w:p>
            <w:pPr>
              <w:ind w:left="380"/>
              <w:spacing w:after="0" w:line="106" w:lineRule="exact"/>
              <w:rPr>
                <w:sz w:val="20"/>
                <w:szCs w:val="20"/>
                <w:color w:val="auto"/>
              </w:rPr>
            </w:pPr>
            <w:r>
              <w:rPr>
                <w:rFonts w:ascii="Times New Roman" w:cs="Times New Roman" w:eastAsia="Times New Roman" w:hAnsi="Times New Roman"/>
                <w:sz w:val="12"/>
                <w:szCs w:val="12"/>
                <w:b w:val="1"/>
                <w:bCs w:val="1"/>
                <w:color w:val="auto"/>
              </w:rPr>
              <w:t>45,000,000</w:t>
            </w:r>
          </w:p>
        </w:tc>
        <w:tc>
          <w:tcPr>
            <w:tcW w:w="2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b w:val="1"/>
                <w:bCs w:val="1"/>
                <w:color w:val="auto"/>
              </w:rPr>
              <w:t>44,899</w:t>
            </w:r>
          </w:p>
        </w:tc>
        <w:tc>
          <w:tcPr>
            <w:tcW w:w="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Convertible Preferred Stock, net</w:t>
            </w:r>
          </w:p>
        </w:tc>
        <w:tc>
          <w:tcPr>
            <w:tcW w:w="12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5,414,427</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8,184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 issuance costs of $9</w:t>
            </w:r>
          </w:p>
        </w:tc>
        <w:tc>
          <w:tcPr>
            <w:tcW w:w="12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stock option exercises</w:t>
            </w:r>
          </w:p>
        </w:tc>
        <w:tc>
          <w:tcPr>
            <w:tcW w:w="128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Accretion of Convertible Preferred Stock</w:t>
            </w:r>
          </w:p>
        </w:tc>
        <w:tc>
          <w:tcPr>
            <w:tcW w:w="128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8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September 30, 2020</w:t>
            </w:r>
          </w:p>
        </w:tc>
        <w:tc>
          <w:tcPr>
            <w:tcW w:w="1280" w:type="dxa"/>
            <w:vAlign w:val="bottom"/>
            <w:gridSpan w:val="3"/>
          </w:tcPr>
          <w:p>
            <w:pPr>
              <w:spacing w:after="0"/>
              <w:rPr>
                <w:sz w:val="2"/>
                <w:szCs w:val="2"/>
                <w:color w:val="auto"/>
              </w:rPr>
            </w:pPr>
          </w:p>
        </w:tc>
        <w:tc>
          <w:tcPr>
            <w:tcW w:w="20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720" w:type="dxa"/>
            <w:vAlign w:val="bottom"/>
            <w:vMerge w:val="continue"/>
          </w:tcPr>
          <w:p>
            <w:pPr>
              <w:spacing w:after="0"/>
              <w:rPr>
                <w:sz w:val="13"/>
                <w:szCs w:val="13"/>
                <w:color w:val="auto"/>
              </w:rPr>
            </w:pPr>
          </w:p>
        </w:tc>
        <w:tc>
          <w:tcPr>
            <w:tcW w:w="1020" w:type="dxa"/>
            <w:vAlign w:val="bottom"/>
            <w:tcBorders>
              <w:top w:val="single" w:sz="8" w:color="auto"/>
              <w:bottom w:val="single" w:sz="8" w:color="auto"/>
            </w:tcBorders>
            <w:gridSpan w:val="2"/>
          </w:tcPr>
          <w:p>
            <w:pPr>
              <w:ind w:left="380"/>
              <w:spacing w:after="0" w:line="155" w:lineRule="exact"/>
              <w:rPr>
                <w:sz w:val="20"/>
                <w:szCs w:val="20"/>
                <w:color w:val="auto"/>
              </w:rPr>
            </w:pPr>
            <w:r>
              <w:rPr>
                <w:rFonts w:ascii="Times New Roman" w:cs="Times New Roman" w:eastAsia="Times New Roman" w:hAnsi="Times New Roman"/>
                <w:sz w:val="14"/>
                <w:szCs w:val="14"/>
                <w:b w:val="1"/>
                <w:bCs w:val="1"/>
                <w:color w:val="auto"/>
                <w:w w:val="98"/>
              </w:rPr>
              <w:t>50,414,427</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4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56,593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1960" w:type="dxa"/>
            <w:vAlign w:val="bottom"/>
            <w:tcBorders>
              <w:bottom w:val="single" w:sz="8" w:color="auto"/>
            </w:tcBorders>
            <w:gridSpan w:val="3"/>
          </w:tcPr>
          <w:p>
            <w:pPr>
              <w:jc w:val="right"/>
              <w:ind w:right="369"/>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vMerge w:val="restart"/>
          </w:tcPr>
          <w:p>
            <w:pPr>
              <w:jc w:val="center"/>
              <w:ind w:right="3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06"/>
        </w:trPr>
        <w:tc>
          <w:tcPr>
            <w:tcW w:w="120" w:type="dxa"/>
            <w:vAlign w:val="bottom"/>
          </w:tcPr>
          <w:p>
            <w:pPr>
              <w:spacing w:after="0"/>
              <w:rPr>
                <w:sz w:val="9"/>
                <w:szCs w:val="9"/>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Number of</w:t>
            </w: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restart"/>
          </w:tcPr>
          <w:p>
            <w:pPr>
              <w:jc w:val="center"/>
              <w:ind w:right="199"/>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w w:val="98"/>
              </w:rPr>
              <w:t>Paid-in</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55"/>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4"/>
                <w:szCs w:val="14"/>
                <w:color w:val="auto"/>
              </w:rPr>
            </w:pPr>
          </w:p>
        </w:tc>
        <w:tc>
          <w:tcPr>
            <w:tcW w:w="1100" w:type="dxa"/>
            <w:vAlign w:val="bottom"/>
            <w:gridSpan w:val="2"/>
          </w:tcPr>
          <w:p>
            <w:pPr>
              <w:jc w:val="center"/>
              <w:ind w:right="179"/>
              <w:spacing w:after="0"/>
              <w:rPr>
                <w:sz w:val="20"/>
                <w:szCs w:val="20"/>
                <w:color w:val="auto"/>
              </w:rPr>
            </w:pPr>
            <w:r>
              <w:rPr>
                <w:rFonts w:ascii="Times New Roman" w:cs="Times New Roman" w:eastAsia="Times New Roman" w:hAnsi="Times New Roman"/>
                <w:sz w:val="14"/>
                <w:szCs w:val="14"/>
                <w:color w:val="auto"/>
              </w:rPr>
              <w:t>Deficit</w:t>
            </w:r>
          </w:p>
        </w:tc>
        <w:tc>
          <w:tcPr>
            <w:tcW w:w="100" w:type="dxa"/>
            <w:vAlign w:val="bottom"/>
          </w:tcPr>
          <w:p>
            <w:pPr>
              <w:spacing w:after="0"/>
              <w:rPr>
                <w:sz w:val="14"/>
                <w:szCs w:val="14"/>
                <w:color w:val="auto"/>
              </w:rPr>
            </w:pPr>
          </w:p>
        </w:tc>
        <w:tc>
          <w:tcPr>
            <w:tcW w:w="940" w:type="dxa"/>
            <w:vAlign w:val="bottom"/>
            <w:gridSpan w:val="3"/>
          </w:tcPr>
          <w:p>
            <w:pPr>
              <w:jc w:val="center"/>
              <w:ind w:right="55"/>
              <w:spacing w:after="0"/>
              <w:rPr>
                <w:sz w:val="20"/>
                <w:szCs w:val="20"/>
                <w:color w:val="auto"/>
              </w:rPr>
            </w:pPr>
            <w:r>
              <w:rPr>
                <w:rFonts w:ascii="Times New Roman" w:cs="Times New Roman" w:eastAsia="Times New Roman" w:hAnsi="Times New Roman"/>
                <w:sz w:val="14"/>
                <w:szCs w:val="14"/>
                <w:color w:val="auto"/>
              </w:rPr>
              <w:t>Deficit</w:t>
            </w:r>
          </w:p>
        </w:tc>
        <w:tc>
          <w:tcPr>
            <w:tcW w:w="0" w:type="dxa"/>
            <w:vAlign w:val="bottom"/>
          </w:tcPr>
          <w:p>
            <w:pPr>
              <w:spacing w:after="0"/>
              <w:rPr>
                <w:sz w:val="1"/>
                <w:szCs w:val="1"/>
                <w:color w:val="auto"/>
              </w:rPr>
            </w:pPr>
          </w:p>
        </w:tc>
      </w:tr>
      <w:tr>
        <w:trPr>
          <w:trHeight w:val="119"/>
        </w:trPr>
        <w:tc>
          <w:tcPr>
            <w:tcW w:w="1020" w:type="dxa"/>
            <w:vAlign w:val="bottom"/>
            <w:tcBorders>
              <w:top w:val="single" w:sz="8" w:color="auto"/>
            </w:tcBorders>
            <w:gridSpan w:val="2"/>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645,143</w:t>
            </w:r>
          </w:p>
        </w:tc>
        <w:tc>
          <w:tcPr>
            <w:tcW w:w="200" w:type="dxa"/>
            <w:vAlign w:val="bottom"/>
          </w:tcPr>
          <w:p>
            <w:pPr>
              <w:spacing w:after="0"/>
              <w:rPr>
                <w:sz w:val="10"/>
                <w:szCs w:val="10"/>
                <w:color w:val="auto"/>
              </w:rPr>
            </w:pPr>
          </w:p>
        </w:tc>
        <w:tc>
          <w:tcPr>
            <w:tcW w:w="860" w:type="dxa"/>
            <w:vAlign w:val="bottom"/>
            <w:tcBorders>
              <w:top w:val="single" w:sz="8" w:color="auto"/>
            </w:tcBorders>
          </w:tcPr>
          <w:p>
            <w:pPr>
              <w:jc w:val="right"/>
              <w:ind w:right="709"/>
              <w:spacing w:after="0" w:line="11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1</w:t>
            </w:r>
          </w:p>
        </w:tc>
        <w:tc>
          <w:tcPr>
            <w:tcW w:w="220" w:type="dxa"/>
            <w:vAlign w:val="bottom"/>
          </w:tcPr>
          <w:p>
            <w:pPr>
              <w:spacing w:after="0"/>
              <w:rPr>
                <w:sz w:val="10"/>
                <w:szCs w:val="10"/>
                <w:color w:val="auto"/>
              </w:rPr>
            </w:pPr>
          </w:p>
        </w:tc>
        <w:tc>
          <w:tcPr>
            <w:tcW w:w="160" w:type="dxa"/>
            <w:vAlign w:val="bottom"/>
            <w:tcBorders>
              <w:top w:val="single" w:sz="8" w:color="auto"/>
            </w:tcBorders>
          </w:tcPr>
          <w:p>
            <w:pPr>
              <w:jc w:val="right"/>
              <w:ind w:right="9"/>
              <w:spacing w:after="0" w:line="11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1,592</w:t>
            </w:r>
          </w:p>
        </w:tc>
        <w:tc>
          <w:tcPr>
            <w:tcW w:w="220" w:type="dxa"/>
            <w:vAlign w:val="bottom"/>
          </w:tcPr>
          <w:p>
            <w:pPr>
              <w:spacing w:after="0"/>
              <w:rPr>
                <w:sz w:val="10"/>
                <w:szCs w:val="10"/>
                <w:color w:val="auto"/>
              </w:rPr>
            </w:pPr>
          </w:p>
        </w:tc>
        <w:tc>
          <w:tcPr>
            <w:tcW w:w="1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(44,999)</w:t>
            </w:r>
          </w:p>
        </w:tc>
        <w:tc>
          <w:tcPr>
            <w:tcW w:w="220" w:type="dxa"/>
            <w:vAlign w:val="bottom"/>
          </w:tcPr>
          <w:p>
            <w:pPr>
              <w:spacing w:after="0"/>
              <w:rPr>
                <w:sz w:val="10"/>
                <w:szCs w:val="10"/>
                <w:color w:val="auto"/>
              </w:rPr>
            </w:pPr>
          </w:p>
        </w:tc>
        <w:tc>
          <w:tcPr>
            <w:tcW w:w="1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(43,406)</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2"/>
                <w:szCs w:val="12"/>
                <w:color w:val="auto"/>
              </w:rPr>
            </w:pPr>
          </w:p>
        </w:tc>
        <w:tc>
          <w:tcPr>
            <w:tcW w:w="3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120" w:type="dxa"/>
            <w:vAlign w:val="bottom"/>
          </w:tcPr>
          <w:p>
            <w:pPr>
              <w:spacing w:after="0"/>
              <w:rPr>
                <w:sz w:val="12"/>
                <w:szCs w:val="12"/>
                <w:color w:val="auto"/>
              </w:rPr>
            </w:pPr>
          </w:p>
        </w:tc>
        <w:tc>
          <w:tcPr>
            <w:tcW w:w="11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3"/>
                <w:szCs w:val="13"/>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10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(9,156)</w:t>
            </w:r>
          </w:p>
        </w:tc>
        <w:tc>
          <w:tcPr>
            <w:tcW w:w="100" w:type="dxa"/>
            <w:vAlign w:val="bottom"/>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(9,156)</w:t>
            </w:r>
          </w:p>
        </w:tc>
        <w:tc>
          <w:tcPr>
            <w:tcW w:w="0" w:type="dxa"/>
            <w:vAlign w:val="bottom"/>
          </w:tcPr>
          <w:p>
            <w:pPr>
              <w:spacing w:after="0"/>
              <w:rPr>
                <w:sz w:val="1"/>
                <w:szCs w:val="1"/>
                <w:color w:val="auto"/>
              </w:rPr>
            </w:pPr>
          </w:p>
        </w:tc>
      </w:tr>
      <w:tr>
        <w:trPr>
          <w:trHeight w:val="25"/>
        </w:trPr>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vMerge w:val="restart"/>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156"/>
        </w:trPr>
        <w:tc>
          <w:tcPr>
            <w:tcW w:w="10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645,143</w:t>
            </w:r>
          </w:p>
        </w:tc>
        <w:tc>
          <w:tcPr>
            <w:tcW w:w="2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709"/>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9"/>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1,756</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(54,155</w:t>
            </w:r>
          </w:p>
        </w:tc>
        <w:tc>
          <w:tcPr>
            <w:tcW w:w="220" w:type="dxa"/>
            <w:vAlign w:val="bottom"/>
            <w:vMerge w:val="continue"/>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(52,398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648,277</w:t>
            </w:r>
          </w:p>
        </w:tc>
        <w:tc>
          <w:tcPr>
            <w:tcW w:w="200" w:type="dxa"/>
            <w:vAlign w:val="bottom"/>
            <w:vMerge w:val="continue"/>
          </w:tcPr>
          <w:p>
            <w:pPr>
              <w:spacing w:after="0"/>
              <w:rPr>
                <w:sz w:val="14"/>
                <w:szCs w:val="14"/>
                <w:color w:val="auto"/>
              </w:rPr>
            </w:pP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vMerge w:val="continue"/>
          </w:tcPr>
          <w:p>
            <w:pPr>
              <w:spacing w:after="0"/>
              <w:rPr>
                <w:sz w:val="14"/>
                <w:szCs w:val="14"/>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1,826</w:t>
            </w:r>
          </w:p>
        </w:tc>
        <w:tc>
          <w:tcPr>
            <w:tcW w:w="22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(56,938)</w:t>
            </w:r>
          </w:p>
        </w:tc>
        <w:tc>
          <w:tcPr>
            <w:tcW w:w="22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(55,111)</w:t>
            </w:r>
          </w:p>
        </w:tc>
        <w:tc>
          <w:tcPr>
            <w:tcW w:w="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20"/>
                <w:szCs w:val="20"/>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2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402</w:t>
            </w:r>
          </w:p>
        </w:tc>
        <w:tc>
          <w:tcPr>
            <w:tcW w:w="860" w:type="dxa"/>
            <w:vAlign w:val="bottom"/>
          </w:tcPr>
          <w:p>
            <w:pPr>
              <w:spacing w:after="0"/>
              <w:rPr>
                <w:sz w:val="12"/>
                <w:szCs w:val="12"/>
                <w:color w:val="auto"/>
              </w:rPr>
            </w:pPr>
          </w:p>
        </w:tc>
        <w:tc>
          <w:tcPr>
            <w:tcW w:w="3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11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20" w:type="dxa"/>
            <w:vAlign w:val="bottom"/>
            <w:gridSpan w:val="3"/>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2"/>
                <w:szCs w:val="12"/>
                <w:color w:val="auto"/>
              </w:rPr>
            </w:pPr>
          </w:p>
        </w:tc>
        <w:tc>
          <w:tcPr>
            <w:tcW w:w="3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(2,012)</w:t>
            </w:r>
          </w:p>
        </w:tc>
        <w:tc>
          <w:tcPr>
            <w:tcW w:w="120" w:type="dxa"/>
            <w:vAlign w:val="bottom"/>
          </w:tcPr>
          <w:p>
            <w:pPr>
              <w:spacing w:after="0"/>
              <w:rPr>
                <w:sz w:val="12"/>
                <w:szCs w:val="12"/>
                <w:color w:val="auto"/>
              </w:rPr>
            </w:pPr>
          </w:p>
        </w:tc>
        <w:tc>
          <w:tcPr>
            <w:tcW w:w="1100" w:type="dxa"/>
            <w:vAlign w:val="bottom"/>
            <w:gridSpan w:val="2"/>
          </w:tcPr>
          <w:p>
            <w:pPr>
              <w:jc w:val="right"/>
              <w:ind w:right="139"/>
              <w:spacing w:after="0" w:line="147" w:lineRule="exact"/>
              <w:rPr>
                <w:sz w:val="20"/>
                <w:szCs w:val="20"/>
                <w:color w:val="auto"/>
              </w:rPr>
            </w:pPr>
            <w:r>
              <w:rPr>
                <w:rFonts w:ascii="Times New Roman" w:cs="Times New Roman" w:eastAsia="Times New Roman" w:hAnsi="Times New Roman"/>
                <w:sz w:val="14"/>
                <w:szCs w:val="14"/>
                <w:color w:val="auto"/>
              </w:rPr>
              <w:t>(1,498)</w:t>
            </w:r>
          </w:p>
        </w:tc>
        <w:tc>
          <w:tcPr>
            <w:tcW w:w="100" w:type="dxa"/>
            <w:vAlign w:val="bottom"/>
          </w:tcPr>
          <w:p>
            <w:pPr>
              <w:spacing w:after="0"/>
              <w:rPr>
                <w:sz w:val="12"/>
                <w:szCs w:val="12"/>
                <w:color w:val="auto"/>
              </w:rPr>
            </w:pPr>
          </w:p>
        </w:tc>
        <w:tc>
          <w:tcPr>
            <w:tcW w:w="94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4"/>
                <w:szCs w:val="14"/>
                <w:color w:val="auto"/>
              </w:rPr>
              <w:t>(3,510)</w:t>
            </w:r>
          </w:p>
        </w:tc>
        <w:tc>
          <w:tcPr>
            <w:tcW w:w="0" w:type="dxa"/>
            <w:vAlign w:val="bottom"/>
          </w:tcPr>
          <w:p>
            <w:pPr>
              <w:spacing w:after="0"/>
              <w:rPr>
                <w:sz w:val="1"/>
                <w:szCs w:val="1"/>
                <w:color w:val="auto"/>
              </w:rPr>
            </w:pPr>
          </w:p>
        </w:tc>
      </w:tr>
      <w:tr>
        <w:trPr>
          <w:trHeight w:val="151"/>
        </w:trPr>
        <w:tc>
          <w:tcPr>
            <w:tcW w:w="1220" w:type="dxa"/>
            <w:vAlign w:val="bottom"/>
            <w:gridSpan w:val="3"/>
          </w:tcPr>
          <w:p>
            <w:pPr>
              <w:jc w:val="right"/>
              <w:ind w:right="200"/>
              <w:spacing w:after="0" w:line="151"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3"/>
                <w:szCs w:val="13"/>
                <w:color w:val="auto"/>
              </w:rPr>
            </w:pPr>
          </w:p>
        </w:tc>
        <w:tc>
          <w:tcPr>
            <w:tcW w:w="360" w:type="dxa"/>
            <w:vAlign w:val="bottom"/>
            <w:gridSpan w:val="2"/>
          </w:tcPr>
          <w:p>
            <w:pPr>
              <w:jc w:val="right"/>
              <w:ind w:right="22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220"/>
              <w:spacing w:after="0" w:line="151" w:lineRule="exact"/>
              <w:rPr>
                <w:sz w:val="20"/>
                <w:szCs w:val="20"/>
                <w:color w:val="auto"/>
              </w:rPr>
            </w:pPr>
            <w:r>
              <w:rPr>
                <w:rFonts w:ascii="Times New Roman" w:cs="Times New Roman" w:eastAsia="Times New Roman" w:hAnsi="Times New Roman"/>
                <w:sz w:val="14"/>
                <w:szCs w:val="14"/>
                <w:color w:val="auto"/>
              </w:rPr>
              <w:t>184</w:t>
            </w:r>
          </w:p>
        </w:tc>
        <w:tc>
          <w:tcPr>
            <w:tcW w:w="120" w:type="dxa"/>
            <w:vAlign w:val="bottom"/>
          </w:tcPr>
          <w:p>
            <w:pPr>
              <w:spacing w:after="0"/>
              <w:rPr>
                <w:sz w:val="13"/>
                <w:szCs w:val="13"/>
                <w:color w:val="auto"/>
              </w:rPr>
            </w:pPr>
          </w:p>
        </w:tc>
        <w:tc>
          <w:tcPr>
            <w:tcW w:w="1100" w:type="dxa"/>
            <w:vAlign w:val="bottom"/>
            <w:gridSpan w:val="2"/>
          </w:tcPr>
          <w:p>
            <w:pPr>
              <w:jc w:val="right"/>
              <w:ind w:right="179"/>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4"/>
                <w:szCs w:val="14"/>
                <w:color w:val="auto"/>
              </w:rPr>
              <w:t>184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3"/>
                <w:szCs w:val="13"/>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10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(16,469)</w:t>
            </w:r>
          </w:p>
        </w:tc>
        <w:tc>
          <w:tcPr>
            <w:tcW w:w="100" w:type="dxa"/>
            <w:vAlign w:val="bottom"/>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(16,469)</w:t>
            </w:r>
          </w:p>
        </w:tc>
        <w:tc>
          <w:tcPr>
            <w:tcW w:w="0" w:type="dxa"/>
            <w:vAlign w:val="bottom"/>
          </w:tcPr>
          <w:p>
            <w:pPr>
              <w:spacing w:after="0"/>
              <w:rPr>
                <w:sz w:val="1"/>
                <w:szCs w:val="1"/>
                <w:color w:val="auto"/>
              </w:rPr>
            </w:pPr>
          </w:p>
        </w:tc>
      </w:tr>
      <w:tr>
        <w:trPr>
          <w:trHeight w:val="25"/>
        </w:trPr>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vMerge w:val="restart"/>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155"/>
        </w:trPr>
        <w:tc>
          <w:tcPr>
            <w:tcW w:w="10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648,679</w:t>
            </w:r>
          </w:p>
        </w:tc>
        <w:tc>
          <w:tcPr>
            <w:tcW w:w="2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709"/>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9"/>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(74,905</w:t>
            </w:r>
          </w:p>
        </w:tc>
        <w:tc>
          <w:tcPr>
            <w:tcW w:w="220" w:type="dxa"/>
            <w:vAlign w:val="bottom"/>
            <w:vMerge w:val="continue"/>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(74,904</w:t>
            </w:r>
          </w:p>
        </w:tc>
        <w:tc>
          <w:tcPr>
            <w:tcW w:w="20" w:type="dxa"/>
            <w:vAlign w:val="bottom"/>
            <w:tcBorders>
              <w:top w:val="single" w:sz="8" w:color="auto"/>
            </w:tcBorders>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120" w:type="dxa"/>
            <w:vAlign w:val="bottom"/>
          </w:tcPr>
          <w:p>
            <w:pPr>
              <w:spacing w:after="0"/>
              <w:rPr>
                <w:sz w:val="24"/>
                <w:szCs w:val="24"/>
                <w:color w:val="auto"/>
              </w:rPr>
            </w:pPr>
          </w:p>
        </w:tc>
        <w:tc>
          <w:tcPr>
            <w:tcW w:w="1960" w:type="dxa"/>
            <w:vAlign w:val="bottom"/>
            <w:tcBorders>
              <w:bottom w:val="single" w:sz="8" w:color="auto"/>
            </w:tcBorders>
            <w:gridSpan w:val="3"/>
          </w:tcPr>
          <w:p>
            <w:pPr>
              <w:jc w:val="right"/>
              <w:ind w:right="389"/>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vMerge w:val="restart"/>
          </w:tcPr>
          <w:p>
            <w:pPr>
              <w:jc w:val="center"/>
              <w:ind w:right="7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06"/>
        </w:trPr>
        <w:tc>
          <w:tcPr>
            <w:tcW w:w="120" w:type="dxa"/>
            <w:vAlign w:val="bottom"/>
          </w:tcPr>
          <w:p>
            <w:pPr>
              <w:spacing w:after="0"/>
              <w:rPr>
                <w:sz w:val="9"/>
                <w:szCs w:val="9"/>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Number of</w:t>
            </w: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restart"/>
          </w:tcPr>
          <w:p>
            <w:pPr>
              <w:jc w:val="center"/>
              <w:ind w:right="199"/>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55"/>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4"/>
                <w:szCs w:val="14"/>
                <w:color w:val="auto"/>
              </w:rPr>
            </w:pPr>
          </w:p>
        </w:tc>
        <w:tc>
          <w:tcPr>
            <w:tcW w:w="1100" w:type="dxa"/>
            <w:vAlign w:val="bottom"/>
            <w:gridSpan w:val="2"/>
          </w:tcPr>
          <w:p>
            <w:pPr>
              <w:jc w:val="center"/>
              <w:ind w:right="179"/>
              <w:spacing w:after="0"/>
              <w:rPr>
                <w:sz w:val="20"/>
                <w:szCs w:val="20"/>
                <w:color w:val="auto"/>
              </w:rPr>
            </w:pPr>
            <w:r>
              <w:rPr>
                <w:rFonts w:ascii="Times New Roman" w:cs="Times New Roman" w:eastAsia="Times New Roman" w:hAnsi="Times New Roman"/>
                <w:sz w:val="14"/>
                <w:szCs w:val="14"/>
                <w:color w:val="auto"/>
              </w:rPr>
              <w:t>Deficit</w:t>
            </w:r>
          </w:p>
        </w:tc>
        <w:tc>
          <w:tcPr>
            <w:tcW w:w="100" w:type="dxa"/>
            <w:vAlign w:val="bottom"/>
          </w:tcPr>
          <w:p>
            <w:pPr>
              <w:spacing w:after="0"/>
              <w:rPr>
                <w:sz w:val="14"/>
                <w:szCs w:val="14"/>
                <w:color w:val="auto"/>
              </w:rPr>
            </w:pPr>
          </w:p>
        </w:tc>
        <w:tc>
          <w:tcPr>
            <w:tcW w:w="940" w:type="dxa"/>
            <w:vAlign w:val="bottom"/>
            <w:gridSpan w:val="3"/>
          </w:tcPr>
          <w:p>
            <w:pPr>
              <w:jc w:val="center"/>
              <w:ind w:right="55"/>
              <w:spacing w:after="0"/>
              <w:rPr>
                <w:sz w:val="20"/>
                <w:szCs w:val="20"/>
                <w:color w:val="auto"/>
              </w:rPr>
            </w:pPr>
            <w:r>
              <w:rPr>
                <w:rFonts w:ascii="Times New Roman" w:cs="Times New Roman" w:eastAsia="Times New Roman" w:hAnsi="Times New Roman"/>
                <w:sz w:val="14"/>
                <w:szCs w:val="14"/>
                <w:color w:val="auto"/>
              </w:rPr>
              <w:t>Deficit</w:t>
            </w:r>
          </w:p>
        </w:tc>
        <w:tc>
          <w:tcPr>
            <w:tcW w:w="0" w:type="dxa"/>
            <w:vAlign w:val="bottom"/>
          </w:tcPr>
          <w:p>
            <w:pPr>
              <w:spacing w:after="0"/>
              <w:rPr>
                <w:sz w:val="1"/>
                <w:szCs w:val="1"/>
                <w:color w:val="auto"/>
              </w:rPr>
            </w:pPr>
          </w:p>
        </w:tc>
      </w:tr>
      <w:tr>
        <w:trPr>
          <w:trHeight w:val="119"/>
        </w:trPr>
        <w:tc>
          <w:tcPr>
            <w:tcW w:w="1020" w:type="dxa"/>
            <w:vAlign w:val="bottom"/>
            <w:tcBorders>
              <w:top w:val="single" w:sz="8" w:color="auto"/>
            </w:tcBorders>
            <w:gridSpan w:val="2"/>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645,143</w:t>
            </w:r>
          </w:p>
        </w:tc>
        <w:tc>
          <w:tcPr>
            <w:tcW w:w="200" w:type="dxa"/>
            <w:vAlign w:val="bottom"/>
          </w:tcPr>
          <w:p>
            <w:pPr>
              <w:spacing w:after="0"/>
              <w:rPr>
                <w:sz w:val="10"/>
                <w:szCs w:val="10"/>
                <w:color w:val="auto"/>
              </w:rPr>
            </w:pPr>
          </w:p>
        </w:tc>
        <w:tc>
          <w:tcPr>
            <w:tcW w:w="860" w:type="dxa"/>
            <w:vAlign w:val="bottom"/>
            <w:tcBorders>
              <w:top w:val="single" w:sz="8" w:color="auto"/>
            </w:tcBorders>
          </w:tcPr>
          <w:p>
            <w:pPr>
              <w:jc w:val="right"/>
              <w:ind w:right="709"/>
              <w:spacing w:after="0" w:line="11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1</w:t>
            </w:r>
          </w:p>
        </w:tc>
        <w:tc>
          <w:tcPr>
            <w:tcW w:w="220" w:type="dxa"/>
            <w:vAlign w:val="bottom"/>
          </w:tcPr>
          <w:p>
            <w:pPr>
              <w:spacing w:after="0"/>
              <w:rPr>
                <w:sz w:val="10"/>
                <w:szCs w:val="10"/>
                <w:color w:val="auto"/>
              </w:rPr>
            </w:pPr>
          </w:p>
        </w:tc>
        <w:tc>
          <w:tcPr>
            <w:tcW w:w="160" w:type="dxa"/>
            <w:vAlign w:val="bottom"/>
            <w:tcBorders>
              <w:top w:val="single" w:sz="8" w:color="auto"/>
            </w:tcBorders>
          </w:tcPr>
          <w:p>
            <w:pPr>
              <w:jc w:val="right"/>
              <w:ind w:right="9"/>
              <w:spacing w:after="0" w:line="11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1,707</w:t>
            </w:r>
          </w:p>
        </w:tc>
        <w:tc>
          <w:tcPr>
            <w:tcW w:w="220" w:type="dxa"/>
            <w:vAlign w:val="bottom"/>
          </w:tcPr>
          <w:p>
            <w:pPr>
              <w:spacing w:after="0"/>
              <w:rPr>
                <w:sz w:val="10"/>
                <w:szCs w:val="10"/>
                <w:color w:val="auto"/>
              </w:rPr>
            </w:pPr>
          </w:p>
        </w:tc>
        <w:tc>
          <w:tcPr>
            <w:tcW w:w="1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(51,051)</w:t>
            </w:r>
          </w:p>
        </w:tc>
        <w:tc>
          <w:tcPr>
            <w:tcW w:w="220" w:type="dxa"/>
            <w:vAlign w:val="bottom"/>
          </w:tcPr>
          <w:p>
            <w:pPr>
              <w:spacing w:after="0"/>
              <w:rPr>
                <w:sz w:val="10"/>
                <w:szCs w:val="10"/>
                <w:color w:val="auto"/>
              </w:rPr>
            </w:pPr>
          </w:p>
        </w:tc>
        <w:tc>
          <w:tcPr>
            <w:tcW w:w="1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(49,343)</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2"/>
                <w:szCs w:val="12"/>
                <w:color w:val="auto"/>
              </w:rPr>
            </w:pPr>
          </w:p>
        </w:tc>
        <w:tc>
          <w:tcPr>
            <w:tcW w:w="3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2"/>
                <w:szCs w:val="12"/>
                <w:color w:val="auto"/>
              </w:rPr>
            </w:pPr>
          </w:p>
        </w:tc>
        <w:tc>
          <w:tcPr>
            <w:tcW w:w="11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3"/>
                <w:szCs w:val="13"/>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10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(3,104)</w:t>
            </w:r>
          </w:p>
        </w:tc>
        <w:tc>
          <w:tcPr>
            <w:tcW w:w="100" w:type="dxa"/>
            <w:vAlign w:val="bottom"/>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(3,104)</w:t>
            </w:r>
          </w:p>
        </w:tc>
        <w:tc>
          <w:tcPr>
            <w:tcW w:w="0" w:type="dxa"/>
            <w:vAlign w:val="bottom"/>
          </w:tcPr>
          <w:p>
            <w:pPr>
              <w:spacing w:after="0"/>
              <w:rPr>
                <w:sz w:val="1"/>
                <w:szCs w:val="1"/>
                <w:color w:val="auto"/>
              </w:rPr>
            </w:pPr>
          </w:p>
        </w:tc>
      </w:tr>
      <w:tr>
        <w:trPr>
          <w:trHeight w:val="25"/>
        </w:trPr>
        <w:tc>
          <w:tcPr>
            <w:tcW w:w="1220" w:type="dxa"/>
            <w:vAlign w:val="bottom"/>
            <w:gridSpan w:val="3"/>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vMerge w:val="restart"/>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155"/>
        </w:trPr>
        <w:tc>
          <w:tcPr>
            <w:tcW w:w="10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645,143</w:t>
            </w:r>
          </w:p>
        </w:tc>
        <w:tc>
          <w:tcPr>
            <w:tcW w:w="2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709"/>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9"/>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1,756</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(54,155</w:t>
            </w:r>
          </w:p>
        </w:tc>
        <w:tc>
          <w:tcPr>
            <w:tcW w:w="220" w:type="dxa"/>
            <w:vAlign w:val="bottom"/>
            <w:vMerge w:val="continue"/>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(52,398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648,277</w:t>
            </w:r>
          </w:p>
        </w:tc>
        <w:tc>
          <w:tcPr>
            <w:tcW w:w="200" w:type="dxa"/>
            <w:vAlign w:val="bottom"/>
            <w:vMerge w:val="continue"/>
          </w:tcPr>
          <w:p>
            <w:pPr>
              <w:spacing w:after="0"/>
              <w:rPr>
                <w:sz w:val="14"/>
                <w:szCs w:val="14"/>
                <w:color w:val="auto"/>
              </w:rPr>
            </w:pP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vMerge w:val="continue"/>
          </w:tcPr>
          <w:p>
            <w:pPr>
              <w:spacing w:after="0"/>
              <w:rPr>
                <w:sz w:val="14"/>
                <w:szCs w:val="14"/>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1,952</w:t>
            </w:r>
          </w:p>
        </w:tc>
        <w:tc>
          <w:tcPr>
            <w:tcW w:w="220" w:type="dxa"/>
            <w:vAlign w:val="bottom"/>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(66,676)</w:t>
            </w:r>
          </w:p>
        </w:tc>
        <w:tc>
          <w:tcPr>
            <w:tcW w:w="22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(64,723)</w:t>
            </w:r>
          </w:p>
        </w:tc>
        <w:tc>
          <w:tcPr>
            <w:tcW w:w="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20"/>
                <w:szCs w:val="20"/>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2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402</w:t>
            </w:r>
          </w:p>
        </w:tc>
        <w:tc>
          <w:tcPr>
            <w:tcW w:w="860" w:type="dxa"/>
            <w:vAlign w:val="bottom"/>
          </w:tcPr>
          <w:p>
            <w:pPr>
              <w:spacing w:after="0"/>
              <w:rPr>
                <w:sz w:val="12"/>
                <w:szCs w:val="12"/>
                <w:color w:val="auto"/>
              </w:rPr>
            </w:pPr>
          </w:p>
        </w:tc>
        <w:tc>
          <w:tcPr>
            <w:tcW w:w="3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11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20" w:type="dxa"/>
            <w:vAlign w:val="bottom"/>
            <w:gridSpan w:val="3"/>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2"/>
                <w:szCs w:val="12"/>
                <w:color w:val="auto"/>
              </w:rPr>
            </w:pPr>
          </w:p>
        </w:tc>
        <w:tc>
          <w:tcPr>
            <w:tcW w:w="3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(2,012)</w:t>
            </w:r>
          </w:p>
        </w:tc>
        <w:tc>
          <w:tcPr>
            <w:tcW w:w="120" w:type="dxa"/>
            <w:vAlign w:val="bottom"/>
          </w:tcPr>
          <w:p>
            <w:pPr>
              <w:spacing w:after="0"/>
              <w:rPr>
                <w:sz w:val="12"/>
                <w:szCs w:val="12"/>
                <w:color w:val="auto"/>
              </w:rPr>
            </w:pPr>
          </w:p>
        </w:tc>
        <w:tc>
          <w:tcPr>
            <w:tcW w:w="1100" w:type="dxa"/>
            <w:vAlign w:val="bottom"/>
            <w:gridSpan w:val="2"/>
          </w:tcPr>
          <w:p>
            <w:pPr>
              <w:jc w:val="right"/>
              <w:ind w:right="139"/>
              <w:spacing w:after="0" w:line="147" w:lineRule="exact"/>
              <w:rPr>
                <w:sz w:val="20"/>
                <w:szCs w:val="20"/>
                <w:color w:val="auto"/>
              </w:rPr>
            </w:pPr>
            <w:r>
              <w:rPr>
                <w:rFonts w:ascii="Times New Roman" w:cs="Times New Roman" w:eastAsia="Times New Roman" w:hAnsi="Times New Roman"/>
                <w:sz w:val="14"/>
                <w:szCs w:val="14"/>
                <w:color w:val="auto"/>
              </w:rPr>
              <w:t>(1,498)</w:t>
            </w:r>
          </w:p>
        </w:tc>
        <w:tc>
          <w:tcPr>
            <w:tcW w:w="100" w:type="dxa"/>
            <w:vAlign w:val="bottom"/>
          </w:tcPr>
          <w:p>
            <w:pPr>
              <w:spacing w:after="0"/>
              <w:rPr>
                <w:sz w:val="12"/>
                <w:szCs w:val="12"/>
                <w:color w:val="auto"/>
              </w:rPr>
            </w:pPr>
          </w:p>
        </w:tc>
        <w:tc>
          <w:tcPr>
            <w:tcW w:w="94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4"/>
                <w:szCs w:val="14"/>
                <w:color w:val="auto"/>
              </w:rPr>
              <w:t>(3,510)</w:t>
            </w:r>
          </w:p>
        </w:tc>
        <w:tc>
          <w:tcPr>
            <w:tcW w:w="0" w:type="dxa"/>
            <w:vAlign w:val="bottom"/>
          </w:tcPr>
          <w:p>
            <w:pPr>
              <w:spacing w:after="0"/>
              <w:rPr>
                <w:sz w:val="1"/>
                <w:szCs w:val="1"/>
                <w:color w:val="auto"/>
              </w:rPr>
            </w:pPr>
          </w:p>
        </w:tc>
      </w:tr>
      <w:tr>
        <w:trPr>
          <w:trHeight w:val="151"/>
        </w:trPr>
        <w:tc>
          <w:tcPr>
            <w:tcW w:w="1220" w:type="dxa"/>
            <w:vAlign w:val="bottom"/>
            <w:gridSpan w:val="3"/>
          </w:tcPr>
          <w:p>
            <w:pPr>
              <w:jc w:val="right"/>
              <w:ind w:right="200"/>
              <w:spacing w:after="0" w:line="151"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3"/>
                <w:szCs w:val="13"/>
                <w:color w:val="auto"/>
              </w:rPr>
            </w:pPr>
          </w:p>
        </w:tc>
        <w:tc>
          <w:tcPr>
            <w:tcW w:w="360" w:type="dxa"/>
            <w:vAlign w:val="bottom"/>
            <w:gridSpan w:val="2"/>
          </w:tcPr>
          <w:p>
            <w:pPr>
              <w:jc w:val="right"/>
              <w:ind w:right="22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220"/>
              <w:spacing w:after="0" w:line="151" w:lineRule="exact"/>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3"/>
                <w:szCs w:val="13"/>
                <w:color w:val="auto"/>
              </w:rPr>
            </w:pPr>
          </w:p>
        </w:tc>
        <w:tc>
          <w:tcPr>
            <w:tcW w:w="1100" w:type="dxa"/>
            <w:vAlign w:val="bottom"/>
            <w:gridSpan w:val="2"/>
          </w:tcPr>
          <w:p>
            <w:pPr>
              <w:jc w:val="right"/>
              <w:ind w:right="179"/>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20"/>
              <w:spacing w:after="0" w:line="151" w:lineRule="exact"/>
              <w:rPr>
                <w:sz w:val="20"/>
                <w:szCs w:val="20"/>
                <w:color w:val="auto"/>
              </w:rPr>
            </w:pPr>
            <w:r>
              <w:rPr>
                <w:rFonts w:ascii="Times New Roman" w:cs="Times New Roman" w:eastAsia="Times New Roman" w:hAnsi="Times New Roman"/>
                <w:sz w:val="14"/>
                <w:szCs w:val="14"/>
                <w:color w:val="auto"/>
              </w:rPr>
              <w:t>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3"/>
                <w:szCs w:val="13"/>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10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(6,731)</w:t>
            </w:r>
          </w:p>
        </w:tc>
        <w:tc>
          <w:tcPr>
            <w:tcW w:w="100" w:type="dxa"/>
            <w:vAlign w:val="bottom"/>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(6,731)</w:t>
            </w:r>
          </w:p>
        </w:tc>
        <w:tc>
          <w:tcPr>
            <w:tcW w:w="0" w:type="dxa"/>
            <w:vAlign w:val="bottom"/>
          </w:tcPr>
          <w:p>
            <w:pPr>
              <w:spacing w:after="0"/>
              <w:rPr>
                <w:sz w:val="1"/>
                <w:szCs w:val="1"/>
                <w:color w:val="auto"/>
              </w:rPr>
            </w:pPr>
          </w:p>
        </w:tc>
      </w:tr>
      <w:tr>
        <w:trPr>
          <w:trHeight w:val="25"/>
        </w:trPr>
        <w:tc>
          <w:tcPr>
            <w:tcW w:w="1220" w:type="dxa"/>
            <w:vAlign w:val="bottom"/>
            <w:gridSpan w:val="3"/>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vMerge w:val="restart"/>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155"/>
        </w:trPr>
        <w:tc>
          <w:tcPr>
            <w:tcW w:w="10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648,679</w:t>
            </w:r>
          </w:p>
        </w:tc>
        <w:tc>
          <w:tcPr>
            <w:tcW w:w="2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709"/>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9"/>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(74,905</w:t>
            </w:r>
          </w:p>
        </w:tc>
        <w:tc>
          <w:tcPr>
            <w:tcW w:w="220" w:type="dxa"/>
            <w:vAlign w:val="bottom"/>
            <w:vMerge w:val="continue"/>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(74,904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-3376930</wp:posOffset>
            </wp:positionV>
            <wp:extent cx="7132320" cy="33604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36042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020" w:space="240"/>
            <w:col w:w="5920"/>
          </w:cols>
          <w:pgMar w:left="320" w:top="900" w:right="3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AZIYO BIOLOGICS,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6"/>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8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(16,469)</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(9,156)</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2,921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2,886</w:t>
            </w:r>
          </w:p>
        </w:tc>
      </w:tr>
      <w:tr>
        <w:trPr>
          <w:trHeight w:val="216"/>
        </w:trPr>
        <w:tc>
          <w:tcPr>
            <w:tcW w:w="8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2,340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Gain on revaluation of revenue interest obligation and other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8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expense recorded as additional revenue interest obligation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2,011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2,132</w:t>
            </w:r>
          </w:p>
        </w:tc>
      </w:tr>
      <w:tr>
        <w:trPr>
          <w:trHeight w:val="216"/>
        </w:trPr>
        <w:tc>
          <w:tcPr>
            <w:tcW w:w="8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Interest expense recorded as Convertible Preferred Stock</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8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Operating expense satisfied through Convertible Preferred Stock issuance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695</w:t>
            </w:r>
          </w:p>
        </w:tc>
      </w:tr>
      <w:tr>
        <w:trPr>
          <w:trHeight w:val="216"/>
        </w:trPr>
        <w:tc>
          <w:tcPr>
            <w:tcW w:w="8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8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8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4,641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8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Obligations to tissue suppliers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204</w:t>
            </w:r>
          </w:p>
        </w:tc>
      </w:tr>
      <w:tr>
        <w:trPr>
          <w:trHeight w:val="230"/>
        </w:trPr>
        <w:tc>
          <w:tcPr>
            <w:tcW w:w="8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Deferred revenue and other liabilities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(8,258</w:t>
            </w:r>
          </w:p>
        </w:tc>
        <w:tc>
          <w:tcPr>
            <w:tcW w:w="1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(4,652</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Expenditures for property, plant and equipment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10"/>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c>
          <w:tcPr>
            <w:tcW w:w="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borrowings under revolving line of credit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1,639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3,909</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2,995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Promissory Notes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Convertible Preferred Stock issuance, net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3,441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revenue interest obligation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16"/>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Surgalign transition services agreement, net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874</w:t>
            </w:r>
          </w:p>
        </w:tc>
      </w:tr>
      <w:tr>
        <w:trPr>
          <w:trHeight w:val="210"/>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Net decrease in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restricted cash,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restricted cash, end of period</w:t>
      </w:r>
    </w:p>
    <w:p>
      <w:pPr>
        <w:spacing w:after="0" w:line="20" w:lineRule="exact"/>
        <w:rPr>
          <w:sz w:val="20"/>
          <w:szCs w:val="20"/>
          <w:color w:val="auto"/>
        </w:rPr>
      </w:pPr>
      <w:r>
        <w:rPr>
          <w:sz w:val="20"/>
          <w:szCs w:val="20"/>
          <w:color w:val="auto"/>
        </w:rPr>
        <w:br w:type="column"/>
      </w:r>
    </w:p>
    <w:p>
      <w:pPr>
        <w:ind w:left="2220" w:hanging="1302"/>
        <w:spacing w:after="0"/>
        <w:tabs>
          <w:tab w:leader="none" w:pos="22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(1,834)</w:t>
      </w:r>
    </w:p>
    <w:p>
      <w:pPr>
        <w:spacing w:after="0" w:line="239" w:lineRule="exact"/>
        <w:rPr>
          <w:sz w:val="20"/>
          <w:szCs w:val="20"/>
          <w:color w:val="auto"/>
        </w:rPr>
      </w:pPr>
    </w:p>
    <w:p>
      <w:pPr>
        <w:ind w:left="840"/>
        <w:spacing w:after="0"/>
        <w:tabs>
          <w:tab w:leader="none" w:pos="2260" w:val="left"/>
        </w:tabs>
        <w:rPr>
          <w:sz w:val="20"/>
          <w:szCs w:val="20"/>
          <w:color w:val="auto"/>
        </w:rPr>
      </w:pPr>
      <w:r>
        <w:rPr>
          <w:rFonts w:ascii="Times New Roman" w:cs="Times New Roman" w:eastAsia="Times New Roman" w:hAnsi="Times New Roman"/>
          <w:sz w:val="18"/>
          <w:szCs w:val="18"/>
          <w:b w:val="1"/>
          <w:bCs w:val="1"/>
          <w:color w:val="auto"/>
        </w:rPr>
        <w:t>2,590</w:t>
      </w:r>
      <w:r>
        <w:rPr>
          <w:sz w:val="20"/>
          <w:szCs w:val="20"/>
          <w:color w:val="auto"/>
        </w:rPr>
        <w:tab/>
      </w:r>
      <w:r>
        <w:rPr>
          <w:rFonts w:ascii="Times New Roman" w:cs="Times New Roman" w:eastAsia="Times New Roman" w:hAnsi="Times New Roman"/>
          <w:sz w:val="18"/>
          <w:szCs w:val="18"/>
          <w:b w:val="1"/>
          <w:bCs w:val="1"/>
          <w:color w:val="auto"/>
        </w:rPr>
        <w:t>2,413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17056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6" w:lineRule="exact"/>
        <w:rPr>
          <w:sz w:val="20"/>
          <w:szCs w:val="20"/>
          <w:color w:val="auto"/>
        </w:rPr>
      </w:pPr>
    </w:p>
    <w:p>
      <w:pPr>
        <w:spacing w:after="0"/>
        <w:tabs>
          <w:tab w:leader="none" w:pos="820" w:val="left"/>
          <w:tab w:leader="none" w:pos="1440" w:val="left"/>
          <w:tab w:leader="none" w:pos="240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1,644</w:t>
        <w:tab/>
        <w:t>$</w:t>
      </w:r>
      <w:r>
        <w:rPr>
          <w:sz w:val="20"/>
          <w:szCs w:val="20"/>
          <w:color w:val="auto"/>
        </w:rPr>
        <w:tab/>
      </w:r>
      <w:r>
        <w:rPr>
          <w:rFonts w:ascii="Times New Roman" w:cs="Times New Roman" w:eastAsia="Times New Roman" w:hAnsi="Times New Roman"/>
          <w:sz w:val="18"/>
          <w:szCs w:val="18"/>
          <w:b w:val="1"/>
          <w:bCs w:val="1"/>
          <w:color w:val="auto"/>
        </w:rPr>
        <w:t>579</w:t>
      </w:r>
    </w:p>
    <w:p>
      <w:pPr>
        <w:spacing w:after="0" w:line="31" w:lineRule="exact"/>
        <w:rPr>
          <w:sz w:val="20"/>
          <w:szCs w:val="20"/>
          <w:color w:val="auto"/>
        </w:rPr>
      </w:pPr>
    </w:p>
    <w:p>
      <w:pPr>
        <w:sectPr>
          <w:pgSz w:w="11900" w:h="16838" w:orient="portrait"/>
          <w:cols w:equalWidth="0" w:num="2">
            <w:col w:w="7720" w:space="720"/>
            <w:col w:w="280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704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and Non-Cash Financing Activities Disclosures:</w:t>
            </w: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3,769</w:t>
            </w:r>
          </w:p>
        </w:tc>
        <w:tc>
          <w:tcPr>
            <w:tcW w:w="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2,916</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taxes</w:t>
            </w:r>
          </w:p>
        </w:tc>
        <w:tc>
          <w:tcPr>
            <w:tcW w:w="1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w:t>
            </w: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Promissory Note to Convertible Preferred Stock</w:t>
            </w:r>
          </w:p>
        </w:tc>
        <w:tc>
          <w:tcPr>
            <w:tcW w:w="1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2,000</w:t>
            </w:r>
          </w:p>
        </w:tc>
        <w:tc>
          <w:tcPr>
            <w:tcW w:w="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AZIYO BIOLOGICS,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Aziyo Biologics, Inc. (together with its consolidated subsidiaries, “Aziyo” or the “Company”) is a regenerative medicine company, with a focus on patients receiving implantable medical devices. The Company has developed a portfolio of regenerative products using both human and porcine tissue that are designed to be as close to natural biological material as possible. Aziyo’s portfolio of core products span the implantable electronic devices/cardiovascular-related market, the orthopedic/spinal repair market and the soft tissue reconstruction market (“Core Products”). These products are primarily sold to healthcare providers or commercial partners. The Company also sells human tissue products under contract manufacturing and certain other arrangements (“Non-Core Products”) with corporate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 and Initial Public Offering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25, 2020, the Company’s Board of Directors and stockholders approved an amendment to the Company’s amended and restated certificate of incorporation to effect a 1-for-13.9549 reverse stock split of the Company’s common stock, which was effected on September 29, 2020. The par value of the common stock was not adjusted as a result of the reverse stock split. Accordingly, all share and share-related information presented in these condensed consolidated financial statements and the accompanying notes has been retroactively adjusted for all periods presented to give effect to the reverse stock split.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13, 2020, in connection with our initial public offering (“IPO”), we issued and sold 2,941,176 shares of common stock, consisting of 2,205,882 shares of Class A common stock and 735,294 shares of Class B common stock, at a price to the public of $17.00 per share, resulting in net proceeds to us of approximately $43.0 million, after deducting the underwriting discount of approximately $3.5 million and offering expenses of approximately $3.5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accounting principles generally accepted in the United States of America (“GAAP”) for interim financial information and with the instructions of the Securities and Exchange Commission (SEC) on Form 10-Q and Rule 10-01 of Regulation S-X. Certain information and note disclosures normally included in annual financial statements prepared in accordance with GAAP have been omitted. The results for the nine months ended September 30, 2020 are not necessarily indicative of results to be expected for the year ending December 31, 2020, any other interim periods, or any future year or period.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333333"/>
        </w:rPr>
        <w:t xml:space="preserve">The accompanying unaudited condensed consolidated financial statements should be read in conjunction with the audited financial statements and the related notes thereto for the year ended December 31, 2019, which are included in the Company’s final prospectus filed with the SEC pursuant to Rule 424(b)(4) on October 8, 2020 under the Securities Act of 1933, as amended (the Securities Act). </w:t>
      </w:r>
      <w:r>
        <w:rPr>
          <w:rFonts w:ascii="Times New Roman" w:cs="Times New Roman" w:eastAsia="Times New Roman" w:hAnsi="Times New Roman"/>
          <w:sz w:val="18"/>
          <w:szCs w:val="18"/>
          <w:color w:val="000000"/>
        </w:rPr>
        <w:t>The financial information as of September 30, 2020</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and for the three and nine months ended September 30, 2020 and 2019 is unaudited, but in the opinion of management, all adjustments, consisting of normal and recurring adjustments, considered necessary for a fair statement of the results for these interim periods have been included. The condensed consolidated financial statements include the accounts of the Company and its wholly-owned subsidiaries. Intercompany accounts and transactions have been eliminated in consolidation. The condensed balance sheet as of December 31, 2019 was derived from the audited annual financial statements but does not contain all of the disclosures from the annual financial statements.</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Accounting Standards Update (“ASU”) 2014-15, </w:t>
      </w:r>
      <w:r>
        <w:rPr>
          <w:rFonts w:ascii="Times New Roman" w:cs="Times New Roman" w:eastAsia="Times New Roman" w:hAnsi="Times New Roman"/>
          <w:sz w:val="18"/>
          <w:szCs w:val="18"/>
          <w:i w:val="1"/>
          <w:iCs w:val="1"/>
          <w:color w:val="auto"/>
        </w:rPr>
        <w:t>Disclosure of Uncertainties about an Entity’s Ability to Continue as a Going Concern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205-40)</w:t>
      </w:r>
      <w:r>
        <w:rPr>
          <w:rFonts w:ascii="Times New Roman" w:cs="Times New Roman" w:eastAsia="Times New Roman" w:hAnsi="Times New Roman"/>
          <w:sz w:val="18"/>
          <w:szCs w:val="18"/>
          <w:color w:val="auto"/>
        </w:rPr>
        <w:t>, the Company has evaluated whether there are conditions and events, considered in the aggregate, that raise substantial doubt about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ability to continue as a going concern within one year after the date that the consolidated financial statements are issued. The Company believes that the net proceeds from its IPO, together with its existing cash and availability under its Revolving Line of Credit (the “Revolver”), will be sufficient to fund its operating expenses and capital expenditure requirements through at least one year after the issuance date of the condensed consolidated financial statements for the nine months ended September 30, 2020.</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its losses to continue for the foreseeable future and these losses will continue to have an adverse effect on our financial position. Because of the numerous risks and uncertainties associated with the Company’s commercialization and development efforts, the Company is unable to predict when it will become profitable, and it may never become profitable. The Company’s inability to achieve and then maintain profitability would negatively affect its business, financial condition, results of operations and cash flows. As such, the Company may need additional funding to support its continuing operations and pursue its growth strategy.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Estimates and assumptions relating to inventories, receivables, long-lived assets, the valuation of stock-based awards, the valuation of the preferred stock warrant liability and deferred income taxes are made at the end of each financial reporting period by management. Management continually re-evaluates its estimates, judgments and assumptions, and management’s evaluation could change. Actual results could differ from those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closely monitoring the impact of the COVID-19 pandemic on its business. In March 2020, the World Health Organization declared COVID-19 a global pandemic and recommended various containment and mitigation measures worldwide. Since that time, the number of procedures performed using the Company’s products has decreased significantly, as governmental authorities in the United States have recommended, and in certain cases required, that elective, specialty and other non-emergency procedures and appointments be suspended or canceled in order to avoid patient exposure to medical environments and the risk of potential infection with COVID-19, and to focus limited resources and personnel capacity on the treatment of COVID-19 patients. As a result, beginning in March 2020, a significant number of procedures using the Company’s products have been postponed or cancelled, which has negatively impacted sales of its products. These measures and challenges will likely continue for the duration of the pandemic, which is uncertain, and will likely continue to reduce the Company’s net sales and negatively impact its business, financial condition and results of operations while the pandemic continues.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calculates basic and diluted net loss per share attributable to common stockholders in conformity with the two-class method required for participating securities. The Convertible Preferred Stock is considered a participating security. The two-class method requires income (loss) available to common stockholders for the period to be allocated between common and participating securities based upon their respective rights to share in the earnings as if all income (loss) for the period had been distributed. Under the two-class method, the net loss attributable to common stockholders is not allocated to the Convertible Preferred Stock as the holders of the preferred stock do not have a contractual obligation to share in losses.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weighted-average shares outstanding during the period. For purposes of the diluted net income (loss) per share attributable to common stockholders’ calculation, Convertible Preferred Stock, stock options, and preferred and common stock warrants are considered to be common stock equivalents. All common stock equivalents have been excluded from the calculation of diluted net loss per share attributable to common stockholders, as their effect would be anti-dilutive for all periods presented. Therefore, basic and diluted net loss per share were the same for both periods presented.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—Valuations based on quoted prices for identical assets and liabilities in active markets.</w:t>
      </w:r>
    </w:p>
    <w:p>
      <w:pPr>
        <w:spacing w:after="0" w:line="225"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—Valuations based on observable inputs other than quoted prices included in Level 1, such as quoted prices for similar assets and liabilities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active markets, quoted prices for identical or similar assets and liabilities in markets that are not active, or other inputs that are observable or can be corroborated by observable market data.</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340"/>
        <w:spacing w:after="0" w:line="286" w:lineRule="auto"/>
        <w:rPr>
          <w:sz w:val="20"/>
          <w:szCs w:val="20"/>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—Valuations based on unobservable inputs reflecting the Company’s own assumptions, consistent with reasonably available assumptions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other market participants. These valuations require significant judgment.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financial instruments disclosed in the financial statements has been determined by using available market information and appropriate valuation methodologies. The carrying value of all current assets and current liabilities approximates fair value because of their short-term 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its cash balances at banks and financial institutions. The balances are insured up to the legal limit. The Company maintains cash balances that may, at times, exceed this insured limit.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provisions of the Revolving Credit Facility (see Note 5), the Company has a lockbox arrangement with the banking institution whereby daily lockbox receipts are contractually utilized to pay down outstanding balances on the Revolver debt. Lockbox receipts that have not yet been applied to the Revolver are classified as restricted cash in the accompanying consolidated balance sheets. The following table provides a reconciliation of cash and restricted cash included in the condensed consolidated balance sheets to the amounts included in the statements of cash flows (in thousands).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63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63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bottom w:val="single" w:sz="8" w:color="CCEEFF"/>
            </w:tcBorders>
          </w:tcPr>
          <w:p>
            <w:pPr>
              <w:spacing w:after="0"/>
              <w:rPr>
                <w:sz w:val="20"/>
                <w:szCs w:val="20"/>
                <w:color w:val="auto"/>
              </w:rPr>
            </w:pPr>
          </w:p>
        </w:tc>
      </w:tr>
      <w:tr>
        <w:trPr>
          <w:trHeight w:val="20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shd w:val="clear" w:color="auto" w:fill="CCEEFF"/>
          </w:tcPr>
          <w:p>
            <w:pPr>
              <w:spacing w:after="0"/>
              <w:rPr>
                <w:sz w:val="18"/>
                <w:szCs w:val="18"/>
                <w:color w:val="auto"/>
              </w:rPr>
            </w:pPr>
          </w:p>
        </w:tc>
      </w:tr>
      <w:tr>
        <w:trPr>
          <w:trHeight w:val="229"/>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Borders>
              <w:bottom w:val="single" w:sz="8" w:color="CCEEFF"/>
            </w:tcBorders>
          </w:tcPr>
          <w:p>
            <w:pPr>
              <w:spacing w:after="0"/>
              <w:rPr>
                <w:sz w:val="19"/>
                <w:szCs w:val="19"/>
                <w:color w:val="auto"/>
              </w:rPr>
            </w:pPr>
          </w:p>
        </w:tc>
      </w:tr>
      <w:tr>
        <w:trPr>
          <w:trHeight w:val="223"/>
        </w:trPr>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cash and restricted cash shown in statements of cash flows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in the accompanying balance sheets are presented net of allowances for doubtful accounts and sales returns and other credits. The Company grants credit to customers in the normal course of business, but generally does not require collateral or any other security to support its receivables.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the collectability of accounts receivable based on a combination of factors. In circumstances where a specific customer is unable to meet its financial obligations to the Company, a provision to the allowance for doubtful accounts is recorded to reduce the net recognized receivable to the amount that is reasonably expected to be collected. For all other customers, a provision to the allowance for doubtful accounts is recorded based on factors including the length of time the receivables are past due, the current business environment and the Company’s historical experience. Provisions to the allowance for doubtful accounts are recorded to general and administrative expenses. Account balances are charged off against the allowance when it is probable that the receivable will not be recovered.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Inventories, consisting of purchased materials, direct labor and manufacturing overhead, are stated at the lower of cost or net realizable value, with cost determined generally using the average cost method. Inventory write-downs for unprocessed and certain processed donor tissue are recorded based on the estimated amount of inventory that will not pass the quality control process based on historical data. At each balance sheet date, the Company also evaluates inventories for excess quantities, obsolescence or shelf life expiration. This evaluation includes analysis of the Company’s current and future strategic plans, historical sales levels by product, projections of future demand, the risk of technological or competitive obsolescence for products, general market conditions and a review of the shelf life expiration dates for products. To the extent that management determines there is excess or obsolete inventory or quantities with a shelf life that is too near its expiration for the Company to reasonably expect that it can sell those products prior to their expiration, the Company adjusts the carrying value to estimated net realizable value.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on the straight-line method over the following estimated useful lives of the assets:</w:t>
      </w:r>
    </w:p>
    <w:p>
      <w:pPr>
        <w:sectPr>
          <w:pgSz w:w="11900" w:h="16838" w:orient="portrait"/>
          <w:cols w:equalWidth="0" w:num="1">
            <w:col w:w="11240"/>
          </w:cols>
          <w:pgMar w:left="320" w:top="900"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Processing and research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equipment and furniture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 hardware and software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to 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to 4 years</w:t>
      </w:r>
    </w:p>
    <w:p>
      <w:pPr>
        <w:spacing w:after="0" w:line="200" w:lineRule="exact"/>
        <w:rPr>
          <w:sz w:val="20"/>
          <w:szCs w:val="20"/>
          <w:color w:val="auto"/>
        </w:rPr>
      </w:pPr>
    </w:p>
    <w:p>
      <w:pPr>
        <w:sectPr>
          <w:pgSz w:w="11900" w:h="16838" w:orient="portrait"/>
          <w:cols w:equalWidth="0" w:num="2">
            <w:col w:w="3780" w:space="720"/>
            <w:col w:w="6740"/>
          </w:cols>
          <w:pgMar w:left="320" w:top="900" w:right="339" w:bottom="1440" w:gutter="0" w:footer="0" w:header="0"/>
          <w:type w:val="continuous"/>
        </w:sect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Leasehold improvements are amortized on the straight-line method over the shorter of the lease term or the estimated useful life of the asset.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Repairs and maintenance costs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Purchased intangible assets with finite lives are carried at acquired fair value, less accumulated amortization. Amortization is computed over the estimated useful lives of the respective assets.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periodically evaluates the period of depreciation or amortization for long-lived assets to determine whether current circumstances warrant revised estimates of useful lives. The Company reviews its property and equipment and intangible assets for impairment whenever events or changes in circumstances indicate the carrying value of an asset may not be recoverable. Impairment exists when the carrying value of the company’s asset exceeds the related estimated undiscounted future cash flows expected to be derived from the asset. If impairment exists, the carrying value of that asset is adjusted to its fair value. A discounted cash flow analysis is used to estimate an asset's fair value, using assumptions that market participants would apply. The results of impairment tests are subject to management’s estimates and assumptions of projected cash flows and operating results. Changes in assumptions or market conditions could result in a change in estimated future cash flows and could result in a lower fair value and therefore an impairment, which could impact reported results. There were no impairment losses during either the three or nine months ended September 30, 2020 or 2019.</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 2019, the Company adopted Financial Accounting Standards Board (FASB) Accounting Standards Codification (ASC) No. 606, “Revenue from Contracts with Customers”, utilizing the modified retrospective method applied to contracts that were not completed. The adoption of the standard did not have a material impact on the timing and amounts of the Company’s revenue as the Company did not have any material remaining performance obligations, or material costs to obtain or fulfill contracts with its customers as of January 1, 2019.</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revenue is generated from contracts with customers in accordance with ASC 606. The core principle of ASC 606 is that the Company recognizes revenue to depict the transfer of promised goods or services to customers in an amount that reflects the consideration to which the Company expects to be entitled in exchange for those goods or services. The ASC 606 revenue recognition model consists of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to primarily sell and distribute products to healthcare providers or commercial partners, or are produced and sold under contract manufacturing arrangements with corporate customers which are billed under ship and bill contract terms. Revenue is recognized when the Company has met its performance obligations pursuant to its contracts with its customers in an amount that the Company expects to be entitled to in exchange for the transfer of control of the products to the Company’s customers. For all product sales, the Company has no further performance obligations and revenue is recognized at the point control transfers which occurs either when: i) the product is shipped via common carrier; or (ii) the product is delivered to the customer or distributor, in accordance with the terms of the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portion of the Company's product revenue is generated from consigned inventory maintained at hospitals and from inventory physically held by direct sales representatives. For these types of products sales, the Company retains control until the product has been used or implanted, at which time revenue is recognized.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the underlying products is transferred to the customer. The related shipping and freight charges incurred by the Company are included in sales and marketing costs.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Contracts with customers state the final terms of the sale, including the description, quantity, and price of each implant distributed. The payment terms and conditions in the Company’s contracts vary; however, as a common business practice, payment terms are typically due in full within 30 to 60 days of delivery. The Company, at times, extends volume discounts to customers.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permits returns of its products in accordance with the terms of contractual agreements with customers. Allowances for returns are provided based upon analysis of the Company’s historical patterns of returns matched against the revenues from which they originated. The Company records estimated returns as a reduction of revenue in the same period revenue is recognized.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rent expense by the straight-line method over the lease term. Funds received from the lessor used to reimburse the Company for the cost of leasehold improvements are recorded as a deferred credit resulting from a lease incentive and are amortized over the lease term as a reduction of rent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plans in accordance with FASB Accounting Standards Codification (“ASC”) 718, </w:t>
      </w:r>
      <w:r>
        <w:rPr>
          <w:rFonts w:ascii="Times New Roman" w:cs="Times New Roman" w:eastAsia="Times New Roman" w:hAnsi="Times New Roman"/>
          <w:sz w:val="18"/>
          <w:szCs w:val="18"/>
          <w:i w:val="1"/>
          <w:iCs w:val="1"/>
          <w:color w:val="auto"/>
        </w:rPr>
        <w:t>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FASB ASC 718 requires the measurement and recognition of compensation expense for all stock-based awards made to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directors, including employee stock options and restricted stock. Stock-based compensation cost is measured at the grant date, based on the calculated fair value of the award, and is recognized as an expense on a straight-line basis over the requisite service period of the entire award.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costs, which include mainly salaries, outside services and supplies,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At September 30, 2020, the Company maintained $1.9 million in bank deposit accounts that are in excess of the $0.25 million insurance provided by the Federal Deposit Insurance Corporation in one federally insured financial institution. The Company has not experienced any losses in such accounts.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Comprehensive income (loss) comprises net income (loss) and other changes in equity that are excluded from net income (loss). For the three and nine months ended September 30, 2020 and 2019, the Company’s net loss equaled its comprehensive loss and accordingly, no additional disclosure is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Deferred income taxes are recorded to reflect the tax consequences on future years for differences between the tax basis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amounts that are more likely than not to be realized.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federal and state jurisdictions. Tax regulations within each jurisdiction are subject to the interpretation of the related tax laws and regulations and require significant judgment to apply. In accordance with the authoritative guidance on accounting for uncertainty in income taxes, the Company recognizes tax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more likely than not (greater than 50%) of being realized upon settlement. The Company’s policy is to recognize interest and/or penalties related to income tax matters in income tax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Recently Issued Accounting Standards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2019, the FASB issued ASU 2019-10, “Financial Instruments — Credit Losses (Topic 326), Derivative and Hedging (Topic 815), and Leases (Topic 842), Effective Dates.” The FASB deferred the effective dates of the new credit losses standard for all entities except SEC filers that are not smaller reporting companies (SRCs) to fiscal years beginning after December 15, 2022, including interim periods within those fiscal years. The Board also aligned the effective dates of ASU 2017-04 on goodwill impairment with the new effective dates of the credit losses standard. The FASB deferred the effective dates of its new standards on hedging and leases for entities that are not public business entities (PBEs) (and for leases, for entities that are not non-for-profit (NFP) entities that have issues, or are conduit bond obligors for, certain securities; and are not employee benefit plans (EBPs) that file or furnish financial statements with or to the SEC) to fiscal years beginning after December 15, 2020, and interim periods in the following year. The FASB is also reconsidering its philosophy on establishing effective dates for major standards for private companies, NFPs, EBPs and smaller public companies. The board has developed a two-bucket approach that would give these entities more time to implement major new standards. The Company is evaluating this standard to determine if adoption will have a material impact on the Company’s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2018, the FASB issued ASU 2018-13, “Fair Value Measurement (Topic 820), Disclosure Framework — Changes to the Disclosure Requirements for Fair Value Measurement.” The standard eliminates, adds, and modifies certain disclosure requirements for fair value measurements. Entities will no longer be required to disclose the amount of and reasons for transfers between Level 1 and Level 2 of the fair value hierarchy, but public companies will be required to disclose the range and weighted average used to develop significant unobservable inputs for Level 3 fair value measurements. The standard is effective for annual reporting periods beginning after December 15, 2019. Adoption of this new standard in the first quarter of 2020 did not have a material impact on the Company’s consolidated financial statements.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2016, the FASB issued ASU 2016-02, Leases. The standard requires that lessees recognize a right-of-use asset and a lease liability for virtually all of their leases (other than leases that meet the definition of a short-term lease). The liability will be equal to the present value of lease payments. The asset will be based on the liability subject to certain adjustments. For income statement purposes, the FASB retained a dual model, requiring leases to be classified as either operating or finance. Operating leases will result in straight-line expense (similar to current operating leases) while finance leases will result in a front-loaded expense pattern (similar to current capital leases). In November 2019, the FASB issued 2019-10 which extended the adoption of ASU 2016-02 for the Company to be effective periods ending after December 15, 2021. While early adoption is permitted, the company intends to adopt in accordance with the revised timeline provided by the FASB. The Company is evaluating this standard to determine if adoption will have a material impact on the Company’s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Inventories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were comprised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26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0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09"/>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3"/>
              </w:rPr>
              <w:t>1,285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60" w:type="dxa"/>
            <w:vAlign w:val="bottom"/>
            <w:gridSpan w:val="2"/>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846</w:t>
            </w:r>
          </w:p>
        </w:tc>
        <w:tc>
          <w:tcPr>
            <w:tcW w:w="260" w:type="dxa"/>
            <w:vAlign w:val="bottom"/>
          </w:tcPr>
          <w:p>
            <w:pPr>
              <w:spacing w:after="0"/>
              <w:rPr>
                <w:sz w:val="18"/>
                <w:szCs w:val="18"/>
                <w:color w:val="auto"/>
              </w:rPr>
            </w:pP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8"/>
              </w:rPr>
              <w:t>1,164</w:t>
            </w:r>
          </w:p>
        </w:tc>
        <w:tc>
          <w:tcPr>
            <w:tcW w:w="4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7,657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8"/>
              </w:rPr>
              <w:t>5,098</w:t>
            </w:r>
          </w:p>
        </w:tc>
        <w:tc>
          <w:tcPr>
            <w:tcW w:w="40" w:type="dxa"/>
            <w:vAlign w:val="bottom"/>
            <w:shd w:val="clear" w:color="auto" w:fill="CCEEFF"/>
          </w:tcPr>
          <w:p>
            <w:pPr>
              <w:spacing w:after="0"/>
              <w:rPr>
                <w:sz w:val="18"/>
                <w:szCs w:val="18"/>
                <w:color w:val="auto"/>
              </w:rPr>
            </w:pPr>
          </w:p>
        </w:tc>
      </w:tr>
      <w:tr>
        <w:trPr>
          <w:trHeight w:val="209"/>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3"/>
              </w:rPr>
              <w:t>9,788</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3"/>
              </w:rPr>
              <w:t>7,190</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the Company recorded an inventory writedown of approximately $0.5 million relating to quantities on-hand deemed to be excessive compared to near-term demand or whose remaining shelf-lives will limit salability. Such writedown largely resulted from the impact on future sales of an existing dermis product after the Company’s launch in mid-2019 of a new dermis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Long-Term Debt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31, 2017, in connection with the Company’s acquisition of CorMatrix described in Note 6, Aziyo entered into a $12 million term loan facility (the “Term Loan Facility”) and an $8 million asset-backed revolving line of credit (the “Revolving Credit Facility”), which the Company’s borrowing capacity under the Revolving Credit Facility is limited by certain qualifying assets, with a financial institution (the “May 2017 Financing”). The Term Loan Facility was amended in December 2017, February 2018 and July 2019 (all amendments being considered modifications) such that an additional $1.5 million, $3 million and $3.5 million, respectively were received by the Company bringing the total aggregate principal amount outstanding under the Term Loan Facility to $20 million. Borrowings under the Term Loan Facility, as amended, bear interest at a rate per annum equal to the sum of (x) the greater of</w:t>
      </w:r>
    </w:p>
    <w:p>
      <w:pPr>
        <w:spacing w:after="0" w:line="5" w:lineRule="exact"/>
        <w:rPr>
          <w:sz w:val="20"/>
          <w:szCs w:val="20"/>
          <w:color w:val="auto"/>
        </w:rPr>
      </w:pPr>
    </w:p>
    <w:p>
      <w:pPr>
        <w:jc w:val="both"/>
        <w:ind w:firstLine="8"/>
        <w:spacing w:after="0" w:line="251" w:lineRule="auto"/>
        <w:tabs>
          <w:tab w:leader="none" w:pos="22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 and (ii) the applicable London Interbank Offered Rate for U.S. dollar deposits divided by 1.00 minus the maximum effective reserve percentage for Eurocurrency funding (“LIBOR”) plus (y) 7.25% (a reduction from 7.75% per annum prior to the July 2019 amendment). The agreement governing the Term Loan Facility provides for interest only payments through January 2021 and interest and equal monthly principal payments from February 2021 through maturity in July 2024 (a deferral from principal repayments from January 2020 through December 2021 prior to July 2019 amendment). Both the Term Loan Facility and the Revolving Credit Facility include mandatory and optional prepayments. The agreement governing the Term Loan Facility also includes an exit fee of 6.5% of the aggregate principal amount and prepayment penalties of 2% to 4% if repaid prior to maturity. The Term Loan Facility also provides for a delay in the payment of principal if certain conditions are met including a qualified initial public offering and no continuing default or event of default. The weighted average interest rate on Term Loan Facility borrowings for the three months ended September 30, 2020 and 2019 and for the nine months ended September 30, 2020 and 2019 was 8.5%, 9.4%, 8.7% and 10.0%, respectively. Borrowings under the Revolving Credit Facility bear interest at a rate per annum equal to the sum of (x) the greater of (i) 2.25% and (ii) LIBOR plus (y) 4.95%. The agreement governing the Revolving Credit Facility includes an unused line fee in an amount equal to 0.5% per annum of the unused borrowing capacity and prepayment penalties of 2% to 4% on the $8 million borrowing capacity if terminated by the Company prior to its expiration in July 2024. The weighted average interest rate on the Revolving Credit Facility borrowings for the three months ended September 30, 2020 and 2019 and for the nine months ended September 30, 2020 and 2019 was 6.2%, 7.1%, 6.1% and 7.3%, respectively. Both debt instruments contain events of default, including, most significantly, a failure to timely pay interest or principal, insolvency, or an action by the Food and Drug Administration or such other material adverse event impacting the operations of Aziyo. The debt instruments also include a financial covenant based on cumulative minimum net product revenue, as defined, restrictions as to payment of dividends, and are secured by all assets of the Company. As of September 30, 2020, Aziyo was in compliance with this financial covenant.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In consummating the July 2019 Amendment to the Term Loan Facility, Aziyo paid origination fees of approximately $40,000 and accrued exit fees of $0.4 million.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conjunction with the May 2017 Financing and the amendment thereto, the Company issued to the financial institution warrants to purchase 405,000 shares of Aziyo’s Convertible Preferred Stock at $1.00 per share. The warrants were exercisable through the first to occur of (a) May 31, 2027 (in the case of warrants to purchase 360,000 shares of Convertible Preferred Stock) or December 14, 2027 (in the case of warrants to purchase 45,000 shares of Convertible Preferred Stock), and (b) the earlier of (i) a Sale Transaction (as defined in the Company’s Certificate of Incorporation) or (ii) an initial public offering of the Company’s common stock. All warrants were exercised in connection with the IPO noted in Note 1.</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stock warrants in accordance with ASC Topic 815 Derivatives and Hedging — Contracts in Entity’s Own Equity,” as either derivative liabilities or as equity instruments depending on the specific terms of the warrant agreement. All of the Company’s issued and outstanding Convertible Preferred Stock warrants are accounted for as a liability and are valued using the Black Scholes model. Upon issuance, the Company valued such warrants at $286,267. The recognition of these warrants served to reduce the recorded value of the associated Term Loan Facility borrowings. This resulting debt discount will be recognized as interest expense through the maturity of the Term Loan Facility.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2017, the Company restructured certain of its liabilities with a tissue supplier and entered into an unsecured promissory note totaling $2.1 million. The note bears interest at 5% and includes quarterly interest-only payments in 2017 and quarterly interest and principal payments from March 31, 2018 through August 31, 2020. The notes are subordinated in payment to the Term Loan Facility and Revolving Credit Facility and in 2019, the Company’s senior lender restricted payment of certain amounts due.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 2020, the Company issued convertible, subordinated promissory notes (the “Initial 2020 Bridge Notes”) with a total principal of approximately $0.6 million. The Initial 2020 Bridge Notes have an interest rate of 5%, are repayable upon demand by the holders any time after April 1, 2025 and shall automatically be converted into the Company’s shares of capital stock upon the closing of an issuance of the Company’s shares of capital stock to one or more investors that results in gross cash proceeds to the Company of at least Three Million Dollars ($3 million). The number of securities to be issued in connection with the conversion of these notes shall equal (i) the sum of the outstanding principal amount of, and all accrued but unpaid interest on, these notes divided by (ii) the cash purchase price per security paid by the investors in the financing. See Note 7 for discussion of the conversion of these notes into Convertible Preferred Stock in September 2020.</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21, 2020 and April 29, 2020, the Company issued additional convertible, subordinated promissory notes (the “Additional 2020 Bridge Notes” and, together with the Initial 2020 Bridge Notes, the “2020 Bridge Notes”) with a total principal of approximately $1.4 million. The Additional 2020 Bridge Notes have an interest rate of 5%, are repayable upon demand by the holders any time after April 1, 2025 and shall automatically be converted into the Company’s shares of capital stock upon the closing of an issuance of the Company’s shares of capital stock to one or more investors that results in gross cash proceeds to the Company of at least Three Million Dollars ($3 million). The number of securities to be issued in connection with the conversion of these notes shall equal (i) the sum of the outstanding principal amount of, and all accrued but unpaid interest on, these notes divided by (ii) the cash purchase price per security paid by the investors in the financing. See Note 7 for discussion of the conversion of these notes into Convertible Preferred Stock in September 2020.</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7, 2020, Aziyo entered into a promissory note with Silicon Valley Bank that provided for the receipt by the Company of loan proceeds totaling approximately $3.0 million (the “PPP loan”) pursuant to the Paycheck Protection Program under the Coronavirus Aid, Relief and Economic Security Act (the “CARES Act”). The PPP Loan matures on May 7, 2022 and bears interest at a rate of 1.0% per annum (unaudited). Monthly amortized principal and interest payments are deferred for ten months after the date of disbursement. The PPP Loan contains events of default and other provisions customary for a loan of this type. If the PPP Loan amount, or any portion thereof, is forgiven pursuant to the Paycheck Protection Program under the CARES Act, the amount so forgiven shall be applied to principal. The Company is not yet able to determine the amount that might be forgiven, and as such, has recorded the PPP loan as a liability until Aziyo is released as the primary obligor for all or a portion of the loan. The PPP loan has been recorded within long-term debt in the accompanying Consolidated Balance Sheets.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9"/>
        </w:trPr>
        <w:tc>
          <w:tcPr>
            <w:tcW w:w="70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70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Facility, net of unamortized discount and deferred financing costs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Note to Tissue Supplier</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tcPr>
          <w:p>
            <w:pPr>
              <w:spacing w:after="0"/>
              <w:rPr>
                <w:sz w:val="18"/>
                <w:szCs w:val="18"/>
                <w:color w:val="auto"/>
              </w:rPr>
            </w:pPr>
          </w:p>
        </w:tc>
      </w:tr>
      <w:tr>
        <w:trPr>
          <w:trHeight w:val="230"/>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PPP loan</w:t>
            </w: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09"/>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(1,692)</w:t>
            </w:r>
          </w:p>
        </w:tc>
      </w:tr>
      <w:tr>
        <w:trPr>
          <w:trHeight w:val="223"/>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4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all debt instruments, which is based on inputs considered to be Level 2 under the fair value hierarchy, approximates the respective carrying values as of September 30, 2020 and December 31, 2019.</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warrant outstanding to purchase up to 7,656 shares of common stock, at an exercise price of $5.44 per share, which had been issued in connection with a prior financing arrangement. This warrant is fully vested and was exercisable through the earliest to occur of (i) March 1, 2027, (ii) the consummation of a Sale Transaction (as defined in the Company’s Certificate of Incorporation), or (iii) the initial public offering of the Company’s common stock. This warrant was fully exercised in connection with the IPO described in Note 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Revenue Interest Obligation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31, 2017, the Company completed an asset purchase agreement with CorMatrix Cardiovascular, Inc. (“CorMatrix”) and acquired all CorMatrix commercial assets and related intellectual property (the “CorMatrix Acquisition”). As part of the CorMatrix Acquisition, the Company assumed a restructured, long-term obligation (the “Revenue Interest Obligation”) to Ligand Pharmaceuticals (“Ligand”) with an estimated present value on the acquisition date of $27.7 million. Subject to annual minimum payments of $2.75 million per year, the terms of the Revenue Interest Obligation require Aziyo to pay Ligand, 5% of future sales of the products Aziyo acquired from CorMatrix, including CanGaroo, ProxiCor, Tyke and Vascure, as well as products substantially similar to those products, such as the version of CanGaroo Aziyo is currently developing that is designed to have anti-infective properties. Furthermore, a $5.0 million payment will be due to Ligand if cumulative sales of these products exceed $100.0 million and a second $5.0 million will be due if cumulative sales exceed $300.0 million during the ten-year term of the agreement which expires on May 31, 2027.</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recorded the present value of the estimated total future payments under the Revenue Interest Obligation as a long-term obligation, with the annual minimum payments serving to establish the short-term portion. Interest expense related to the Revenue Interest Obligation for the three months ended September 30, 2020 and 2019 and for the nine months ended September 30, 2020 and 2019 was approximately $0.7 million, $0.7 million, $2.0 million and $2,1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Preferred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inception, Aziyo was capitalized through the sale of 19.5 million shares of Series A Convertible Preferred Stock, par value $0.001 per share (the “Convertible Preferred Stock”). Since inception, the Company has issued an additional 30.9 million shares of Convertible Preferred Stock yielding proceeds of approximately $30.4 million were used for general corporate purposes and the CorMatrix Acquisition. During the year ended December 31, 2019 and the nine months ended September 30, 2020, Convertible Preferred Stock offerings totaled approximately $3.0 million and $5.4 million, respectively. The proceeds raised in the 2019 offering included the conversion of a $0.75 million Convertible Promissory Note (issued in November 2019), and the related accrued interest, into the Convertible Preferred Stock.</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Convertible Preferred Stock issued during the nine months ended September 30, 2020 occurred largely on September 11, 2020 at which time the Company completed the sale of 3.0 million shares of Convertible Preferred Stock for net proceeds of approximately $3.0 million. At the same time, the 2020 Bridge Notes of $2.0 million (issued in April 2020), and related accrued interest, converted into approximately 2.0 million shares of Convertible Preferred Stock.</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 of the 3.0 million shares of Convertible Preferred Stock described above exceeded the purchase price of the Convertible Preferred Stock by $3.5 million. Such excess was accounted for as a deemed dividend to the Convertible Preferred Stock and was recorded as “Accretion of Convertible Preferred Stock” in the consolidated statement of operations to arrive at “Net Loss Attributable to Common Shareholders” and will be included in the numerator of basic Earnings Per Share. With respect to the statements of changes in convertible preferred stock and stockholders’ deficit, these deemed dividends have been recorded such that Additional Paid-in Capital was first eliminated and any residual dividends served to reduce Accumulated Deficit. Additionally, the fair value of the 2.0 million shares of Convertible Preferred Stock issued upon conversion of Convertible Bridge Notes exceeded the face value of the Convertible Bridge Notes by $2.3 million. Such excess has been recorded as Loss on Early Extinguishment of Debt within Other Expenses in the accompanying Statements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8"/>
          <w:szCs w:val="18"/>
          <w:color w:val="auto"/>
        </w:rPr>
        <w:t>As consideration for the advisory services provided to Aziyo in connection with the CorMatrix Acquisition, an agreement was executed between Aziyo and HighCape Partners Management, L.P. whereby upon consummation by Aziyo of a sale transaction, as defined in the Company’s Certificate of Incorporation, or an initial public offering of the Company’s common stock, Aziyo would be required to pay HighCape a fee totaling $0.75 million. In September 2020, our obligation in respect of this fee was extinguished in connection with the issuance of 375,000 shares of Convertible Preferred Stock. Such Convertible Preferred Stock and the associated expense was recorded at its fair value of approximately $0.8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Convertible Preferred Stock are entitled to receive noncumulative dividends as declared by the Board of Directors. The holders of Convertible Preferred Stock shall be entitled to receive dividends prior and in preference to any payment of any dividend on common stock. No dividends have been declared by the Board of Directors from inception through September 30,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Convertible Preferred Stock is convertible at the election of the holders into shares of the Company’s common stock that would result in a conversion ratio of one share of common stock for every 13.9549 shares of Convertible Preferred Stock held. In addition to this voluntary conversion, each share of Convertible Preferred Stock will automatically be converted into shares of common stock upon (i) the written consent of the required holders (as defined) or (ii) the closing of the sale of shares of common stock to the public at a price of at least $5.00 per share (subject to appropriate adjustment in the event of any stock dividend, stock split, combination or other similar recapitalization with respect to the common stock), in an underwritten public offering pursuant to an effective registration statement under the Securities Act of 1933, as amended, resulting in at least $30 million of gross proceeds to the Company. In case of an underwritten public offering, immediately prior to closing, the holders of Convertible Preferred Stock are entitled to receive additional shares (the “Liquidation Shares”) of common stock as determined by dividing the Convertible Preferred Stock Preference Amount, as defined below, by the price per Common Shares in the underwritten public offering.</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closing of the IPO, all outstanding shares of the Convertible Preferred Stock converted into 6,578,220 shares of common stock, including the Liquidation Shares, and the related carrying value was reclassified to common stock and additional paid-in capital. There were no shares of Convertible Preferred Stock outstanding as of the closing of the IPO on October 13,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and Balance Sheet Classification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Convertible Preferred Stock does not have a mandatory redemption date. However, while it is not mandatorily redeemable, the Convertible Preferred Stock was reclassified into mezzanine equity because it will become redeemable at the option of the stockholders upon the occurrence of certain deemed liquidation events that are considered not solely within the Company’s control. That is, unless a majority of the holders of the then outstanding preferred stock, on an as-if-converted to common stock basis, elect otherwise, deemed liquidation events include a sale of all or substantially all of Aziyo’s assets or a sale of at least fifty percent (50%) of the issued and outstanding voting securities, capital stock, or other comparable equity or ownership interest in Aziyo.</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issuance of the Convertible Preferred Stock, the Company assessed the embedded conversion and liquidation features of the securities. The Company determined that the preferred stock did not require the Company to separately account for the liquidation features.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leases two production facilities and one administrative and research facility under non-cancelable operating lease arrangements that expire through July 2023. All leases contain renewal options and escalation clauses based upon increases in the lessors’ operating expenses and other charges.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rent expense on a straight-line basis over the life of the lease and the difference between the average rent expense and cash payments for rent is recorded as deferred rent and is included in other current and long-term liabilities on the balance sheet. Rent expense for the three months ended September 30, 2020 and 2019 and for the nine months ended September 30, 2020 and 2019 was approximately $0.3 million, $0.3 million, $0.9 million and $0.8 million, respectively, and is included as a component of either cost of goods sold or general and administrative expenses.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Cook Biotech License and Supply Agreements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Aziyo has entered into a license agreement with Cook Biotech (“Cook”) for an exclusive, worldwide license to the porcine tissue for use in the Company’s Cardiac Patch and CanGaroo products, subject to certain co-exclusive rights retained by Cook. The term of such license is through the date of the last to expire of the licensed Cook patents, which is anticipated to be July 2031. Along with this license agreement, Aziyo entered into a supply agreement whereby Cook would be the exclusive supplier to Aziyo of the licensed porcine tissue. Under certain limited circumstances, Aziyo has the right to manufacture the licensed product and pay Cook a royalty of 3% of sales of the Aziyo-manufactured tissue. The supply agreement expires on the same date as the related license agreement. No royalties were paid to Cook during the three or nine months ended September 30, 2020 or 2019. Aziyo has also entered into an amendment to the Cook license agreement (the “Cook Amendment”) in order to add fields of exclusive use. Specifically, the Cook Amendment provides for a worldwide exclusive license to the porcine tissue for use with neuromodulation devices in addition to cardiovascular devices. The Cook Amendment includes license fee payments of $0.1 million per year in each of the years 2020 through 2026. Such license payments would accelerate if a change in control, as defined, occurs within Aziyo. The Company, in its sole discretion, can terminate the license agreement at any time.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business. As of September 30, 2020, the Company was not a party to, or aware of, any material legal matters or claims.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Net Loss Per Share Attributable to Common Stockholders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252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100" w:type="dxa"/>
            <w:vAlign w:val="bottom"/>
            <w:tcBorders>
              <w:bottom w:val="single" w:sz="8" w:color="CCEEFF"/>
            </w:tcBorders>
          </w:tcPr>
          <w:p>
            <w:pPr>
              <w:spacing w:after="0"/>
              <w:rPr>
                <w:sz w:val="19"/>
                <w:szCs w:val="19"/>
                <w:color w:val="auto"/>
              </w:rPr>
            </w:pP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(10,241)</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(19,979)</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(9,156)</w:t>
            </w:r>
          </w:p>
        </w:tc>
      </w:tr>
      <w:tr>
        <w:trPr>
          <w:trHeight w:val="196"/>
        </w:trPr>
        <w:tc>
          <w:tcPr>
            <w:tcW w:w="5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 basic and diluted</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648,436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645,142</w:t>
            </w:r>
          </w:p>
        </w:tc>
        <w:tc>
          <w:tcPr>
            <w:tcW w:w="26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648,331</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645,142</w:t>
            </w:r>
          </w:p>
        </w:tc>
      </w:tr>
      <w:tr>
        <w:trPr>
          <w:trHeight w:val="151"/>
        </w:trPr>
        <w:tc>
          <w:tcPr>
            <w:tcW w:w="5460" w:type="dxa"/>
            <w:vAlign w:val="bottom"/>
            <w:tcBorders>
              <w:top w:val="single" w:sz="8" w:color="CCEEFF"/>
            </w:tcBorders>
            <w:shd w:val="clear" w:color="auto" w:fill="CCEEFF"/>
          </w:tcPr>
          <w:p>
            <w:pPr>
              <w:ind w:left="180"/>
              <w:spacing w:after="0" w:line="151" w:lineRule="exact"/>
              <w:rPr>
                <w:sz w:val="20"/>
                <w:szCs w:val="20"/>
                <w:color w:val="auto"/>
              </w:rPr>
            </w:pPr>
            <w:r>
              <w:rPr>
                <w:rFonts w:ascii="Times New Roman" w:cs="Times New Roman" w:eastAsia="Times New Roman" w:hAnsi="Times New Roman"/>
                <w:sz w:val="17"/>
                <w:szCs w:val="17"/>
                <w:color w:val="auto"/>
              </w:rPr>
              <w:t>Net loss per common share attributable to common stockholders, basic</w:t>
            </w: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261"/>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(15.79)</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(4.81)</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(30.82)</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(14.19)</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potential dilutive securities have been excluded from the computation of diluted net loss per share as the effect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600"/>
        <w:spacing w:after="0" w:line="255" w:lineRule="auto"/>
        <w:rPr>
          <w:sz w:val="20"/>
          <w:szCs w:val="20"/>
          <w:color w:val="auto"/>
        </w:rPr>
      </w:pPr>
      <w:r>
        <w:rPr>
          <w:rFonts w:ascii="Times New Roman" w:cs="Times New Roman" w:eastAsia="Times New Roman" w:hAnsi="Times New Roman"/>
          <w:sz w:val="18"/>
          <w:szCs w:val="18"/>
          <w:color w:val="auto"/>
        </w:rPr>
        <w:t>Convertible Preferred Stock Options to purchase common stock Common stock warrants Preferred stock warrants</w:t>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Total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Related Party Transactions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58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Three Months Ended,</w:t>
            </w:r>
          </w:p>
        </w:tc>
        <w:tc>
          <w:tcPr>
            <w:tcW w:w="238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25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September 30,</w:t>
            </w:r>
          </w:p>
        </w:tc>
        <w:tc>
          <w:tcPr>
            <w:tcW w:w="23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Pr>
          <w:p>
            <w:pPr>
              <w:spacing w:after="0"/>
              <w:rPr>
                <w:sz w:val="19"/>
                <w:szCs w:val="19"/>
                <w:color w:val="auto"/>
              </w:rPr>
            </w:pPr>
          </w:p>
        </w:tc>
      </w:tr>
      <w:tr>
        <w:trPr>
          <w:trHeight w:val="191"/>
        </w:trPr>
        <w:tc>
          <w:tcPr>
            <w:tcW w:w="11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3,612,668</w:t>
            </w:r>
          </w:p>
        </w:tc>
        <w:tc>
          <w:tcPr>
            <w:tcW w:w="20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2,973,866</w:t>
            </w:r>
          </w:p>
        </w:tc>
        <w:tc>
          <w:tcPr>
            <w:tcW w:w="18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3,612,668</w:t>
            </w:r>
          </w:p>
        </w:tc>
        <w:tc>
          <w:tcPr>
            <w:tcW w:w="20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2,973,866</w:t>
            </w:r>
          </w:p>
        </w:tc>
        <w:tc>
          <w:tcPr>
            <w:tcW w:w="20" w:type="dxa"/>
            <w:vAlign w:val="bottom"/>
          </w:tcPr>
          <w:p>
            <w:pPr>
              <w:spacing w:after="0"/>
              <w:rPr>
                <w:sz w:val="16"/>
                <w:szCs w:val="16"/>
                <w:color w:val="auto"/>
              </w:rPr>
            </w:pPr>
          </w:p>
        </w:tc>
      </w:tr>
      <w:tr>
        <w:trPr>
          <w:trHeight w:val="216"/>
        </w:trPr>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287,996</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289,152</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287,996</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289,152</w:t>
            </w:r>
          </w:p>
        </w:tc>
      </w:tr>
      <w:tr>
        <w:trPr>
          <w:trHeight w:val="230"/>
        </w:trPr>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7,656</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7,656</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7,656</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7,656</w:t>
            </w:r>
          </w:p>
        </w:tc>
      </w:tr>
      <w:tr>
        <w:trPr>
          <w:trHeight w:val="234"/>
        </w:trPr>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29,022</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29,022</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29,022</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29,022</w:t>
            </w: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3,937,342</w:t>
            </w:r>
          </w:p>
        </w:tc>
        <w:tc>
          <w:tcPr>
            <w:tcW w:w="2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3,299,696</w:t>
            </w:r>
          </w:p>
        </w:tc>
        <w:tc>
          <w:tcPr>
            <w:tcW w:w="1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3,937,342</w:t>
            </w:r>
          </w:p>
        </w:tc>
        <w:tc>
          <w:tcPr>
            <w:tcW w:w="200" w:type="dxa"/>
            <w:vAlign w:val="bottom"/>
          </w:tcPr>
          <w:p>
            <w:pPr>
              <w:spacing w:after="0"/>
              <w:rPr>
                <w:sz w:val="19"/>
                <w:szCs w:val="19"/>
                <w:color w:val="auto"/>
              </w:rPr>
            </w:pP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3,299,696</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-745490</wp:posOffset>
            </wp:positionV>
            <wp:extent cx="627507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75070" cy="14605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-462280</wp:posOffset>
            </wp:positionV>
            <wp:extent cx="627507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75070" cy="13716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-179705</wp:posOffset>
            </wp:positionV>
            <wp:extent cx="627507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75070" cy="163195"/>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2">
            <w:col w:w="4140" w:space="720"/>
            <w:col w:w="6380"/>
          </w:cols>
          <w:pgMar w:left="320" w:top="900" w:right="339" w:bottom="1440" w:gutter="0" w:footer="0" w:header="0"/>
          <w:type w:val="continuous"/>
        </w:sectPr>
      </w:pP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management services agreement with an affiliate of HighCape Partners through which strategic, operational and management consulting services are provided to the Company. Fees for such services are $0.25 million per year. During both the nine months ended September 30, 2020 and 2019, the Company recorded expenses totaling $0.19 million for these services, respectively. As of September 30, 2020 and December 31, 2019, approximately $0.2 million and $10,000, respectively, was recorded as an accrued expense related to such management fees.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11. Segment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as one segment, regenerative medicines. The segment is based on financial information that is utilized by the Company’s Chief Operating Decision Maker (“CODM”), who is the Company’s Chief Executive Officer, to assess performance and allocate resources.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2020 and 2019, the Company’s net sales disaggregated by the major sources – Core Products and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 Products (see Note 1) - were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Sales by product</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r>
      <w:tr>
        <w:trPr>
          <w:trHeight w:val="209"/>
        </w:trPr>
        <w:tc>
          <w:tcPr>
            <w:tcW w:w="49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Core Products</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w:t>
            </w: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25,956</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Non-Core Products</w:t>
            </w:r>
          </w:p>
        </w:tc>
        <w:tc>
          <w:tcPr>
            <w:tcW w:w="26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1,429</w:t>
            </w:r>
          </w:p>
        </w:tc>
        <w:tc>
          <w:tcPr>
            <w:tcW w:w="2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3,260</w:t>
            </w:r>
          </w:p>
        </w:tc>
        <w:tc>
          <w:tcPr>
            <w:tcW w:w="2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4,260</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9,285</w:t>
            </w:r>
          </w:p>
        </w:tc>
      </w:tr>
      <w:tr>
        <w:trPr>
          <w:trHeight w:val="223"/>
        </w:trPr>
        <w:tc>
          <w:tcPr>
            <w:tcW w:w="52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Subsequent Events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7, 2020, in connection with the Company’s IPO, the Company adopted the Aziyo Biologics, Inc. 2020 Omnibus Incentive Award Plan (the “2020 Plan”), which authorizes the grant of equity awards initially equal to 1,636,000 shares of Class A Common Stock, plus any shares of Class A Common Stock which as of such date were available for issuance under the Aziyo Biologics, Inc. 2015 Stock Option/Stock Issuance Plan, plus an annual increase, as set forth in the 2020 Plan. Additionally, the Company also adopted the Aziyo Biologics, Inc. 2020 Employee Stock Purchase Plan (the “ESPP”), which authorizes the issuance upon the terms and subject to the provisions of the ESPP of a number of shares of Class A Common Stock (the “ESPP Reserve”) initially equal to 143,150 shares of Class A Common Stock, plus an annual increase, as set forth in the ESPP. Upon adoption of the 2020 Plan, the Company granted stock options to purchase 588,907 shares of Class A Common Stock with an exercise price of $17.00 per share (the IPO price per share) which vest, subject to continued service, in equal annual installments over a four year period and have a term of ten years. On October 8, 2020, the Company granted restricted stock units (“RSU”) covering 147,883 shares of Class A Common Stock, which vest in their entirety on the third anniversary date of the RSU grant, or upon a Change in Control (as defined in the 2020 Plan), if earlier, subject to continued service.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unaudited condensed consolidated financial statements and the related notes included elsewhere in this Quarterly Report, as well as the audited financial statements and the related notes thereto, and the discussion under “Management’s Discussion and Analysis of Financial Condition and Results of Operations” and “Business” included in our Prospectus filed with the Securities and Exchange Commission (the “SEC”) on October 8, 2020 (the “Prospectus”). This discussion contains forward-looking statements reflecting our current expectations, estimates, plans and assumptions concerning events and financial trends that involve risks and may affect our future operating results and financial position. Actual results and the timing of events may differ materially from those contained in these forward-looking statements due to a number of factors, including those discussed in the sections entitled “Forward-Looking Statements,” “Risk Factors Summary” and in Part II, Item 1A. “Risk Factors” of this Quarterly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commercial-stage regenerative medicine company focused on creating the next generation of differentiated products and improving outcomes in patients undergoing surgery, concentrating on patients receiving implantable medical devices. From our proprietary tissue processing platforms, we have developed a portfolio of advanced regenerative medical products that are designed to be very similar to natural biological material. Our proprietary products, which we refer to as our Core Products, are designed to address the implantable electronic device/cardiovascular, orthopedic/spinal repair and soft tissue reconstruction markets, which represented a combined $3 billion market opportunity in the United States in 2020. To expand our commercial reach, we have commercial relationships with major medical device companies, such as Boston Scientific and Medtronic, to promote and sell some of our Core Products. We believe our focus on our unique regenerative medicine platforms and our Core Products will ultimately maximize our probability of continued clinical and commercial success and will create a long-term competitive advantage for us.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estimate that more than two million patients were either implanted with medical devices, such as pacemakers, defibrillators, neuro-stimulators, spinal fusion and trauma fracture hardware or tissue expanders for breast reconstruction, in the United States in 2019. This number is driven by advances in medical device technologies and an aging population with a growing incidence of comorbidities, including diabetes, obesity and cardiovascular and peripheral vascular diseases. These comorbidities can exacerbate various immune responses and other complications that can be triggered by a device implant.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Core Products are targeted to address unmet clinical needs with the goal of promoting healthy tissue formation and avoiding complications associated with medical device implants, such as scar-tissue formation, capsular contraction, erosion, migration, non-union of implants and implant rejection. We believe that we have developed the only biological envelope, which is covered by a number of patents, that forms a natural, systemically vascularized pocket for holding implanted electronic devices. We have a proprietary processing technology for manufacturing bone regenerative products for use in orthopedic/spinal repair that preserves a cell’s ability to regenerate bone and decelerates cell apoptosis or programmed cell death. We have a patented cell removal technology that produces undamaged extracellular matrices for use in soft tissue reconstruction. In pre-clinical and clinical studies, our products have supported and, in some cases, accelerated tissue healing, and thereby improved patient outcomes.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Non-Core Products are those fulfilled through tissue processing contracts at our Richmond, California facility. These contracts serve to utilize as much as possible of the starting human biological material from which we produce our orthopedic/spinal repair and soft tissue reconstruction products, leverage our existing overhead and improve our cash flow. The resulting processed materials, including particulate bone, precision milled bone, cellular bone matrix, acellular dermis and other soft tissue products, are sold to medical/surgical companies as finished products and as a subcomponent of their products. Additionally, we process amniotic membrane as finished product for selected customers.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process all of our products at our two manufacturing facilities in Roswell, Georgia and Richmond, California, and stock inventory of raw materials, components and finished goods at those locations. We rely on a single or limited number of suppliers for certain raw materials and components. Except for the porcine tissue supplier of our raw materials for our CanGaroo and cardiovascular products, which is Cook Biotech, we generally have no long-term supply agreements with our suppliers, as we obtain supplies on a purchase order basis. Specifically, we acquire donated human tissue directly through tissue procurement firms engaged by us. We primarily ship our Core Products from our facilities directly to hospital customers.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inception, we have financed our operations primarily through private placements of our convertible preferred stock, amounts borrowed under our credit facilities and sales of our products. We have devoted the majority of our resources to acquisitions and integration, manufacturing and administrative costs, research and development, clinical activity and investing in our commercial infrastructure through our direct sales force and our commercial partners in order to expand our presence and to promote awareness and adoption of our products. As of September 30, 2020, we had 156 employees, of which 25 were direct sales representatives.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We incurred a net loss of $11.9 million for the year ended December 31, 2019, and incurred net losses of $16.5 million and $9.2 million for the nine months ended September 30, 2020 and 2019, respectively. Our accumulated deficit as of September 30, 2020 was $74.9 million.</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expect to continue to incur significant expenses and operating losses for the foreseeable future as we seek to grow our sales organization and expand our product development and clinical and research activities. In addition, we expect to continue to incur additional costs and expenses associated with operating as a public company.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achieve profitability will depend on our ability to generate sales from existing or new products sufficient to exceed our ongoing operating expenses and capital requirements. Because of the numerous risks and uncertainties affecting product sales and our ongoing commercialization and product development efforts, we are unable to predict with any certainty whether we will be able to increase sales of our products or the timing or amount of ongoing expenditures we will be required to incur. Accordingly, even if we are able to increase sales of our products, we may not become profitable. As a result, we anticipate that we will need additional funding to support our continuing operations and pursue our growth strategy. Until such time as we are able to generate sufficient sales from our products, we expect to finance our operations through equity offerings, debt financings or other capital sources, which may include collaborations or license agreements with other companies or other strategic transactions. We may not be able to raise additional funds or enter into such other agreements or arrangements when needed on favorable terms or at all. If we fail to raise capital or enter into such agreements as and when needed, we will be unable to execute our growth strategy and may be forced to reduce or terminate some or all of our operations.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net proceeds from our initial public offering consummated on October 13, 2020 (the “IPO”), together with our existing cash and our availability under our Revolving Credit Facility (as defined below), will be sufficient to fund our operating expenses and capital expenditure requirements through 2022. We have based this estimate on assumptions that may prove to be wrong, and we could exhaust our available capital resources sooner than we expect.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closely monitoring the impact of the COVID-19 pandemic on our business. In March 2020, the World Health Organization declared COVID-19 a global pandemic and recommended various containment and mitigation measures worldwide. Since that time, the number of procedures performed using our products has decreased significantly, as governmental authorities in the United States have recommended, and in certain cases required, that elective, specialty and other non-emergency procedures and appointments be suspended or canceled in order to avoid patient exposure to medical environments and the risk of potential infection with COVID-19, and to focus limited resources and personnel capacity on the treatment of COVID-19 patients. As a result, beginning in March 2020, a significant number of procedures using our products have been postponed or cancelled, which has negatively impacted sales of our products. These measures and challenges will likely continue for the duration of the pandemic, which is uncertain, and will likely continue to reduce our net sales and negatively impact our business, financial condition and results of operations while the pandemic continues.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numerous state and local jurisdictions, including those where our facilities are located, have imposed, and others in the future may impose or re-impose, “shelter-in-place” orders, quarantines, executive orders and similar government orders and restrictions for their residents to control the spread of COVID-19. Such orders or restrictions have resulted in reduced operations at our manufacturing facilities, travel restrictions and cancellation of events, and have restricted the ability of our sales representatives and those of our commercial partners and independent sales agents to attend procedures in which our products are used, among other effects, thereby significantly and negatively impacting our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extent to which the COVID-19 pandemic impacts our future financial condition and results of operations will depend on future events and developments, which are highly uncertain and cannot be predicted, including the severity and spread of the disease and the effectiveness of actions to contain the disease or treat its impact, among others. As new information regarding COVID-19 continues to emerge, it is difficult to predict the degree to which this disease will ultimately have on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revenue on the sale of our Core Products and our Non-Core Products. With respect to our Core Products, CanGaroo and our cardiovascular products are sold to hospitals and other healthcare facilities primarily through our direct sales force, commercial partners or independent sales agents. Our orthopedic/spinal repair products are sold through commercial partners. Our soft tissue reconstruction product SimpliDerm is sold directly to hospitals and other healthcare facilities through direct sales and independent sales agents. Our contract manufacturing products are sold directly to corporate customers. Gross to net sales adjustments include sales returns and prompt payment and volume discounts.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years, we have incurred significant costs in the operation of our business. We expect our expenses to continue to increase for the foreseeable future as we grow our sales and marketing organization, expand our product development and clinical activities and increase our administrative infrastructure. As a result, we will need to generate significant net sales in order to achieve profitability. Below is a breakdown of our main expense categories and the related expenses incurred in each category: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of Goods Sold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cost of goods sold relate to purchased raw materials and the processing and conversion costs of such raw materials consisting primarily of salaries and benefits, supplies, quality control testing and the manufacturing overhead incurred at our processing facilities in Richmond, California and Roswell, Georgia. Both facilities have additional capacity, which if utilized, would further leverage our fixed overhead. Cost of goods sold also includes the amortization of intangibles generated from the CorMatrix Acquisition in 2017.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and marketing expenses are primarily related to our direct sales force, consisting of salaries, commission compensation, fringe benefits, meals and other expenses. Auto and travel costs have also historically contributed to sales and marketing expenses, albeit to a lesser extent due to the COVID-19 pandemic. Outside of our direct sales force, we incur significant expenses relating to commissions to our CanGaroo commercial partners and independent sales agents. Additionally, this expense category includes distribution costs as well as market research, trade show attendance, advertising and public relations and customer service expenses. We expect sales and marketing expenses to grow commensurate with sales increases, and to an even larger degree in the near-term due to a continued focus on growing our direct sales force and increasing marketing activities, particularly with respect to our CanGaroo and SimpliDerm product lines.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or G&amp;A, expenses consist of compensation, consulting, legal, human resources, information technology, accounting, insurance and general business expenses. We expect our G&amp;A expenses to increase as a result of operating as a public company, especially as a result of hiring additional personnel and incurring greater director and officer insurance premiums, greater investor and public relations costs, and additional costs associated with accounting, legal, tax-related and other services associated with maintaining compliance with exchange listing and SEC requirements.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or R&amp;D, expenses consist primarily of salaries and fringe benefits, laboratory supplies, clinical trials and outside service costs. Our product development efforts primarily relate to new offerings in support of the orthopedic/spinal repair market and activities associated with the development of a CanGaroo envelope with anti-infective properties. We also conduct clinical trials to validate the performance characteristics of our products and to capture patient data necessary to support our commercial efforts.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2019 and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4"/>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Change 2019 / 2020</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Net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 of Net</w:t>
            </w:r>
          </w:p>
        </w:tc>
        <w:tc>
          <w:tcPr>
            <w:tcW w:w="4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4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11,138</w:t>
            </w:r>
          </w:p>
        </w:tc>
        <w:tc>
          <w:tcPr>
            <w:tcW w:w="320" w:type="dxa"/>
            <w:vAlign w:val="bottom"/>
            <w:shd w:val="clear" w:color="auto" w:fill="CCEEFF"/>
          </w:tcPr>
          <w:p>
            <w:pPr>
              <w:spacing w:after="0"/>
              <w:rPr>
                <w:sz w:val="18"/>
                <w:szCs w:val="18"/>
                <w:color w:val="auto"/>
              </w:rPr>
            </w:pPr>
          </w:p>
        </w:tc>
        <w:tc>
          <w:tcPr>
            <w:tcW w:w="1340" w:type="dxa"/>
            <w:vAlign w:val="bottom"/>
            <w:tcBorders>
              <w:left w:val="single" w:sz="8" w:color="CCEEFF"/>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5,595</w:t>
            </w:r>
          </w:p>
        </w:tc>
        <w:tc>
          <w:tcPr>
            <w:tcW w:w="13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50.2%</w:t>
            </w:r>
          </w:p>
        </w:tc>
        <w:tc>
          <w:tcPr>
            <w:tcW w:w="200" w:type="dxa"/>
            <w:vAlign w:val="bottom"/>
          </w:tcPr>
          <w:p>
            <w:pPr>
              <w:spacing w:after="0"/>
              <w:rPr>
                <w:sz w:val="18"/>
                <w:szCs w:val="18"/>
                <w:color w:val="auto"/>
              </w:rPr>
            </w:pPr>
          </w:p>
        </w:tc>
        <w:tc>
          <w:tcPr>
            <w:tcW w:w="1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638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320" w:type="dxa"/>
            <w:vAlign w:val="bottom"/>
            <w:vMerge w:val="continue"/>
            <w:shd w:val="clear" w:color="auto" w:fill="CCEEFF"/>
          </w:tcPr>
          <w:p>
            <w:pPr>
              <w:spacing w:after="0"/>
              <w:rPr>
                <w:sz w:val="18"/>
                <w:szCs w:val="18"/>
                <w:color w:val="auto"/>
              </w:rPr>
            </w:pPr>
          </w:p>
        </w:tc>
        <w:tc>
          <w:tcPr>
            <w:tcW w:w="1340" w:type="dxa"/>
            <w:vAlign w:val="bottom"/>
            <w:tcBorders>
              <w:left w:val="single" w:sz="8" w:color="CCEEFF"/>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49.8%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4,174</w:t>
            </w:r>
          </w:p>
        </w:tc>
        <w:tc>
          <w:tcPr>
            <w:tcW w:w="8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4,435</w:t>
            </w:r>
          </w:p>
        </w:tc>
        <w:tc>
          <w:tcPr>
            <w:tcW w:w="13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tcPr>
          <w:p>
            <w:pPr>
              <w:spacing w:after="0"/>
              <w:rPr>
                <w:sz w:val="18"/>
                <w:szCs w:val="18"/>
                <w:color w:val="auto"/>
              </w:rPr>
            </w:pPr>
          </w:p>
        </w:tc>
        <w:tc>
          <w:tcPr>
            <w:tcW w:w="1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(261)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3,195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2,448</w:t>
            </w:r>
          </w:p>
        </w:tc>
        <w:tc>
          <w:tcPr>
            <w:tcW w:w="1340" w:type="dxa"/>
            <w:vAlign w:val="bottom"/>
            <w:tcBorders>
              <w:left w:val="single" w:sz="8" w:color="CCEEFF"/>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747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507</w:t>
            </w:r>
          </w:p>
        </w:tc>
        <w:tc>
          <w:tcPr>
            <w:tcW w:w="13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1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356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320" w:type="dxa"/>
            <w:vAlign w:val="bottom"/>
            <w:vMerge w:val="continue"/>
            <w:shd w:val="clear" w:color="auto" w:fill="CCEEFF"/>
          </w:tcPr>
          <w:p>
            <w:pPr>
              <w:spacing w:after="0"/>
              <w:rPr>
                <w:sz w:val="18"/>
                <w:szCs w:val="18"/>
                <w:color w:val="auto"/>
              </w:rPr>
            </w:pPr>
          </w:p>
        </w:tc>
        <w:tc>
          <w:tcPr>
            <w:tcW w:w="1340" w:type="dxa"/>
            <w:vAlign w:val="bottom"/>
            <w:tcBorders>
              <w:left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3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1,465</w:t>
            </w:r>
          </w:p>
        </w:tc>
        <w:tc>
          <w:tcPr>
            <w:tcW w:w="8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1,249</w:t>
            </w:r>
          </w:p>
        </w:tc>
        <w:tc>
          <w:tcPr>
            <w:tcW w:w="13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18"/>
                <w:szCs w:val="18"/>
                <w:color w:val="auto"/>
              </w:rPr>
            </w:pPr>
          </w:p>
        </w:tc>
        <w:tc>
          <w:tcPr>
            <w:tcW w:w="1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216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left w:val="single" w:sz="8" w:color="CCEEFF"/>
            </w:tcBorders>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2,567</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37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Loss before provision of income taxes</w:t>
            </w: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320" w:type="dxa"/>
            <w:vAlign w:val="bottom"/>
            <w:vMerge w:val="continue"/>
          </w:tcPr>
          <w:p>
            <w:pPr>
              <w:spacing w:after="0"/>
              <w:rPr>
                <w:sz w:val="18"/>
                <w:szCs w:val="18"/>
                <w:color w:val="auto"/>
              </w:rPr>
            </w:pPr>
          </w:p>
        </w:tc>
        <w:tc>
          <w:tcPr>
            <w:tcW w:w="1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(27.8)%</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320" w:type="dxa"/>
            <w:vAlign w:val="bottom"/>
            <w:vMerge w:val="continue"/>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w:t>
            </w:r>
          </w:p>
        </w:tc>
        <w:tc>
          <w:tcPr>
            <w:tcW w:w="1340" w:type="dxa"/>
            <w:vAlign w:val="bottom"/>
            <w:tcBorders>
              <w:left w:val="single" w:sz="8" w:color="CCEEFF"/>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(6,731)</w:t>
            </w:r>
          </w:p>
        </w:tc>
        <w:tc>
          <w:tcPr>
            <w:tcW w:w="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(57.2%)</w:t>
            </w:r>
          </w:p>
        </w:tc>
        <w:tc>
          <w:tcPr>
            <w:tcW w:w="1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(3,104)</w:t>
            </w:r>
          </w:p>
        </w:tc>
        <w:tc>
          <w:tcPr>
            <w:tcW w:w="320" w:type="dxa"/>
            <w:vAlign w:val="bottom"/>
            <w:vMerge w:val="continue"/>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(27.9)%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(3,627)</w:t>
            </w:r>
          </w:p>
        </w:tc>
        <w:tc>
          <w:tcPr>
            <w:tcW w:w="320" w:type="dxa"/>
            <w:vAlign w:val="bottom"/>
            <w:vMerge w:val="continue"/>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116.9%</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Convertible Preferred Stock</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3,510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left w:val="single" w:sz="8" w:color="CCEEFF"/>
            </w:tcBorders>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3,510</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(10,241</w:t>
            </w: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(87.0</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(3,104</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(7,137</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sales grew $0.6 million, or 5.7%, to $11.8 million in the three months ended September 30, 2020 compared to $11.1 million in the three months ended September 30, 2019. The increase in net sales was due to the significant growth of our Core Products net sales, which grew $2.5 million, partially offset by a decrease of $1.8 million in net sales of our Non-Core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information for our Core Products and Non-Core Products is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4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3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Change 2019 / 2020</w:t>
            </w:r>
          </w:p>
        </w:tc>
      </w:tr>
      <w:tr>
        <w:trPr>
          <w:trHeight w:val="187"/>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Net</w:t>
            </w:r>
          </w:p>
        </w:tc>
        <w:tc>
          <w:tcPr>
            <w:tcW w:w="4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 of Net</w:t>
            </w:r>
          </w:p>
        </w:tc>
        <w:tc>
          <w:tcPr>
            <w:tcW w:w="4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8"/>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20" w:type="dxa"/>
            <w:vAlign w:val="bottom"/>
          </w:tcPr>
          <w:p>
            <w:pPr>
              <w:spacing w:after="0"/>
              <w:rPr>
                <w:sz w:val="20"/>
                <w:szCs w:val="20"/>
                <w:color w:val="auto"/>
              </w:rPr>
            </w:pPr>
          </w:p>
        </w:tc>
        <w:tc>
          <w:tcPr>
            <w:tcW w:w="118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0" w:type="dxa"/>
            <w:vAlign w:val="bottom"/>
          </w:tcPr>
          <w:p>
            <w:pPr>
              <w:spacing w:after="0"/>
              <w:rPr>
                <w:sz w:val="20"/>
                <w:szCs w:val="20"/>
                <w:color w:val="auto"/>
              </w:rPr>
            </w:pPr>
          </w:p>
        </w:tc>
        <w:tc>
          <w:tcPr>
            <w:tcW w:w="11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4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00" w:type="dxa"/>
            <w:vAlign w:val="bottom"/>
          </w:tcPr>
          <w:p>
            <w:pPr>
              <w:spacing w:after="0"/>
              <w:rPr>
                <w:sz w:val="20"/>
                <w:szCs w:val="20"/>
                <w:color w:val="auto"/>
              </w:rPr>
            </w:pPr>
          </w:p>
        </w:tc>
        <w:tc>
          <w:tcPr>
            <w:tcW w:w="6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9"/>
        </w:trPr>
        <w:tc>
          <w:tcPr>
            <w:tcW w:w="3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Core Products</w:t>
            </w:r>
          </w:p>
        </w:tc>
        <w:tc>
          <w:tcPr>
            <w:tcW w:w="40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10,345</w:t>
            </w:r>
          </w:p>
        </w:tc>
        <w:tc>
          <w:tcPr>
            <w:tcW w:w="80" w:type="dxa"/>
            <w:vAlign w:val="bottom"/>
          </w:tcPr>
          <w:p>
            <w:pPr>
              <w:spacing w:after="0"/>
              <w:rPr>
                <w:sz w:val="18"/>
                <w:szCs w:val="18"/>
                <w:color w:val="auto"/>
              </w:rPr>
            </w:pPr>
          </w:p>
        </w:tc>
        <w:tc>
          <w:tcPr>
            <w:tcW w:w="12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7,878</w:t>
            </w:r>
          </w:p>
        </w:tc>
        <w:tc>
          <w:tcPr>
            <w:tcW w:w="60" w:type="dxa"/>
            <w:vAlign w:val="bottom"/>
          </w:tcPr>
          <w:p>
            <w:pPr>
              <w:spacing w:after="0"/>
              <w:rPr>
                <w:sz w:val="18"/>
                <w:szCs w:val="18"/>
                <w:color w:val="auto"/>
              </w:rPr>
            </w:pP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70.7%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2,467</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Non-Core Products</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1,429</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3,260</w:t>
            </w:r>
          </w:p>
        </w:tc>
        <w:tc>
          <w:tcPr>
            <w:tcW w:w="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(1,831)</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11,774</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11,138</w:t>
            </w:r>
          </w:p>
        </w:tc>
        <w:tc>
          <w:tcPr>
            <w:tcW w:w="3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636</w:t>
            </w:r>
          </w:p>
        </w:tc>
        <w:tc>
          <w:tcPr>
            <w:tcW w:w="3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3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generated by our Core Products grew $2.5 million, or 31.3%, to $10.3 million in the three months ended September 30, 2020 compared to $7.9 million in the three months ended September, 30 2019. The Core Products net sales growth can be largely attributed to the volume growth of our orthopedic/spinal repair products and SimpliDerm, the latter of which was launched in the second half of 2019. The growth in our orthopedic/spinal repair products was due to a broadening of our commercial relationships.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generated by our Non-Core Products decreased $1.8 million, or 56.2%, to $1.4 million in the three months ended September 30, 2020 compared to $3.3 million in the three months ended September 30, 2019. Despite initial shipments to three new customers during the three months ended September 30, 2020, net sales generated by our Non-Core Products decreased largely due to the reduction in the volume of products purchased by one significant contract customer following the expiration of its contract with us in the first half of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Cost of goods sold was $6.2 million and $5.6 million in the three months ended September 30, 2020 and 2019, respectively, and included, in each case, $0.8 million of intangible asset amortization expenses. Gross margin in the three months ended September 30, 2020 was 47.1%, a decline from 49.8% in the corresponding prior year period. Gross margin, excluding intangible asset amortization, in the three months ended September 30, 2020 was 54.3%, a decline from 57.4% in the corresponding prior year period. Gross margin, excluding intangible asset amortization, is a non-GAAP financial measure. See "Non-GAAP Financial Measures” for a discussion regarding our use of gross margin, excluding intangible asset amortization, including its limitations and a reconciliation to the most directly comparable GAAP financial measure. The decline in gross margin was due to an extended plant maintenance shutdown for two consecutive weeks during the third quarter of 2020. This shutdown caused idle capacity during such period resulting in plant costs being charged directly to cost of goods sold during this shutdown period rather than being a component of inventory. An extended shutdown occurred in the fourth quarter of 2019 and as such, did not impact our gross margin in the corresponding prior year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$0.3 million, or 5.9%, to $4.2 million in the three months ended September 30, 2020 compared to $4.4 million in the three months ended September 30, 2019. As a percentage of sales, sales and marketing expenses fell to 35.4% in the three months ended September 30, 2020 from 39.8% in the three months ended September 30, 2019. The slight decrease was primarily due to declines in salesperson travel costs due to hospital restrictions caused by the COVID-19 pandemic.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G&amp;A expenses increased $0.8 million, or 30.5 %, to $3.2 million in the year three months ended September 30, 2020 compared to $2.4 million in the three months ended September 30, 2019. As a percentage of net sales, G&amp;A expenses increased from 22.0% to 27.1% in the three months ended September 30, 2020 and 2019, respectively. The dollar increase was primarily due to a fee of $0.8 million paid to HighCape Partners Management, L.P. in September 2020. In connection with the CorMatrix Acquisition, we had agreed to pay HighCape Partners Management, L.P. a one-time advisory fee of $750,000 upon the first to occur of any sale transaction (as defined in our certificate of incorporation, as then in effect) and the closing of an initial public offering. In September 2020, our obligation in respect of this fee was extinguished in connection with the issuance of 375,000 shares of Convertible Preferred Stock which was recorded at its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R&amp;D expenses increased to $0.9 million being incurred in the three months ended September 30, 2020 compared to $0.5 million in the three months ended September 30, 2019. We continue to focus our R&amp;D efforts on the development of our pipeline products in the orthopedic/spinal repair and CanGaroo product groups with the growth in R&amp;D expenses in the three months ended September 30, 2020 largely attributable to the work performed on the development of our CanGaroo anti-infective product. With respect to the costs of the individual development projects, the majority of our costs are internal salaries and benefits as well as laboratory supplies. These costs represent shared resources amongst all projects.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increased to approximately $1.5 million in the three months ended September 30, 2020 compared to approximately $1.2 million in the three months ended September 30, 2019. The increase in interest expense in the three months ended September 30, 2020 was due to an increase in the average outstanding balance of our Revolving Credit Facility (as defined below) as well as the interest associated with the Silicon Valley Bank Promissory Note (as defined below) entered into by us in May 2020 under the Paycheck Protection Program of the CARES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 net was approximately $2.6 million in the three months ended September 30, 2020 and $0 in the three months ended September 30, 2019. The increase in the three months ended September 30, 2020 was primarily attributable to the loss on early extinguishment of debt of $2.3 million. See Note 4 to the consolidated financial statements for further discussion.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Accretion of Series A Preferred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Accretion of Series A Preferred Stock was $3.5 million in the three months ended September 30, 2020 and $0 in the three months ended September 30, 2019. The Accretion of Series A Preferred Stock relates to $3.5 million of deemed dividends related to the sale of the Convertible Preferred Stock in September 2020 below its fair value. See Note 7 to the condensed consolidated financial statements included elsewhere in this Quarterly Report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2020 and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4"/>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 2019 / 2020</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Net</w:t>
            </w:r>
          </w:p>
        </w:tc>
        <w:tc>
          <w:tcPr>
            <w:tcW w:w="4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 of Net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4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30,847</w:t>
            </w:r>
          </w:p>
        </w:tc>
        <w:tc>
          <w:tcPr>
            <w:tcW w:w="320" w:type="dxa"/>
            <w:vAlign w:val="bottom"/>
            <w:shd w:val="clear" w:color="auto" w:fill="CCEEFF"/>
          </w:tcPr>
          <w:p>
            <w:pPr>
              <w:spacing w:after="0"/>
              <w:rPr>
                <w:sz w:val="18"/>
                <w:szCs w:val="18"/>
                <w:color w:val="auto"/>
              </w:rPr>
            </w:pPr>
          </w:p>
        </w:tc>
        <w:tc>
          <w:tcPr>
            <w:tcW w:w="1220" w:type="dxa"/>
            <w:vAlign w:val="bottom"/>
            <w:tcBorders>
              <w:lef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15,972</w:t>
            </w: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(296)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394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8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w:t>
            </w:r>
          </w:p>
        </w:tc>
        <w:tc>
          <w:tcPr>
            <w:tcW w:w="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320" w:type="dxa"/>
            <w:vAlign w:val="bottom"/>
            <w:vMerge w:val="continue"/>
            <w:shd w:val="clear" w:color="auto" w:fill="CCEEFF"/>
          </w:tcPr>
          <w:p>
            <w:pPr>
              <w:spacing w:after="0"/>
              <w:rPr>
                <w:sz w:val="18"/>
                <w:szCs w:val="18"/>
                <w:color w:val="auto"/>
              </w:rPr>
            </w:pPr>
          </w:p>
        </w:tc>
        <w:tc>
          <w:tcPr>
            <w:tcW w:w="1220" w:type="dxa"/>
            <w:vAlign w:val="bottom"/>
            <w:tcBorders>
              <w:lef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3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9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12,471</w:t>
            </w:r>
          </w:p>
        </w:tc>
        <w:tc>
          <w:tcPr>
            <w:tcW w:w="80" w:type="dxa"/>
            <w:vAlign w:val="bottom"/>
          </w:tcPr>
          <w:p>
            <w:pPr>
              <w:spacing w:after="0"/>
              <w:rPr>
                <w:sz w:val="18"/>
                <w:szCs w:val="18"/>
                <w:color w:val="auto"/>
              </w:rPr>
            </w:pP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11,592</w:t>
            </w: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879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8,894</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6,741</w:t>
            </w:r>
          </w:p>
        </w:tc>
        <w:tc>
          <w:tcPr>
            <w:tcW w:w="1220" w:type="dxa"/>
            <w:vAlign w:val="bottom"/>
            <w:tcBorders>
              <w:lef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2,153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1,742</w:t>
            </w: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1,069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0"/>
        </w:trPr>
        <w:tc>
          <w:tcPr>
            <w:tcW w:w="394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8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(9,636)</w:t>
            </w:r>
          </w:p>
        </w:tc>
        <w:tc>
          <w:tcPr>
            <w:tcW w:w="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320" w:type="dxa"/>
            <w:vAlign w:val="bottom"/>
            <w:vMerge w:val="continue"/>
            <w:shd w:val="clear" w:color="auto" w:fill="CCEEFF"/>
          </w:tcPr>
          <w:p>
            <w:pPr>
              <w:spacing w:after="0"/>
              <w:rPr>
                <w:sz w:val="18"/>
                <w:szCs w:val="18"/>
                <w:color w:val="auto"/>
              </w:rPr>
            </w:pPr>
          </w:p>
        </w:tc>
        <w:tc>
          <w:tcPr>
            <w:tcW w:w="1220" w:type="dxa"/>
            <w:vAlign w:val="bottom"/>
            <w:tcBorders>
              <w:lef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3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9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4,248</w:t>
            </w:r>
          </w:p>
        </w:tc>
        <w:tc>
          <w:tcPr>
            <w:tcW w:w="80" w:type="dxa"/>
            <w:vAlign w:val="bottom"/>
          </w:tcPr>
          <w:p>
            <w:pPr>
              <w:spacing w:after="0"/>
              <w:rPr>
                <w:sz w:val="18"/>
                <w:szCs w:val="18"/>
                <w:color w:val="auto"/>
              </w:rPr>
            </w:pPr>
          </w:p>
        </w:tc>
        <w:tc>
          <w:tcPr>
            <w:tcW w:w="12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3,935</w:t>
            </w:r>
          </w:p>
        </w:tc>
        <w:tc>
          <w:tcPr>
            <w:tcW w:w="12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313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lef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2,567</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Loss before provision of income taxes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8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(16,451)</w:t>
            </w:r>
          </w:p>
        </w:tc>
        <w:tc>
          <w:tcPr>
            <w:tcW w:w="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320" w:type="dxa"/>
            <w:vAlign w:val="bottom"/>
            <w:vMerge w:val="continue"/>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320" w:type="dxa"/>
            <w:vAlign w:val="bottom"/>
            <w:vMerge w:val="continue"/>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21</w:t>
            </w:r>
          </w:p>
        </w:tc>
        <w:tc>
          <w:tcPr>
            <w:tcW w:w="1220" w:type="dxa"/>
            <w:vAlign w:val="bottom"/>
            <w:tcBorders>
              <w:lef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8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gridSpan w:val="2"/>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(16,469)</w:t>
            </w:r>
          </w:p>
        </w:tc>
        <w:tc>
          <w:tcPr>
            <w:tcW w:w="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(54.5)%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(9,156)</w:t>
            </w:r>
          </w:p>
        </w:tc>
        <w:tc>
          <w:tcPr>
            <w:tcW w:w="320" w:type="dxa"/>
            <w:vAlign w:val="bottom"/>
            <w:vMerge w:val="continue"/>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(29.7)%</w:t>
            </w:r>
          </w:p>
        </w:tc>
        <w:tc>
          <w:tcPr>
            <w:tcW w:w="120" w:type="dxa"/>
            <w:vAlign w:val="bottom"/>
            <w:vMerge w:val="continue"/>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(7,312)</w:t>
            </w:r>
          </w:p>
        </w:tc>
        <w:tc>
          <w:tcPr>
            <w:tcW w:w="320" w:type="dxa"/>
            <w:vAlign w:val="bottom"/>
            <w:vMerge w:val="continue"/>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79.9%</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Convertible Preferred Stock</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3,510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left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3,510</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9"/>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(19,979</w:t>
            </w: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(66.1</w:t>
            </w: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(9,156</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(10,822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933"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decreased $0.6 million, or 2.0%, to $30.2 million in the nine months ended September 30, 2020 compared to $30.8 million in the nine months ended September 30, 2019. The decrease in net sales was due to a decline of $5.0 million in net sales of our Non-Core Products, partially offset by $4.4 million of growth in net sales of our Core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information for our Core Products and Non-Core Products is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4"/>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 2019 / 2020</w:t>
            </w:r>
          </w:p>
        </w:tc>
        <w:tc>
          <w:tcPr>
            <w:tcW w:w="0" w:type="dxa"/>
            <w:vAlign w:val="bottom"/>
          </w:tcPr>
          <w:p>
            <w:pPr>
              <w:spacing w:after="0"/>
              <w:rPr>
                <w:sz w:val="1"/>
                <w:szCs w:val="1"/>
                <w:color w:val="auto"/>
              </w:rPr>
            </w:pPr>
          </w:p>
        </w:tc>
      </w:tr>
      <w:tr>
        <w:trPr>
          <w:trHeight w:val="210"/>
        </w:trPr>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Net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 of Net</w:t>
            </w:r>
          </w:p>
        </w:tc>
        <w:tc>
          <w:tcPr>
            <w:tcW w:w="4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20" w:type="dxa"/>
            <w:vAlign w:val="bottom"/>
          </w:tcPr>
          <w:p>
            <w:pPr>
              <w:spacing w:after="0"/>
              <w:rPr>
                <w:sz w:val="20"/>
                <w:szCs w:val="20"/>
                <w:color w:val="auto"/>
              </w:rPr>
            </w:pPr>
          </w:p>
        </w:tc>
        <w:tc>
          <w:tcPr>
            <w:tcW w:w="118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80" w:type="dxa"/>
            <w:vAlign w:val="bottom"/>
          </w:tcPr>
          <w:p>
            <w:pPr>
              <w:spacing w:after="0"/>
              <w:rPr>
                <w:sz w:val="20"/>
                <w:szCs w:val="20"/>
                <w:color w:val="auto"/>
              </w:rPr>
            </w:pPr>
          </w:p>
        </w:tc>
        <w:tc>
          <w:tcPr>
            <w:tcW w:w="7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Products:</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 Products</w:t>
            </w:r>
          </w:p>
        </w:tc>
        <w:tc>
          <w:tcPr>
            <w:tcW w:w="4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25,956</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85.9%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21,562</w:t>
            </w:r>
          </w:p>
        </w:tc>
        <w:tc>
          <w:tcPr>
            <w:tcW w:w="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69.9%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4,394</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Non-Core Products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4,260</w:t>
            </w:r>
          </w:p>
        </w:tc>
        <w:tc>
          <w:tcPr>
            <w:tcW w:w="8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9,285</w:t>
            </w:r>
          </w:p>
        </w:tc>
        <w:tc>
          <w:tcPr>
            <w:tcW w:w="40" w:type="dxa"/>
            <w:vAlign w:val="bottom"/>
          </w:tcPr>
          <w:p>
            <w:pPr>
              <w:spacing w:after="0"/>
              <w:rPr>
                <w:sz w:val="18"/>
                <w:szCs w:val="18"/>
                <w:color w:val="auto"/>
              </w:rPr>
            </w:pPr>
          </w:p>
        </w:tc>
        <w:tc>
          <w:tcPr>
            <w:tcW w:w="12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30.1%</w:t>
            </w:r>
          </w:p>
        </w:tc>
        <w:tc>
          <w:tcPr>
            <w:tcW w:w="180" w:type="dxa"/>
            <w:vAlign w:val="bottom"/>
          </w:tcPr>
          <w:p>
            <w:pPr>
              <w:spacing w:after="0"/>
              <w:rPr>
                <w:sz w:val="18"/>
                <w:szCs w:val="18"/>
                <w:color w:val="auto"/>
              </w:rPr>
            </w:pPr>
          </w:p>
        </w:tc>
        <w:tc>
          <w:tcPr>
            <w:tcW w:w="1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(5,025)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09"/>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30,216</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30,847</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42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generated by our Core Products grew $4.4 million, or 20.4%, to $26.0 million in the nine months ended September 30, 2020 compared to $21.6 million in the nine months ended September 30, 2019. The Core Products net sales growth can be largely attributed to the volume growth of our orthopedic/spinal repair products and SimpliDerm, the latter of which was launched in the second half of 2019. The growth in our orthopedic/spinal repair products was due to a broadening of our commercial relationships. This growth in net sales of our Core Products occurred despite the impact of the COVID-19 pandemic, which negatively affected our sales principally during the second quarter of 2020.</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generated by our Non-Core Products decreased $5.0 million, or 54.1%, to $4.3 million in the nine months ended September 30, 2020 from $9.3 million in the nine months ended September 30, 2019. This decrease was due to both the reduction in the volume of products purchased by one significant contract customer following the expiration of its contract with us in the first half of 2020, as well as the impact of the COVID-19 pandemic, which negatively affected our sales principally during the second quarter of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Cost of goods sold decreased $0.3 million, or 1.9%, to $15.7 million in the nine months ended September 30, 2020 compared to $16.0 million in the nine months ended September 30, 2019, and included, in each case, $2.5 million of intangible asset amortization expenses. Gross margin was 48.1%, in the nine months ended September 30, 2020 compared to 48.2% in the nine months ended September 30, 2019. Gross margin, excluding intangible asset amortization, was 56.6%, in the nine months ended September 30, 2020 compared to 56.5% in the nine months ended September 30, 2019. Cost of goods sold for the nine months ended September 30, 2020 included approximately $0.4 million of costs due to an extended plant maintenance shutdown for two consecutive weeks during the third quarter of 2020. This shutdown caused idle capacity during such period resulting in plant costs being charged directly to cost of goods sold during this shutdown period rather than being a component of inventory. An extended shutdown occurred in the fourth quarter of 2019 and as such, did not impact our gross margin in the corresponding prior year period. Cost of goods sold for the nine months ended September 30, 2019 included inventory write-downs, due to excessive or expiring product, totaling $0.5 million, caused largely by the launch of SimpliDerm which reduced demand for certain other dermis inventory.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and marketing expenses increased $0.9 million, or 7.6%, to $12.5 million in the nine months ended September 30, 2020 compared to $11.6 million in the nine months ended September 30, 2019. As a percentage of sales, sales and marketing expenses rose to 41.3% in the nine months ended September 30, 2020 from 37.6% in the nine months ended September 30, 2019. The increase was primarily due to a significant increase in the number of personnel in our direct sales force which enabled us to cover new territories, as well as additions to our marketing and hospital contracting functions. Collectively, these personnel additions increased expenses in the nine months ended September 30, 2020 by $1.4 million which was partially offset by declines in salesperson travel costs due to hospital restrictions caused by the COVID-19 pandemic.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G&amp;A expenses increased $2.2 million, or 31.9%, to $8.9 million in the nine months ended September 30, 2020 compared to $6.7 million in the nine months ended September 30, 2019. As a percentage of net sales, G&amp;A expenses rose to 29.4% in the nine months ended September 30, 2020 from 21.9% in the nine months ended September 30, 2019. The dollar increase was primarily due to senior leadership additions beginning during late 2019, including the hiring of our Chief Commercial Officer and Chief Medical Officer, to support and drive the growth of the business, which increased G&amp;A expenses by $1.4 million. Also contributing to the overall increase in the year-over-year period was a fee of $0.8 million paid to HighCape Partners Management, L.P. in September 2020, as discussed above under the heading “</w:t>
      </w:r>
      <w:r>
        <w:rPr>
          <w:rFonts w:ascii="Times New Roman" w:cs="Times New Roman" w:eastAsia="Times New Roman" w:hAnsi="Times New Roman"/>
          <w:sz w:val="18"/>
          <w:szCs w:val="18"/>
          <w:i w:val="1"/>
          <w:iCs w:val="1"/>
          <w:color w:val="auto"/>
        </w:rPr>
        <w:t>Comparison of the Three Months Ended September 30, 2019 and 2020 — General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Administrative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R&amp;D expenses increased $1.1 million, or 61.5%, to $2.8 million in the nine months ended September 30, 2020 compared to $1.7 million in the nine months ended September 30, 2019. We continue to focus our R&amp;D efforts on the development of our pipeline products in the orthopedic/spinal repair and CanGaroo product groups, with the growth in R&amp;D expenses in the nine months ended September 30, 2020 largely attributable to the work performed on the development of our CanGaroo anti-infective product. Additionally, during the nine months ended September 30, 2020, increased clinical trial activities also caused higher R&amp;D costs compared to the same prior year period. With respect to the costs of the individual development projects, the majority of our costs are internal salaries and benefits as well as laboratory supplies. These costs represent shared resources amongst all projects.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increased to approximately $4.2 million in the nine months ended September 30, 2020 compared to approximately $3.9 million in the nine months ended September 30, 2019. The increase in interest expense in the nine months ended September 30, 2020 was due to an increase in the average outstanding balance of our Revolving Credit Facility as well as the interest associated with the $3.0 million Silicon Valley Bank Promissory Note, entered into by us in May 2020 under the Paycheck Protection Program of the CARES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 net was approximately $2.6 million in the nine months ended September 30, 2020 and $0 in the nine months ended September 30, 2019. The increase in the nine months ended September 30, 2020 was primarily attributable to the loss on early extinguishment of debt of $2.3 million. See Note 3 to the consolidated financial statements for further discussion.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Accretion of Series A Preferred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Accretion of Series A Preferred Stock was $3.5 million in the nine months ended September 30, 2020 and $0 in the nine months ended September 30, 2019. The Accretion of Series A Preferred Stock relates to $3.5 million of deemed dividends related to the sale of the Convertible Preferred Stock in September 2020 below its fair value. See Note 7 to the condensed consolidated financial statements included elsewhere in this Quarterly Report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presents our gross margin, excluding intangible asset amortization, for the three and nine months ended September 30, 2020 and 2019. We calculate gross margin, excluding intangible asset amortization, as gross profit, excluding amortization expense relating to intangible assets we acquired in the CorMatrix Acquisition, divided by net sales. Gross margin, excluding intangible asset amortization, is a supplemental measure of our performance, is not defined by or presented in accordance with U.S. generally accepted accounting principles, or GAAP, has limitations as an analytical tool and should not be considered in isolation or as an alternative to our GAAP gross margin, gross profit or any other financial performance measure presented in accordance with GAAP. We present gross margin, excluding intangible asset amortization, because we believe that it provides meaningful supplemental information regarding our operating performance by removing the impact of amortization expense, which is not indicative of our overall operating performance. We believe this provides our management and investors with useful information to facilitate period-to-period comparisons of our operating results. Our management uses this metric in assessing the health of our business and our operating performance, and we believe investors’ understanding of our operating performance is similarly enhanced by our presentation of this metric.</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use gross margin, excluding intangible asset amortization, as described above, this metric has limitations as an analytical tool and should not be considered in isolation or as a substitute for financial information presented in accordance with GAAP. In addition, other companies, including companies in our industry, may use other measures to evaluate their performance, which could reduce the usefulness of this non-GAAP financial measure as a tool for comparison.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our gross margin, excluding intangible asset amortization, for the three and nine months ended September 30, 2020 and 2019 to the most directly comparable GAAP financial measure, which is our GAAP gross margin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31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0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50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bottom w:val="single" w:sz="8" w:color="CCEEFF"/>
            </w:tcBorders>
          </w:tcPr>
          <w:p>
            <w:pPr>
              <w:spacing w:after="0"/>
              <w:rPr>
                <w:sz w:val="18"/>
                <w:szCs w:val="18"/>
                <w:color w:val="auto"/>
              </w:rPr>
            </w:pP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11,138</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30,847</w:t>
            </w:r>
          </w:p>
        </w:tc>
        <w:tc>
          <w:tcPr>
            <w:tcW w:w="16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5,541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5,543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14,540</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14,875</w:t>
            </w: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849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849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2,548</w:t>
            </w:r>
          </w:p>
        </w:tc>
        <w:tc>
          <w:tcPr>
            <w:tcW w:w="4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2,548</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excluding intangible asset amortization</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6,390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6,392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17,088</w:t>
            </w:r>
          </w:p>
        </w:tc>
        <w:tc>
          <w:tcPr>
            <w:tcW w:w="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17,423</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47.1%</w:t>
            </w:r>
          </w:p>
        </w:tc>
        <w:tc>
          <w:tcPr>
            <w:tcW w:w="16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49.8%</w:t>
            </w:r>
          </w:p>
        </w:tc>
        <w:tc>
          <w:tcPr>
            <w:tcW w:w="16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48.1%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 excluding intangible asset amortization</w:t>
            </w:r>
          </w:p>
        </w:tc>
        <w:tc>
          <w:tcPr>
            <w:tcW w:w="20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54.3%</w:t>
            </w:r>
          </w:p>
        </w:tc>
        <w:tc>
          <w:tcPr>
            <w:tcW w:w="16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57.4%</w:t>
            </w:r>
          </w:p>
        </w:tc>
        <w:tc>
          <w:tcPr>
            <w:tcW w:w="16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56.6%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we have experienced seasonality in our first and fourth quarters, and we expect this trend to continue. We have experienced and may in the future experience higher sales in the fourth quarter as a result of hospitals in the United States increasing their purchases of our products to coincide with the end of their budget cycles. Satisfaction of patient deductibles throughout the course of the year also results in increased sales later in the year, once patients have paid their annual insurance deductibles in full, which reduces their out-of-pocket costs. Conversely, our first quarter generally has lower sales than the preceding fourth quarter as patient deductibles are re-established with the new year, which increases their out-of-pocket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2020, we had cash of approximately $1.6 million and availability under our Revolving Credit Facility of $2.1 million. Since inception, we have financed our operations primarily through private placements of our convertible preferred stock, amounts borrowed under our credit facilities and sales of our products. Our historical cash outflows have primarily been associated with acquisition and integration, manufacturing costs, general and marketing, research and development, clinical activity and investing in our commercial infrastructure through our direct sales force and our commercial partners in order to expand our presence and to promote awareness and adoption of our products. As of September 30, 2020, our accumulated deficit was $74.9 million.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13, 2020, in connection with our IPO, we issued and sold 2,941,176 shares of common stock, consisting of 2,205,882 shares of Class A common stock and 735,294 shares of Class B common stock, at a price to the public of $17.00 per share, resulting in net proceeds to us of approximately $43.0 million, after deducting the underwriting discount of approximately $3.5 million and offering expenses of approximately $3.5 million.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our losses to continue for the foreseeable future and these losses will continue to have an adverse effect on our financial position. Because of the numerous risks and uncertainties associated with our commercialization and development efforts, we are unable to predict when we will become profitable, and we may never become profitable. Our inability to achieve and then maintain profitability would negatively affect our business, financial condition, results of operations and cash flows. As discussed below under “— Funding Requirements,” we may need additional funding to support our continuing operations and pursue our growth strategy.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net proceeds from our initial public offering consummated on October 13, 2020 (the “IPO”), together with our existing cash and our availability under our Revolving Credit Facility, will be sufficient to fund our operating expenses and capital expenditure requirements through 2022. We have based this estimate on assumptions that may prove to be wrong, and we could exhaust our available capital resources sooner than we expect.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2019 and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32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5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2020</w:t>
            </w: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2040" w:type="dxa"/>
            <w:vAlign w:val="bottom"/>
            <w:gridSpan w:val="4"/>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180" w:type="dxa"/>
            <w:vAlign w:val="bottom"/>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(8,258)</w:t>
            </w:r>
          </w:p>
        </w:tc>
        <w:tc>
          <w:tcPr>
            <w:tcW w:w="1280" w:type="dxa"/>
            <w:vAlign w:val="bottom"/>
            <w:gridSpan w:val="2"/>
            <w:shd w:val="clear" w:color="auto" w:fill="CCEEFF"/>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18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(525)</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7,837</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w:t>
            </w:r>
          </w:p>
        </w:tc>
        <w:tc>
          <w:tcPr>
            <w:tcW w:w="1180" w:type="dxa"/>
            <w:vAlign w:val="bottom"/>
            <w:tcBorders>
              <w:top w:val="single" w:sz="8" w:color="auto"/>
            </w:tcBorders>
          </w:tcPr>
          <w:p>
            <w:pPr>
              <w:jc w:val="right"/>
              <w:ind w:right="10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(946</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Pr>
          <w:p>
            <w:pPr>
              <w:spacing w:after="0"/>
              <w:rPr>
                <w:sz w:val="18"/>
                <w:szCs w:val="18"/>
                <w:color w:val="auto"/>
              </w:rPr>
            </w:pPr>
          </w:p>
        </w:tc>
        <w:tc>
          <w:tcPr>
            <w:tcW w:w="1260" w:type="dxa"/>
            <w:vAlign w:val="bottom"/>
            <w:tcBorders>
              <w:top w:val="single" w:sz="8" w:color="auto"/>
            </w:tcBorders>
          </w:tcPr>
          <w:p>
            <w:pPr>
              <w:jc w:val="right"/>
              <w:ind w:right="10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(1,834</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during the nine months ended September 30, 2020 totaled $8.3 million, primarily driven by a $16.5 million net loss reduced by non-cash related items, including $2.9 million in depreciation on fixed assets and amortization of intangible assets, $2.0 million in interest expense recorded as additional revenue interest obligation, $0.8 million of operating expenses satisfied through a preferred stock issuance and a $2.3 million loss on early extinguishment of debt. Working capital reductions of $0.4 million also contributed to the net cash used for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nine months ended September, 2019 totaled $4.7 million primarily driven by a $9.2 million net loss reduced by non-cash related items, including $2.9 million in depreciation on fixed assets and amortization of intangible assets as well as $2.1 million in interest expense recorded as additional revenue interest obligation. Working capital reductions of $0.8 million also contributed to the net cash used for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2020 and 2019 totaled approximately $0.5 million and $0.4 million, respectively, and were, in each case, related to the purchase of property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in the nine months ended September 30, 2020 totaled $7.8 million, which includes $3.0 million of proceeds from a Paycheck Protection Program loan under the CARES Act, net borrowings from the Revolving Credit Facility of approximately $1.6 million, approximately $2.0 million in proceeds from the issuance of the 2020 Bridge Notes, and proceeds from Convertible Preferred Stock Issuance of approximately $3.4 million. These increases from financing activities were offset by approximately $1.9 million in payments on the revenue interest obligation.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 the nine months ended September 30, 2019 totaled $3.2 million, which was generated primarily from the $3.9 million of net borrowings from the Revolving Credit Facility offset by approximately $1.4 million in payments on revenue interest obligation.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15, 2019, Aziyo and Aziyo Med, LLC, which we refer to collectively as the Borrowers, entered into an amended and restated term loan credit agreement (the “Term Loan Credit Agreement”), with Midcap Financial Trust, as agent and lender, and the other lenders party thereto, which provided for the conversion of our existing term loans into borrowing under the Term Loan Credit Agreement (consisting of a $8.5 million tranche (Term Loan Tranche 1), a $5.0 million tranche (Term Loan Tranche 2) and a $3.0 million tranche (Term Loan Tranche 3)), and established a new $3.5 million tranche (Term Loan Tranche 4) and a new $5.0 million tranche (Term Loan Tranche 5). Commitments in respect of Term Loan Tranche 5 terminated without being borrowed on June 30, 2020. We refer to Term Loan Tranche 1, Term Loan Tranche 2, Term Loan Tranche 3 and Term Loan Tranche 4 collectively as the Term Loan Facility.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July 15, 2019, the Borrowers also entered into an amended and restated revolving credit agreement (the “Revolving Credit Agreement”), with Midcap Funding IV Trust, as agent and lender, and the other lenders party thereto, which provided for an $8.0 million asset-based revolving credit facility (the “Revolving Credit Facility”).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2020, we had $19.7 million of indebtedness outstanding under our Term Loan Facility (net of $0.3 million of unamortized discount and deferred financing costs) and $5.9 million outstanding under our Revolving Credit Facility (with $2.1 million of additional borrowings available thereunder).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Rates and Fees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Term Loan Facility accrue interest at a rate per year equal to the LIBOR Rate (as defined below) plus a margin of 7.25%. Borrowings under the Revolving Credit Facility bear interest at the per annum rate equal to the LIBOR Rate plus a margin of 4.95%. The LIBOR Rate is defined as the greater of 2.25% and the applicable London Interbank Offered Rate for U.S. dollar deposits divided by 1.00 minus the maximum effective reserve percentage for Eurocurrency funding.</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Revolving Credit Facility, we can borrow up to an amount (the “Borrowing Base”), equal to (1) 85.0% of the aggregate net amount at such time of the Eligible Accounts (as defined in the Revolving Credit Agreement), plus (2) 50% of the value of the Eligible Inventory (as defined in the Revolving Credit Agreement), valued at the lower of first-in-first-out cost or market cost, and after factoring in all rebates, discounts and other incentives or rewards associated with the purchase of the applicable Eligible Inventory (provided that the Borrowing Base will be automatically adjusted down, if necessary, such that the aggregate availability from Eligible Inventory shall never exceed the lesser of (x) an amount equal to 40.0% of the Borrowing Base and (y) $2,000,000). The amount available for borrowing under the Revolving Credit Facility may also be reduced by certain reserve amounts that may be established by the administrative agent from time to time</w:t>
      </w:r>
      <w:r>
        <w:rPr>
          <w:rFonts w:ascii="Times New Roman" w:cs="Times New Roman" w:eastAsia="Times New Roman" w:hAnsi="Times New Roman"/>
          <w:sz w:val="18"/>
          <w:szCs w:val="18"/>
          <w:i w:val="1"/>
          <w:iCs w:val="1"/>
          <w:color w:val="auto"/>
        </w:rPr>
        <w: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paying interest on the principal amounts outstanding under the Revolving Credit Facility, we are required to pay an unused line fee to the lenders under the Revolving Credit Facility in respect of the unutilized commitments thereunder equal to 0.50% multiplied by the lesser of (1) the unutilized commitments and (2) $8,000,000 minus 40% of the Borrowing Base.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Mandatory Prepayments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Credit Agreement requires the Borrowers to prepay amounts outstanding under the Term Loan Facility, subject to certain exceptions, with:</w:t>
      </w:r>
    </w:p>
    <w:p>
      <w:pPr>
        <w:spacing w:after="0" w:line="27" w:lineRule="exact"/>
        <w:rPr>
          <w:sz w:val="20"/>
          <w:szCs w:val="20"/>
          <w:color w:val="auto"/>
        </w:rPr>
      </w:pPr>
    </w:p>
    <w:p>
      <w:pPr>
        <w:jc w:val="both"/>
        <w:ind w:firstLine="8"/>
        <w:spacing w:after="0" w:line="253" w:lineRule="auto"/>
        <w:tabs>
          <w:tab w:leader="none" w:pos="2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net casualty proceeds in excess of $250,000 with respect to assets upon which the agent maintains a lien and (2) 100% of the net cash proceeds of non-ordinary course asset sales or sales pertaining to collateral upon which the Borrowing Base is calculated. In addition, the Borrowers are required to prepay all outstanding obligations under the Term Loan Facility upon the termination of all commitments under the Revolving Credit Facility and the repayment of the outstanding borrowings thereunder.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Revolving Credit Agreement requires the Borrowers to prepay amounts outstanding under the Revolving Credit Facility (or provide cash collateral up to the amount of any outstanding letter of credit obligations) to the extent outstanding borrowings under the Revolving Credit Facility exceed the lesser of (1) $8,000,000 and (2) the Borrowing Base.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Optional Prepayment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Borrowers may prepay the Term Loan Facility in whole but not in part at any time with at least 10 business days’ prior written notice, provided, however, that such prepayment shall be accompanied by a portion of the Exit Fee (as defined below) equal to the amount prepaid divided by the then-outstanding principal amount of borrowings outstanding under the Term Loan Facility, and a prepayment fee equal to the amount prepaid multiplied by, in the case of Term Loan Tranche 1, Term Loan Tranche 2 or Term Loan Tranche 3, 3.0% until July 15, 2021 and 2.0% thereafter, and, in the case of Term Loan Tranche 4, 4.0% until November 21, 2020, 3.0% until November 21, 2021 and 2.0% thereafter. The “Exit Fee” is defined as an amount equal to 6.50% multiplied by the aggregate principal amount of all borrowings advanced to the Borrowers under the Term Loan Facility.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Borrowers may prepay the Revolving Credit Facility in whole or in part at any time, provided, however, that any such partial prepayment shall be in an amount equal to $100,000 or a higher integral multiple of $25,000.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Amortization and Final Maturity</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Borrowers are required to make interest-only payments prior to February 1, 2021, the Initial Amortization Start Date. Commencing on the Initial Amortization Start Date, and continuing on the first day of each calendar month thereafter, in addition to interest payments, the Borrowers must repay an amount equal to the total principal amount of borrowings under the Term Loan Facility divided by 42, for a 42-month straight-line amortization of equal monthly principal payments; provided, however, that if certain conditions are satisfied prior to December 1, 2020 (including our completion of a qualified initial public offering and no continuing default or event of default), the Initial Amortization Start Date may, upon our request, be extended to August 1, 2021, in which case the principal payments to be made in respect of borrowings under the Term Loan Facility shall be in an amount equal to the total principal amount of borrowings under the Term Loan Facility divided by 36, for a 36-month straight-line amortization of equal monthly principal payments. The remaining unpaid balance on the Term Loan Facility, together with all accrued and unpaid interest thereon and any remaining unpaid amount of the Exit Fee, is due and payable on July 15, 2024.</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borrowings under the Revolving Credit Facility do not amortize and are due and payable on July 15,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obligations under the Term Loan Facility and the Revolving Credit Facility are, and any future guarantees of those obligations will be, secured by, among other things, and in each case subject to certain exceptions, a first priority lien on and security interest in, upon, and to all of each Borrower’s assets, including all goods, equipment, inventory, contract rights or rights to payment of money, leases, license agreements, franchise agreements, general intangibles, commercial tort claims, documents, instruments (including any promissory notes), chattel paper (whether tangible or electronic), cash, deposit accounts, securities accounts, fixtures, letter of credit rights (whether or not the letter of credit is evidenced by a writing), securities, and all other investment property, supporting obligations, and financial assets, whether now owned or hereafter acquired, wherever located.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 and Other Matters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Credit Agreement and the Revolving Credit Agreement each contain a number of covenants that, among other things and subject to certain exceptions, restrict the ability of the Borrowers to:</w:t>
      </w:r>
    </w:p>
    <w:p>
      <w:pPr>
        <w:spacing w:after="0" w:line="8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certain liens;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on equity interests;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their subsidiaries’ ability to pay dividends;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repurchase or refinance subordinated indebtedness;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sell or otherwise dispose of their assets;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advances, guarantees and acquisitions;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their governing documents;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certain material agreements;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 conducted by them and their subsidiaries;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 and leaseback transactions.</w:t>
      </w:r>
    </w:p>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the Term Loan Credit Agreement and the Revolving Credit Agreement contain a financial covenant, which is tested on a monthly basis, and requires us to achieve a specified Minimum Net Product Revenue (as defined in the applicable credit agreement) for the preceding 12-month period.</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Term Loan Credit Agreement and the Revolving Credit Agreement each contains events of default, including, most significantly, a failure to timely pay interest or principal, insolvency, or an action by the FDA or such other material adverse event impacting the operations of Aziyo.</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Loan Credit Agreement and the Revolving Credit Agreement also contain certain customary representations and warranties and affirmative covenants, and certain reporting obligations. In addition, the lenders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PPP Loan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2020, we entered into a promissory note with Silicon Valley Bank, or SVB, under the Paycheck Protection Program of the CARES Act pursuant to which SVB agreed to make a loan to us in the amount of approximately $3.0 million. The PPP Loan matures in May 2022, bears interest at a rate of 1.0% per annum and requires no payments during the first six months from the date of the loan. The PPP Loan is unsecured and guaranteed by the Small Business Administration, or the SBA.</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31" w:name="page32"/>
    <w:bookmarkEnd w:id="31"/>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PPP Loan, the principal amount of the loan may be forgiven to the extent it is used for qualifying expenses as described in the CARES Act and we otherwise request forgiveness in accordance with the terms of the PPP Loan and the requirements of the SBA. The agreement governing the PPP Loan also provides that if we knowingly use the proceeds of such loan for unauthorized purposes, we may be subject to liability, including charges of fraud. We will be required to repay any principal amount of the PPP Loan that is not forgiven, together with accrued and unpaid interest, in equal monthly installments prior to the maturity date of the loan. In addition, we are permitted to prepay the PPP Loan at any time without penalty or premium. SVB will be permitted to accelerate all outstanding borrowings and other obligations and exercise other specified remedies upon the occurrence of certain events of default, which include, among other things, payment defaults, breaches of representations and warranties, covenant defaults, certain cross-defaults and cross-accelerations to other indebtedness, certain events of bankruptcy and insolvency, certain judgments and changes to our ownership or business structure.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Bridge Notes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2020, we entered into a bridge note purchase agreement pursuant to which we issued approximately $2.0 million in aggregate principal amount of convertible promissory notes (the “2020 Bridge Notes”), to HighCape Partners QP, HighCape Partners and Deerfield. The 2020 Bridge Notes had a maturity date of April 1, 2025 and accrued interest at a rate of 5.0% per year. The aggregate principal amount of, and accrued interest on, the 2020 Bridge Notes automatically converted into an aggregate of 2,039,427 shares of our Series A convertible preferred stock upon the closing of our Series A convertible preferred stock financing in September 2020.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incur significant expenses and operating losses for the foreseeable future as we grow our sales organization and expand our product development and clinical and research activities. In addition, we expect to incur additional costs and expenses associated with operating as a public company.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on our current and planned business operations, we believe that the net proceeds from the IPO, together with our existing cash and our availability under our Revolving Credit Facility, will be sufficient to fund our operating expenses and capital expenditure requirements through 2022. We have based this estimate on assumptions that may prove to be wrong, and we could exhaust our available capital resources sooner than we expect. If our available cash balances and cash flow from operations, if any, are insufficient to satisfy our liquidity requirements, we may seek to raise additional capital through equity offerings, debt financings, collaborations or licensing arrangements. We may also consider raising additional capital in the future to expand our business, pursue strategic investments or take advantage of financing opportunities. Our present and future funding requirements will depend on many factors, including, among other things:</w:t>
      </w:r>
    </w:p>
    <w:p>
      <w:pPr>
        <w:spacing w:after="0" w:line="18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patient, physician and market acceptance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cost of our current and future pre-clinical studies and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research and development activities and the cost and timing of commercializing new products or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expanding our sales and marketing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and prosecuting patent applications and maintaining, defending and enforcing our patent or other intellectual property rights;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 litigation or otherwise, any claims that we infringe, misappropriate or otherwise violate third-party patents or other intellectual property rights;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additional regulatory approvals;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 recall that may occur;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manufacturing and selling our products;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products, technologies and businesses, although we currently have no commitments or agreements relating to any of these types of transactions;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general, legal and administrative expenses;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on any of the above of the current COVID-19 pandemic or any other pandemic, epidemic or outbreak of infectious disease.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operating plans may change as a result of any number of factors, including those set forth above and other factors currently unknown to us, and we may need additional funds sooner than anticipated.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stockholder. Debt financing and preferred equity financing, if available, may involve agreements that include restrictive covenants that limit our ability to take specific actions, such as incurring additional debt, making capital expenditures, creating liens, redeeming shares of our common stock and/or declaring dividends. If we raise funds through collaborations, licensing agreements or other strategic alliances,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the development or commercialization of our products, license to third parties the rights to commercialize products or technologies that we would otherwise seek to commercialize and reduce marketing, customer support or other resources devoted to our products or cease operations. See Part II, Item 1A. “Risk Factors — Risks Related to our Business — Our future capital needs are uncertain and we may need to raise funds in the future, and such funds may not be available on acceptable terms or at 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2020, we did not have any off-balance sheet arrangements, as defined under SEC Regulation S-K Item 303(a)(4)(ii).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updated in the Prospectus, there have been no material changes to our contractual obligations as of December 13, 2019, as described under the section of the Prospectus entitled “Management’s Discussion and Analysis of Financial Condition and Results of Operations — Contractual Obligations.”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including risks relating to changes in interest rates, foreign currency and inflation.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provides additional information regarding these risks.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exposure to market risk relates to changes in interest rates. Borrowings under our Term Loan Facility and Revolving Credit Facility bear interest at variable rates, subject to an interest rate floor. Interest rate risk is highly sensitive due to many factors, including U.S. monetary and tax policies, U.S. and international economic factors and other factors beyond our control. A hypothetical 10% relative change in interest rates on our variable rate indebtedness outstanding at September 30, 2020 would not have had a material effect on our financial statements. We do not currently engage in hedging transactions to manage our exposure to interest rate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2020, our cash and cash equivalents were maintained with one financial institution in the United States. While our deposit accounts are insured up to the legal limit, the balances we maintain may, at times, exceed this insured limit. We believe this financial institution has sufficient assets and liquidity to conduct its operations in the ordinary course of business with little or no credit risk to us.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accounts receivable relate to sales to customers. To minimize credit risk, ongoing credit evaluations of all customers’ financial condition are performed. Two customers represented 10% or more of our accounts receivable as of September 30, 2020.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primarily conducted in U.S. dollars. Any transactions that may be conducted in foreign currencies are not expected to have a material effect on our financial condition, results of operations or cash flows. As we grow our operations, our exposure to foreign currency risk could become more significant.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Inflationary factors, such as increases in our cost of goods sold or other operating expenses, may adversely affect our operating results. While it is difficult to accurately measure the impact of inflation due to the imprecise nature of the estimates required, we do not believe inflation had a material effect on our financial condition or results of operations during the nine months ended September 30, 2020 and 2019. We cannot assure you, however, that we will be able to increase the selling prices of our products or reduce our operating expenses in an amount sufficient to offset the effects future inflationary pressures may have on our gross margin. Accordingly, we cannot assure you that our financial condition and results of operations will not be materially impacted by inflation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107 of the JOBS Act permits us, as an “emerging growth company,” to take advantage of an extended transition period for adopting new or revised accounting standards until those standards would otherwise apply to private companies. We have elected to avail ourselves of this exemption and, as a result, for so long as we remain an emerging growth company, unless we subsequently choose to affirmatively and irrevocably opt out of the extended transition period, our financial statements may not be comparable to the financial statements of issuers who are required to comply with the effective dates for new or revised accounting standards that are applicable to public companies. Section 107 of the JOBS Act provides that we can elect to opt out of the extended transition period at any time, which election is irrevocable.</w:t>
      </w:r>
    </w:p>
    <w:p>
      <w:pPr>
        <w:spacing w:after="0" w:line="18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will remain an emerging growth company until the earliest of: (i) the last day of the first fiscal year in which our annual gross revenues are $1.07 billion or more; (ii) the last day of 2025; (iii) the date that we become a “large accelerated filer” as defined in Rule 12b-2 under the Exchange Act, which would occur if the market value of our common equity held by non-affiliates is $700 million or more as of the last business day of our most recently completed second fiscal quarter; or (iv) the date on which we have issued more than $1.0 billion in non-convertible debt securities during the previous three years.</w:t>
      </w:r>
    </w:p>
    <w:p>
      <w:pPr>
        <w:spacing w:after="0" w:line="16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has evaluated, with the participation of the chief executive officer and the chief financial officer, the effectiveness of our disclosure controls and procedures (as defined in Rule 13a-15(e) and 15d-15(e) under the Exchange Act) as of the end of the period covered by this Quarterly Report. Based on this evaluation, management concluded that the Company’s disclosure controls and procedures were effective as of September 30,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September 30, 2020 that have materially affected, or are reasonably likely to materially affect, our internal control over financial reporting.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claims and proceedings arising in the course of our business. The outcome of any such claims or proceedings, regardless of the merits, is inherently uncertain. We are not currently party to any material legal proceedings, and we are not aware of any pending or threatened legal proceeding against us that we believe could have a material adverse effect on our business, operating results, cash flows or financial condition.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and the other information in this Quarterly Report, including our unaudited condensed consolidated financial statements and the related notes, as well as our other public filings with the SEC, before making an investment in our common stock. Our business, financial condition, results of operations and prospects could be materially and adversely affected if any of these risks occurs, and as a result, the market price of our common stock could decline and you could lose all or part of your investment. This Quarterly Report also contains forward-looking statements that involve risks and uncertainties. See “Forward-Looking Statements.” Our actual results could differ materially and adversely from those anticipated in these forward-looking statements as a result of certain factors, including those set forth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growth depends on our ability to enhance our products, expand our product indications and develop, acquire and commercialize additional product offerings.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industry is highly competitive and subject to rapid change and technological advancements. Competition intensifies as technical advances in each field are made and become more widely known. We can give no assurance that others will not develop products, services and processes with significant advantages over the products, services and processes that we offer or are seeking to develop. It is, therefore, important to our business that we continue to enhance our existing product offerings, expand our product indications and develop or otherwise introduce and successfully commercialize new products. Developing, acquiring and commercializing products is expensive and time-consuming and could divert management’s attention away from our core business. Even if we are successful in developing additional products, the success of any new product offering or enhancements to any of our existing products will depend on several factors, including our ability to:</w:t>
      </w:r>
    </w:p>
    <w:p>
      <w:pPr>
        <w:spacing w:after="0" w:line="18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and anticipate physician and patient needs;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products and product enhancements in a timely manner;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distinguish our products from those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 effective and dedicated sales and marketing team;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successful agreements with commercial partners, independent sales agents and other third parties where it is beneficial for us to do so;</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protect our intellectual property, avoid infringing, misappropriating or otherwise violating the intellectual property rights of third parties and obtain and maintain necessary intellectual property licenses from third parties;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if required, the safety and efficacy of new products with data from pre-clinical studies and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clearances or approvals for new products, product enhancements and expanded indications;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full compliance with FDA, European Union Medical Devices regulations and other regulatory requirements applicable to new devices or products or modifications of existing devices or products;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training to potential users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adequate coverage and reimbursement for our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compete effectively against products and enhancements developed by our competitors.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not successful in expanding our indications and developing, acquiring and commercializing new products and product enhancements, our ability to increase our net sales may be impaired, which could have a material adverse effect on our business, financial condition and results of operations. In addition, our research and development efforts may require a substantial investment of time and resources before we are adequately able to determine the commercial viability of a new product, technology or other innovation.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Even if we are able to successfully develop and commercialize new product offerings or enhancements, they may be quickly rendered obsolete by changing customer preferences or the introduction by our competitors of products embodying new technologies or features and/or otherwise not produce sales in excess of the costs of development, any of which could also materially and adversely affect our business, financial condition and results of operations. Furthermore, to the extent we seek to enhance our products and broaden our product portfolio through acquisitions or other commercial transactions, we will be subject to additional risks. See “— </w:t>
      </w:r>
      <w:r>
        <w:rPr>
          <w:rFonts w:ascii="Times New Roman" w:cs="Times New Roman" w:eastAsia="Times New Roman" w:hAnsi="Times New Roman"/>
          <w:sz w:val="18"/>
          <w:szCs w:val="18"/>
          <w:i w:val="1"/>
          <w:iCs w:val="1"/>
          <w:color w:val="auto"/>
        </w:rPr>
        <w:t>We regularly evaluate opportunities to make acquisitions of, investments in, and licenses or other commercial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 involving, other companies or technologies, and to enter into other strategic transactions. These transactions entail significant risks.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A substantial portion of our net sales is generated through our commercial partners and independent sales agents, which subjects us to various risks.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currently rely on the efforts of our commercial partners and independent sales agents to generate a substantial portion of our net sales, and we expect to continue to rely on these third parties to generate a substantial portion of our net sales in the future while we work to grow our direct sales force. As a result, the impairment or termination of these relationships for any reason, or the failure of these parties to diligently sell our products and comply with applicable laws and regulations, could materially and adversely affect our ability to generate revenue and profits. Because our commercial partners and independent sales agents control the relationships with our end customers, if our relationship with any commercial partner or independent sales agent ends, we will likely also lose our relationship with their customers. Furthermore, our success is partially dependent on the willingness and ability of the sales representatives and other employees of our commercial partners and independent sales agents to diligently sell our products. However, we cannot guarantee that they will be successful in marketing our products. In addition, because our commercial partners and independent sales agents do not sell our products exclusively, they may focus their sales efforts and resources on other products that produce better margins or greater commissions for them or are incorporated into a broader strategic relationship with a partner. Because we do not control the sales representatives and other employees of our commercial partners, we cannot guarantee that our sales processes, regulatory compliance and other priorities will be consistently communicated and executed. In addition, we do not have staff in many of the areas covered by our commercial partners and independent sales agents, which makes it particularly difficult for us to monitor their performance. While we may take steps to mitigate the risks associated with noncompliance by our commercial partners and independent sales agents, there remains a risk that they will not comply with regulatory requirements or our requirements and policies. Actions by the sales representatives and other employees of our commercial partners and independent sales agents that are beyond our control could result in flat or declining sales in that territory, harm to the reputation of our company or our products or legal liability, any of which could have a material adverse effect on our business, financial condition and results of operations. In addition to the risk of losing customers, the operation of local laws and our agreements with our commercial partners and independent sales agents would make it difficult for us to replace a commercial partner or independent sales agent we feel is underperforming.</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increase our sales, particularly with respect to our Core Products, we intend to develop relationships and arrangements with additional commercial partners and/or independent sales agents, which we may not be able to do on commercially reasonable terms or at all. If we are unable to establish new commercial partner and independent sales agent relationships and maintain our relationships with our existing commercial partners and independent sales agents, in each case, on commercially reasonable terms, we will be unable to increase sales of our products and our business, financial condition and results of operations could be materially and adversely affected.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certain of our commercial partners may, from time to time, account for a significant portion of our net sales and/or accounts receivable. Sales to Surgalign Holdings, one of our commercial partners, accounted for 11% of our net sales during the nine months ended September 30, 2020 and represented 10% of our accounts receivable as of September 30, 2020. Sales to Medtronic, also one of our commercial partners, accounted for 16% of our net sales during the nine months ended September 30, 2020 and represented 29% of our accounts receivable as of September 30, 2020. The loss of one or more significant commercial partners, or a material reduction in their purchases of our products, would adversely affect our business, financial condition and results of operations. We are also subject to the risk that any such commercial partner will experience financial difficulties that prevent them from making payments to us on a timely basis or at all.</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revenue and profitability could be materially and adversely affected if we fail to maintain our relationships with our existing contract manufacturing customers and enter into agreements with new contract manufacturing customers, or if existing contract manufacturing customers reduce purchases of our products. Our relationships with these customers also subject us to certain risks.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contract manufacturing operations are an important component of our business, enabling us to utilize as much as possible of the human biological material from which we produce our core orthopedic/spinal repair and soft tissue reconstruction products, leverage our existing overhead and improve our cash flow. In addition, we have historically generated a significant portion of our total net sales from sales of our Non-Core Products, which is composed primarily of purchases from our contract manufacturing customers. Sales of our Non-Core Product sales which represented approximately 14.1% and 30.1% of our total net sales for the nine months ended September 30, 2020 and 2019 respectively, and this decrease largely resulted from a reduction in volume of products purchased by one significant contract customer following the expiration of its contract. As a result, if we are unable to maintain our relationships with our existing contract manufacturing customers and establish relationships with new contract manufacturing customers on terms that are favorable to us, or if our existing contract manufacturing customers materially reduce their purchases of our products, our sales and profitability may be further adversely affected.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although we have invested, and expect to continue to invest, significant time and resources cultivating our relationships with these customers, these relationships subject us to certain risks. For example, our contract manufacturing customers may use their experience with our products to develop their own solutions, which they may be able to produce at a lower cost than the price they pay for our products. This is particularly true given that many of our customers are large, established companies that may be able to achieve greater economies of scale in manufacturing and production and/or experience synergies from vertical integration. In addition, our contract manufacturing customers routinely audit and inspect our facilities, processes and practices to ensure that our manufacturing process and products meet their internal standards and applicable regulatory standards. To date, we have passed all such audits and inspections. However, we may not do so in the future, and any failure to perform to our customers’ satisfaction in these audits could significantly harm our relationships with them and our reputation, which could materially and adversely affect our business, financial condition and results of operations. Furthermore, the need to comply with our customers’ internal requirements could result in increased development, manufacturing, warranty and administrative costs. A significant increase in these costs could adversely affect our business, financial condition and results of operations. There is also a risk that we may be unable to supply products in the quantities and of the quality required by these customers within their required timeframes, which would also jeopardize our relationships with them. Disagreements or disputes may also arise from time to time. Any of these events, to the extent they cause our customers to reduce purchases of our products or terminate their relationships with us, could have a material adverse effect on our business, financial condition and results of operations.</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sales to these customers may be impacted by changes in their buying habits over which we have no control. Such changes may be driven by, among other things, changes in market share, cyclicality, inventory reductions, spending patterns, cost-cutting measures, product development activity and timelines and changes in supply chain management, as well as the impact of general economic conditions. These customers may also experience financial difficulties or other problems that may prevent them from making payments to us on a timely basis or at all. Any of these events could cause our operating results to fluctuate from period to period, make it more difficult for us to manage our inventory and production schedules and otherwise adversely affect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expand our direct sales force, and if we are unable to successfully expand, manage and maintain our direct sales force, we may not be able to generate greater market share and revenue growth.</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the CorMatrix Acquisition, we had a very small direct sales force and sold our Core Products primarily through independent sales agents or to other companies for resale or incorporation into their products. Though our orthopedic/spinal repair products are now primarily sold through our commercial partners, we currently utilize our direct sales force to sell CanGaroo and our cardiovascular products, as well as our SimpliDerm product. As of September 30, 2020, our direct sales organization consisted of 25 sales representatives, who are focused on increasing market access and market penetration by selling our products, managing our commercial partners, who assist in selling CanGaroo, and providing technical assistance. Our operating results are directly dependent upon the efforts of these employees. If our direct sales force fails to adequately promote, market and sell our products and effectively manage and assist our commercial partners, our net sales may be adversely affected.</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in order to expand our network of hospital and physician customers, drive deeper penetration in our current accounts and provide additional technical assistance to our commercial partners, we plan to expand the size and geographic scope of our direct sales force. This growth may require us to split or adjust existing sales territories, which may adversely affect our ability to retain customers in those territories. Additionally, our future success will depend largely on our ability to continue to hire, train, retain and motivate skilled sales personnel with significant industry experience and technical knowledge of regenerative medicine and related products. Because the competition for their services is high, we cannot assure you we will be able to hire and retain additional personnel on favorable or commercially reasonable terms, if at all. Failure to hire or retain qualified sales personnel would prevent us from expanding our business and generating additional revenue. In addition, it typically takes a substantial period of time before newly hired sales personnel are effective. Though we currently utilize commercial partners and independent sales agents to sell certain of our products, there is no guarantee that we will be able to establish relationships with additional parties, or that our existing commercial partners and independent sales agents will purchase or otherwise commercialize any products we may seek to introduce in the future. If we are unable to expand our sales and marketing capabilities, we may not be able to effectively commercialize our products, which could have a material adverse effect on our business, financial condition and results of operations.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working to grow our direct sales force for certain of our products, which may result in higher fixed costs and may slow our ability to reduce costs in the face of a sudden decline in demand for our products.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key component of our growth involves expanding the size and geographic scope of our direct sales force. A direct sales force may subject us to higher fixed costs than those of other companies that market competing products primarily through third parties due to the costs that we will bear associated with employee benefits, training and managing sales personnel. As a result, we could be at a competitive disadvantage relative to competitors who rely more heavily on third parties to market and sell their products. Additionally, these fixed costs may slow our ability to reduce costs in the face of a sudden decline in demand for our products, which could have a material adverse effect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operating losses since our inception, expect to continue to incur significant expenses and operating losses in the future, and may not be able to achieve or sustain profitability.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incurred net losses since our inception in 2015. For the years ended December 31, 2018 and 2019, we had net losses of $11.6 million and $11.9 million, respectively, and for the nine months ended September 30, 2019 and 2020, we had net losses of $9.1 million and $13.0 million, respectively. As of September 30, 2020, we had an accumulated deficit of $74.9 million. To date, we have financed our operations primarily through private placements of our convertible preferred stock, amounts borrowed under our credit facilities and sales of our products. We have devoted the majority of our resources to acquisition and integration, manufacturing costs, research and development, clinical activity and investing in our commercial infrastructure through our direct sales force and commercial partners in order to expand our presence and to promote awareness and adoption of our products.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122" w:gutter="0" w:footer="0" w:header="0"/>
        </w:sectPr>
      </w:pPr>
    </w:p>
    <w:bookmarkStart w:id="37" w:name="page38"/>
    <w:bookmarkEnd w:id="37"/>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our operating expenses will continue to increase as we grow our sales organization, expand our product development and clinical and research activities, and incur additional costs associated with being a public company. As a result, we expect to continue to incur operating losses in the future and may never achieve profitability. Furthermore, even if we do achieve profitability, we may not be able to sustain or increase profitability on an ongoing basis. If we do not achieve or sustain profitability, it will be more difficult for us to finance our business and accomplish our strategic objectives, either of which would have a material adverse effect on our business, financial condition and results of operations and cause the market price of our Class A common stock to decline. In addition, failure of our products to significantly penetrate existing or new markets would negatively affect our business, financial condition and results of operations.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been, and may continue to be, adversely affected by the outbreak of the novel strain of coronavirus disease, COVID-19, and may be adversely affected by any future pandemic, epidemic or outbreak of an infectious disease in the United States or worldwide.</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a pandemic, epidemic or outbreak of an infectious disease occurs in the United States or worldwide, our business may be adversely affected. In December 2019, a novel strain of coronavirus, SARS-CoV-2, was identified in Wuhan, China. Since then, SARS-CoV-2, and the resulting disease, COVID-19, has spread to most countries and all 50 states within the United States. The COVID-19 pandemic has negatively impacted our business, financial condition and results of operations by significantly decreasing and delaying the number of procedures performed using our products, and we expect the pandemic to continue to negatively impact our business, financial condition and results of operations. Similar to the general trend in elective and other surgical procedures, the number of procedures performed using our products has decreased significantly as healthcare organizations in the United States have prioritized the treatment of patients with COVID-19 or have otherwise altered their operations to prepare for and respond to the pandemic. For example, in the United States, governmental authorities have recommended, and in certain cases required, that elective, specialty and other non-emergency procedures and appointments be suspended or canceled in order to avoid patient exposure to medical environments and the risk of potential infection with the novel coronavirus, and to focus limited resources and personnel capacity on the treatment of COVID-19 patients. Beginning in March 2020, a significant number of procedures using our products have been postponed or cancelled, which has negatively impacted sales of our products. Decreases in procedures have been most prevalent in regions experiencing significant outbreaks, while healthcare organizations in other regions have continued to undertake procedures using our products at reduced levels as compared to before the pandemic. The COVID-19 pandemic could also adversely impact the initiation, continuation and completion of our clinical trials by, for example, delaying procedures using our products or reducing the number of patients, healthcare providers or clinical facilities available or willing to participate in the clinical trials. These delays could result in increased costs, delays in advancing our product development, delays in testing the effectiveness of our technology or termination of the clinical studies altogether. These measures and challenges will likely continue for the duration of the pandemic, which is uncertain, and may continue to reduce our net sales and negatively impact our business, financial condition and results of operations while the pandemic continues. Further, even after the pandemic ultimately subsides, we anticipate there will be a substantial backlog of patients seeking procedures and appointments for a variety of medical conditions and, as a result, patients seeking procedures performed using our products will have to navigate limited provider capacity. We believe this limited capacity of providers, hospitals and other healthcare facilities could have a significant adverse effect on our business, financial condition and results of operations during and following the COVID-19 pandemic.</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Numerous state and local jurisdictions, including those where our facilities are located, have imposed, and others in the future may impose, “shelter-in-place” orders, quarantines, executive orders and similar government orders and restrictions for their residents to control the spread of COVID-19. Such orders or restrictions have resulted in reduced operations at our manufacturing facilities, travel restrictions and cancellation of events and have restricted the ability of our sales representatives and those of our commercial partners and independent sales agents to attend procedures in which our products are used, among other effects, thereby significantly and negatively impacting our operations. Other disruptions or potential disruptions include restrictions on the ability of our sales representatives and other personnel, and those of our commercial partners and independent sales agents, to travel and access customers for training and case support; inability of our suppliers to manufacture and deliver to us on a timely basis or at all; delays in our ability to obtain medical records for tissue donors, which we need in order to release our products; disruptions in our production schedule and ability to manufacture and assemble products; inventory shortages or obsolescence; delays in actions of regulatory bodies; delays in clinical trials and studies; diversion of or limitations on employee resources that would otherwise be focused on the operations of our business, including because of sickness of employees or their families or the desire of employees to avoid contact with groups of people; delays in growing or reductions in our direct sales force, including through delays in hiring, lay-offs, furloughs or other losses of sales representatives; restrictions in our ability to ship our products to customers; business adjustments or disruptions of certain third parties, including suppliers, medical institutions and clinical investigators with whom we conduct business; negative impact on our customers’ credit profiles, which may adversely impact our future collection experience; and additional government requirements or other incremental mitigation efforts that may further impact our or our suppliers’ capacity to manufacture our products. The extent, to which the COVID-19 pandemic or any future pandemic, epidemic or outbreak of an infectious disease impacts our business, will depend on future events and developments, which are highly uncertain and cannot be predicted, including the severity and spread of the disease and the effectiveness of actions to contain the disease or treat its impact, among others. As new information regarding COVID-19 continues to emerge, it is difficult to predict what impact this disease will ultimately have on our business.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changes in general domestic and global economic conditions and instability and disruption of credit markets, including as a result of the current COVID-19 pandemic or any other outbreak of an infectious disease, could adversely affect our business, financial condition, results of operations and liquidity.</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risks arising from adverse changes in general domestic and global economic conditions, including any recession, economic slowdown or disruption of credit markets. While the potential economic impact brought by, and the duration of, any pandemic, epidemic or outbreak of an infectious disease, including COVID-19, may be difficult to assess or predict, the current COVID-19 pandemic has resulted in, and may continue to result in, significant disruption of global financial markets. These events, and any financial crisis that may occur in the future, could make it more difficult and more expensive for hospitals and health systems to obtain credit, which may contribute to pressures on their operating margins. As a result, hospitals and health systems may curtail and reduce capital and overall spending, which may have a significant adverse effect on our business. In addition, the current economic downturn that has resulted from the COVID-19 pandemic has resulted and may continue to result in, and any economic downturn that may occur in the future may also result in, higher unemployment and a reduction in the number of individuals covered by private insurance, which may result in an increase in the cost of uncompensated care for hospitals. Higher unemployment may also result in a shift in reimbursement patterns as unemployed individuals switch from private plans to public plans such as U.S. Medicaid or Medicare. As economic conditions deteriorate and unemployment increases, any significant shift in coverage for the unemployed may have an unfavorable impact on our business.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current COVID-19 pandemic and any other disruption in the capital and credit markets could impede our access to capital, which could be further adversely affected if we are unable to maintain our current credit ratings. Should we have limited access to additional financing sources, we may need to defer capital expenditures or seek other sources of liquidity, which may not be available to us on acceptable terms or at all. Similarly, if our suppliers face challenges in obtaining credit or other financial difficulties, they may be unable to provide the materials required to manufacture our products. All of these factors related to global economic conditions, which are beyond our control, could adversely impact our business, financial condition, results of operations and liquidity.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on physician awareness of the distinctive characteristics, benefits, safety, clinical efficacy and cost-effectiveness of our products.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focus our sales, marketing and training efforts on physicians, surgeons and other healthcare professionals. The acceptance of our products depends in part on our ability to educate these individuals as to the distinctive characteristics, benefits, safety, clinical efficacy and cost-effectiveness of our products compared to alternative products, procedures and therapies. We support our direct sales force, commercial partners and independent sales agents through in-person educational programs and online medical educational materials, among other things. We also produce marketing materials, including materials outlining our products, for our sales teams using printed, video and multimedia formats. However, our efforts to educate physicians, surgeons and other healthcare professionals regarding our products may not be successful, particularly in markets in which we rely exclusively on the efforts of our commercial partners and independent sales agents. A failure to educate physicians and surgeons may impair our ability to achieve market acceptance of our products and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the continued and future acceptance of our products by the medical community.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we are able to increase awareness of our products among healthcare professionals, there can be no assurance that this will translate into greater acceptance of our products by the medical community. We believe physicians, surgeons and other healthcare professionals will only adopt our products if they determine, based on experience, clinical data and published peer reviewed journal articles, that the use of our products in a particular procedure is a favorable alternative to other available methods. Physicians also are more interested in using cost-effective products as they face increasing cost-containment pressure. In general, physicians may be slow to change their medical treatment practices and adopt our products for a variety of reasons, including, among others:</w:t>
      </w:r>
    </w:p>
    <w:p>
      <w:pPr>
        <w:spacing w:after="0" w:line="18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lack of experience using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evidence supporting additional patient benefits from use of our products over conventional methods;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to contain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preference for other treatment modalities or our competitors’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liability risks generally associated with the use of new products and procedures;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coverage and/or reimbursement from third-party payors;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that must be dedicated to learning how to use our products.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ind w:right="20"/>
        <w:spacing w:after="0" w:line="282" w:lineRule="auto"/>
        <w:rPr>
          <w:sz w:val="20"/>
          <w:szCs w:val="20"/>
          <w:color w:val="auto"/>
        </w:rPr>
      </w:pPr>
      <w:r>
        <w:rPr>
          <w:rFonts w:ascii="Times New Roman" w:cs="Times New Roman" w:eastAsia="Times New Roman" w:hAnsi="Times New Roman"/>
          <w:sz w:val="18"/>
          <w:szCs w:val="18"/>
          <w:color w:val="auto"/>
        </w:rPr>
        <w:t>The degree of market acceptance of our products will continue to depend on a number of factors, some of which are outside of our control, including, among other things:</w:t>
      </w:r>
    </w:p>
    <w:p>
      <w:pPr>
        <w:spacing w:after="0" w:line="6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perceived safety and efficacy of our products;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products over alternative treatments;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data and the clinical indications for which our products are approved;</w:t>
      </w:r>
    </w:p>
    <w:p>
      <w:pPr>
        <w:spacing w:after="0" w:line="13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the European Union or other regulatory authorities, including any limitations or warnings contained in approved labeling;</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using our products relative to the use of our competitors’ products or alternative treatment modalities;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the reputation of our products;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events patients experience involving our products;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shelf life of our products and our ability to manage the logistics of the end-user supply chain;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and readily accessible third-party insurance coverage and reimbursement for procedures incorporating our products.</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believe recommendations for, and support of our products by, influential physicians are essential for market acceptance and adoption. If we do not receive this support (e.g., because we are unable to demonstrate favorable long-term clinical data or otherwise), physicians and hospitals may not use our products, which would significantly impair our ability to increase our sales and prevent us from achieving and sustaining profitability.</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Unfavorable results from any of our pre-clinical studies or clinical trials, comparative effectiveness, economic or other studies, or from similar trials or studies conducted by others, may negatively affect the use or adoption of our products by physicians, hospitals and payors, which could have a negative impact on the market acceptance of our products and their profitability.</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regularly conduct a variety of pre-clinical studies and clinical trials, comparative effectiveness studies and economic and other studies of our products in an effort to generate clinical and real-world outcomes and cost effectiveness data in order to obtain product approval and drive further penetration in the markets we serve. If a clinical study conducted by us or a third party fails to demonstrate statistically significant results supporting performance, use benefits or compelling health or economic outcomes from using our products, physicians may elect not to use our products. Furthermore, in the event of an adverse clinical study outcome, our products may not achieve “standard-of-care” status, where they exist, for the conditions in question, which could deter the adoption of our products. Also, if serious adverse events are reported during the conduct of a study, it could affect continuation of the study, product approval or clearance and product adoption. In addition, U.S. and foreign regulatory authorities routinely conduct audits of clinical studies and such audits may result in adverse regulatory actions. If we are unable to develop a body of statistically significant evidence from our clinical study program, whether due to adverse results or the inability to complete properly designed studies, domestic and international public and private payors could refuse to cover procedures using our products, limit the manner in which they cover our products or reduce the price they are willing to pay or reimburse for procedures using our products. Any of these events could have a negative impact on market acceptance of procedures using our products and their profitability, which could have a material adverse effect on our business, financial condition and results of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continue to expand our organization, and managing growth may be more difficult than we expect.</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Managing our growth may be more difficult than we expect. We anticipate that a period of significant expansion will be required to penetrate and service the markets for our existing and anticipated future products and to continue to develop new products. This expansion will place a significant strain on our management, operational and financial resources. To manage the expected growth of our operations and personnel, we must both modify our existing operational and financial systems, procedures and controls and implement new systems, procedures and controls. We must also expand our finance, administrative and operations staff. Management may be unable to hire, train, retain, motivate and manage necessary personnel or to identify, manage and exploit existing and potential strategic relationships and market opportunities. If we fail to meet these challenges effectively, there may be an adverse effect on our business, financial condition and results of operations.</w:t>
      </w:r>
    </w:p>
    <w:p>
      <w:pPr>
        <w:spacing w:after="0" w:line="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regularly evaluate opportunities to make acquisitions of, investments in, and licenses or other commercial arrangements involving, other companies or technologies, and to enter into other strategic transactions. These transactions entail significant risks.</w:t>
      </w:r>
    </w:p>
    <w:p>
      <w:pPr>
        <w:spacing w:after="0" w:line="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ability to continually enhance and broaden our product offerings in response to changing customer demands, competitive pressures and advances in technologies. Accordingly, although we have no current commitments with respect to any acquisition or investment, we regularly review potential acquisitions of, investments in, and licenses or other commercial arrangements involving, complementary businesses, products or technologies instead of developing them ourselves. In addition, in regularly evaluating our financial and operating performance, we may decide to sell one or more of our product lines or another portion of our business. Opportunities to engage in these transactions may not be readily available to us at commercially reasonable prices, on other terms acceptable to us or at all. Even if such opportunities are available, these transactions involve significant risks. In connection with one or more of these transactions, we may:</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0" w:name="page41"/>
    <w:bookmarkEnd w:id="40"/>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equity securities that would dilute the value of your investment in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cash that we may need in the future to operate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that could have terms unfavorable to us or that we might be unable to repay;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structure the transaction in a manner that has unfavorable tax consequences, such as a stock purchase that does not permit a step-up in the tax basis for the assets acquired;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asset impairment or other acquisition-related charges, or unforeseen costs, expenditures and risks;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realize the anticipated benefits, such as increased revenues, cost savings or synergies from additional sales of existing or newly acquired products;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dissynergies in shared functions following a divestment of any portion of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successfully integrate, operate, maintain and manage any newly acquired operations;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management’s attention from the existing business to integrate, operate, maintain and manage any newly acquired operations and personnel, or to manage the complexities involved in separating divested operations, services, products and personnel;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secure the services of key employees related to an acquisition or, in the case of a divestiture, lose one or more of our key employees;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face increased scrutiny and review of our company and operations from government and other regulatory authorities;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be unable to succeed in the marketplace with the acquisition.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occurrence of any of the above could materially and adversely affect our business, financial condition and results of operations. Furthermore, business acquisitions also involve the risk of unknown liabilities associated with the acquired business, which could be material. Such liabilities could include lack of compliance with government regulations that could subject us to investigation, civil and criminal sanctions, litigation and/or other actions that make it impossible to realize the anticipated benefits of the transaction. For example, we may acquire a company that was not compliant with FDA quality requirements or was making payments or other forms of remuneration to physicians to induce them to use their products. Incurring unknown liabilities or the failure to complete or realize the anticipated benefits of an acquisition, investment or other commercial arrangement, whether resulting from one or more of the factors described above or otherwise, could have a material and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lines of business and new products and services may subject us to additional risks.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may implement or acquire new lines of business or introduce new products and services within our existing business lines. There are risks and uncertainties associated with these efforts, particularly in instances where the markets are not fully developed or are evolving. In developing and commercializing new lines of business and new products and services, we may invest significant time and resources. External factors, such as regulatory compliance obligations, competitive alternatives, lack of market acceptance and shifting market preferences, may also affect the successful implementation of a new line of business or a new product or service. Failure to successfully plan for and manage these risks in the development and implementation of new lines of business or new products or services could have a material adverse effect on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and continuing competition from other companies, some of which have longer operating histories, more established products and/or greater resources than we do, which could adversely affect our business, financial condition and results of operations.</w:t>
      </w:r>
    </w:p>
    <w:p>
      <w:pPr>
        <w:spacing w:after="0" w:line="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in highly competitive markets that are characterized by intense competition, subject to rapid change and significantly affected by new product introductions, technological advancements and other market activities of industry participants. Our competitors have historically dedicated, and will continue to dedicate, significant resources to promote their products and to develop new products that compete with ours. Customers in our target markets consider many factors when selecting a product, including product efficacy, ease of use, price, availability of payor coverage and adequate third-party reimbursement for procedures using the product, customer support services for technical-, clinical- and reimbursement-related matters and customer preference for, and loyalty to, particular products or a particular manufacturer. We expect competition to remain intense as competitors introduce additional competing products and enhancements to their existing products, and continue expanding into geographic markets where we currently operate or plan to expand. Product introductions or enhancements by competitors, which may have advanced technology, better features or lower pricing, may make our products obsolete or less competitive. As a result, we will be required to devote continued efforts and financial resources to develop and commercialize new products and enhancements to our existing products, deliver cost-effective clinical outcomes, manage our costs and expand our geographic reach.</w:t>
      </w:r>
    </w:p>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current and potential competitors have longer operating histories and substantially greater financial, technical, marketing, sales, distribution and other resources than we do, which may prevent us from achieving significant market penetration or improved operating results. Certain competitors’ products, such as competitors of SimpliDerm, are subject to a simpler reimbursement process than are our products. Competitors may also be able to leverage their market share and other resources to set prices at a level below that which is profitable for us. These companies may also enjoy other competitive advantages, including, without limitation:</w:t>
      </w:r>
    </w:p>
    <w:p>
      <w:pPr>
        <w:spacing w:after="0" w:line="8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company, product and brand recognition;</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quality and greater volume of clinical data;</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effective marketing to and education of physicians and other healthcare professionals;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control of key intellectual property and more expansive portfolios of intellectual property rights;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experience in obtaining and maintaining regulatory clearances or approvals for products and product enhancements;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relationships with hospitals and other healthcare providers, physicians, suppliers, customers and third-party payors;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lines of products, and the ability to bundle products to offer greater incentives to gain a competitive advantage;</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sales, marketing and worldwide distribution networks;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product support and service;</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 product safety, reliability and durability;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effective pricing and revenue strategies;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effective clinical training programs.</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achieve and maintain profitability will depend, in part, on our ability to develop or acquire proprietary products that reach the market in a timely manner, receive adequate coverage and reimbursement for procedures using our products, and are safer and more effective than their alternatives, as well as our ability to otherwise compete effectively on the factors listed above. If we are unable to do so, our sales and/or margins will decrease, which could have a material adverse effect on our business, financial condition and results of operations.</w:t>
      </w:r>
    </w:p>
    <w:p>
      <w:pPr>
        <w:spacing w:after="0" w:line="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Pricing pressure as a result of cost-containment efforts of our customers, purchasing groups, third-party payors and governmental organizations could adversely affect our sales and profitability.</w:t>
      </w:r>
    </w:p>
    <w:p>
      <w:pPr>
        <w:spacing w:after="0" w:line="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Medical technology companies, healthcare systems and group purchasing organizations, or GPOs, have intensified competitive pricing pressure as a result of industry trends and new technologies. Rising healthcare costs have resulted in numerous cost reform initiatives by legislators, regulators and third-party payors. This cost reform has triggered a consolidation trend in the healthcare industry to aggregate purchasing power and, as a result, purchasing decisions are increasingly shifting to hospitals, integrated delivery networks, or IDNs, and other hospital groups, and away from individual surgeons and physicians. Many existing and potential facility customers for our products within the United States are members of GPOs and IDNs, including accountable care organizations or public-based purchasing organizations, and our business is partly dependent on contracts with these organizations. Purchases of our products can be contracted under national tenders or with larger hospital GPOs. GPOs and IDNs negotiate pricing arrangements with healthcare product manufacturers and distributors and offer the negotiated prices to affiliated hospitals and other members. GPOs and IDNs typically award contracts on a category-by-category basis through a competitive bidding process and, at any given time, we are typically in various stages of responding to bids and negotiating and renewing GPO and IDN agreements. Bids are generally solicited from multiple manufacturers or service providers with the intention of obtaining lower pricing. Due to the highly competitive nature of the bidding process and the GPO and IDN contracting processes in the United States, we may not be able to obtain or maintain contract positions with major GPOs and IDNs across our product portfolio. Furthermore, GPO and IDN contracts are typically terminable without cause upon 60 to 90 days’ notice. In addition, while having a contract with a major purchaser for a given product category can facilitate sales, there can be no guarantee that sales volumes for those products will be maintained. For example, GPOs and IDNs are increasingly awarding contracts to multiple suppliers for the same product category and, even when we are the sole contracted supplier of a GPO or IDN for a certain product category, members of the GPO or IDN are generally free to purchase from other suppliers. If we are unable to maintain and renew our contracts with our current GPO and IDN customers and negotiate contracts with new customers on favorable terms, or if sales volumes under these agreements decline, our business, financial condition and results of operations could be materially and adversely affected.</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42" w:name="page43"/>
    <w:bookmarkEnd w:id="42"/>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most of our customers purchase our products directly and then bill third-party payors for procedures using those products. Because there is typically no separate reimbursement for supplies used in surgical procedures, the additional cost associated with the use of our products can affect the profit margin of the hospital or surgery center where the procedure is performed. Some of our target customers may be unwilling to adopt our products in light of the additional associated cost or may negotiate for lower pricing. Further, any decline in the amount payors are willing to reimburse our customers for procedures using our products, including those as a result of healthcare reform initiatives, could make it difficult for existing customers to continue using or to adopt our products and could create additional pricing pressure for us. In addition to these competitive forces, we continue to see pricing pressure as hospitals introduce new pricing structures into their contracts and agreements, including fixed price formulas, capitated pricing and episodic or bundled payments intended to contain healthcare costs. If we are forced to lower the price we charge for our products, our margins will decrease, which could impair our ability to grow our business and have a material adverse effect on our business, financial condition and results of operations and impair our ability to grow our business.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Outside the United States, centralized governmental healthcare authorities may exert pricing pressures in an effort to lower healthcare costs. Implementation of healthcare reforms and competitive bidding contract tenders may limit the price or the level at which reimbursement is provided for our products and adversely affect both our pricing flexibility and the demand for our products. Healthcare providers may respond to such cost-containment pressures by substituting lower-cost products or other therapies for our products. Our failure to offer acceptable prices to these customers could adversely affect our sales and profitability in these markets.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market demand, government regulation, third-party coverage and reimbursement policies and societal pressures will continue to change the healthcare industry worldwide, resulting in further business consolidations and alliances among our customers, which may exert further downward pressure on the prices for our products.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processing of human and porcine tissue for our products is technically complex, requiring high levels of quality control and precision, which subjects us to increased production risks.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manufacture our human and porcine tissue products using technically complex processes requiring specialized facilities, highly specific raw materials, skill and diligence by our personnel and other production constraints. The complexity of these processes, as well as strict company and government standards for the manufacture and storage of our products, subjects us to production risks. In addition to ongoing production risks, process deviations or unanticipated effects of approved process changes may result in non-compliance with regulatory requirements, including stability requirements or specifications. For example, our bone allograft products FiberCel, ViBone and OsteGro V, must be shipped and maintained within a specified temperature range. If environmental conditions deviate from that range, our products’ remaining shelf-lives could be impaired or their safety and efficacy could be adversely affected, making them unsuitable for use. The occurrence of this or any other actual or suspected production or distribution problem can lead to lost inventories, customer returns and, in some cases, recalls, with consequential damage to our reputation and customer relationships and the risk of product liability. The investigation and remediation of any potential or identified problems can cause production delays and result in substantial additional expenses and lost revenue. In addition, we may experience difficulties in scaling up processing and production of our human and porcine tissue products, including problems related to yields, quality control and assurance, tissue availability, adequacy of control policies and procedures and availability of skilled personnel. Furthermore, developing and maintaining our production capabilities has required, and will continue to require, the investment of significant resources, and we cannot guarantee that we will be able to achieve economies of scale. If we are unable to process and produce our human tissue products on a timely basis, at acceptable quality and costs and in sufficient quantities, or if we experience technological problems, delays in production, failure in the storage of our products or other loss of supply, our business would be materially and adversely affected.</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Performance issues, service interruptions or price increases by our shipping carriers could adversely affect our business, harm our reputation and impair our ability to provide our products on a timely basis or at all.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Expedited, reliable shipping is essential to our operations. We rely heavily on providers of transport services for reliable, timely and secure point-to-point transport of our products to our customers and for tracking of these shipments. Should a carrier encounter delivery performance issues such as loss, delays, damage or destruction of any of our products, it would be costly to replace these products in a timely manner and such occurrences may damage our reputation and lead to decreased demand for our products and increased cost and expense to our business. This risk is particularly high with respect to FiberCel, ViBone and OsteGro V, which must be shipped and maintained within a specified temperature range. In addition, any significant increase in shipping rates could adversely affect our operating margins and results of operations. Similarly, strikes, severe weather, natural disasters, equipment malfunctions or other service interruptions affecting the delivery services we use, would impair our ability to process orders for our products on a timely basis or at all, which could have a material adverse effect on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facilities are damaged or become inoperable, we will be unable to continue to research, develop and supply our products and, as a result, there will be an adverse effect on our business until we are able to secure new facilities and rebuild our inventory.</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have redundant facilities. We perform most of our research and development activity and manufacture our tissue-based products at our facility in Richmond, California. The SIS ECM biomaterial used in our medical device products are manufactured by Cook Biotech Incorporated, or Cook Biotech, at their facility in West Lafayette, Indiana and converted to a finished product at our facility in Roswell, Georgia. Regulatory approvals of our products are limited to one or more specifically approved manufacturing facilities. As a result, if we fail to produce enough of a product at a facility, or if any of our production facilities were to be shut down or otherwise become unavailable for any reason, finding alternative manufacturing capabilities and obtaining the necessary regulatory approvals would require a considerable amount of time and expense and would cause a significant disruption in service to our customers.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Disruption to our facilities could arise for a variety of reasons, including technical, labor or other difficulties, equipment malfunction, contamination due to a COVID-19 infection or otherwise, the failure of our employees to follow specific protocols and procedures, the destruction of, or damage to, any facility (as a result of a natural or man-made disaster, including, but not limited to, a tornado, flood, fire, power outage or other event), quality control issues or other reasons. Any disruption in the operation of our facilities as a result of any of the above could impair our product development and commercialization efforts and result in lost sales, lost customers and harm to our reputation, any of which would negatively impact our growth prospects and profitability and have a material adverse effect on our business, financial condition and results of operations. In addition, certain of these events, such as natural or man-made disasters, would cause us to incur additional losses, including the time and expense required to repair and/or replace our equipment and to rebuild our inventory. Although we possess insurance for damage to our property and the disruption of our business, this insurance may not be sufficient to cover all of our potential losses and may not continue to be available to us on acceptable terms or at all.</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depend upon a limited number of third-party suppliers and manufacturers and, in certain cases, exclusive suppliers for products essential to our business, we may incur significant product development costs and experience material delivery delays if we lose any significant supplier, which could materially and adversely affect our business, financial condition and results of operations.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obtain some of our raw materials from a limited group of suppliers and rely on a single supplier to source the SIS ECM biomaterial used to manufacture CanGaroo and our cardiovascular products for reasons of quality assurance, cost-effectiveness, availability or constraints resulting from regulatory requirements. For us to be successful, our suppliers must be able to provide us with products and components in substantial quantities, in compliance with regulatory requirements, in accordance with agreed upon specifications, at acceptable costs and on a timely basis. Our efforts to maintain a continuity of supply and high quality and reliability may not be successful on a timely basis or at all. Manufacturing disruptions experienced by our suppliers may jeopardize our supply of finished products. Due to the stringent regulations and requirements of the FDA and other similar non-U.S. regulatory agencies regarding the manufacture of our products, we may not be able to quickly establish additional or replacement sources for certain raw materials. A change in suppliers could require significant effort or investment in circumstances where the items supplied are integral to product performance or incorporate unique technology. Transitioning to a new supplier could be time-consuming and expensive, may result in interruptions in our operations and product delivery, could affect the performance specifications of our products or could require that we modify the design of those systems.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reduction or interruption in manufacturing, or an inability to secure alternative sources of raw materials or components, could have a material and adverse effect on our business, financial condition, results of operations and cash flows. One or more of our suppliers may refuse to extend us credit with respect to our purchasing or leasing of equipment, supplies, products or components, or may only agree to extend us credit on significantly less favorable terms or subject to more onerous conditions. This could significantly disrupt our ability to purchase or lease required equipment, supplies, products and components in a cost-effective and timely manner, and could have a material adverse effect on our business, financial condition and results of operations. Any casualty, natural disaster or other disruption of any of our sole-source suppliers’ operations, for example due to a COVID-19 infection of employees of the supplier, or any unexpected loss of any existing exclusive supply contract, could have a material adverse effect on our business, financial condition and results of operations. In addition, if a change in manufacturer results in a significant change to any product, a new 510(k) clearance from the FDA or similar international regulatory authorization may be necessary before we implement the change, which could cause substantial delays.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products are dependent on the availability of tissue from human donors, and any disruption in supply could adversely affect our business, financial condition and results of operations.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products we manufacture for the orthopedic/spinal repair and soft tissue reconstruction markets, as well as our contract manufacturing products, require that we obtain human tissue. The success of our business depends, in part, on the availability of tissue from human donors. Any inability to obtain tissue from our sources will interfere with our ability to effectively meet demand for these products. The recovery of human tissue for our products is very labor-intensive, and it is, therefore, difficult to maintain a steady supply stream. In addition, the availability of acceptable donors is relatively limited and may be impacted by regulatory changes, general public opinion of the donation process and the reputation of our company and the third-party procurement firms with which we partner to manage the donation process. Media reports or other negative publicity concerning both improper methods of tissue recovery from donors and disease transmission from donated tissue, including bones and dermis, may limit widespread acceptance of our products. Unfavorable reports of improper or illegal tissue recovery practices, both in the United States and internationally, as well as incidents of improperly processed tissue leading to transmission of disease, may broadly affect the rate of future tissue donation and market acceptance of allograft technologies and donated tissue use. Potential patients may not be able to distinguish our products, technologies and tissue recovery and processing procedures from others engaged in tissue recovery. In addition, unfavorable reports about us or any of our third-party procurement firms may make families of potential donors or donors themselves, from whom we are required to obtain consent before processing tissue, reluctant to agree to donate tissue to for-profit tissue processors. Any disruption in the supply of any human tissue component could materially harm our ability to manufacture our products until a new source of supply, if any, could be found. We may be unable to find a sufficient alternative supply channel within a reasonable period of time, on commercially reasonable terms or at all, which would have a material adverse effect on our business, financial condition and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prices for raw materials used in our products could adversely affect our business,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profitability is affected by the prices of the raw materials used in the manufacture of our products. These prices may fluctuate based on a number of factors beyond our control, including changes in supply and demand, general economic conditions, labor costs, delivery costs, competition, import duties, excises and other indirect taxes, currency exchange rates and government regulation. Due to the highly competitive nature of the healthcare industry and the cost containment efforts of our customers and third-party payors, we may be unable to pass along cost increases for key components or raw materials through higher prices to our customers. If the cost of key components or raw materials increases, and we are unable to fully recover these increased costs through price increases or offset these increases through other cost reductions, we could experience lower margins and profitability. Significant increases in the prices of raw materials that cannot be recovered through productivity gains, price increases or other methods could adversely affect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accurately forecast demand for our products and manage our inventory, our margins could decrease and we could lose sales, either of which could have a material adverse effect on our business, financial condition and results of operations.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we must maintain sufficient inventory levels to operate our business successfully and meet customer demand for our products, we must be careful to avoid amassing excess inventory. To ensure adequate inventory supply, we must forecast inventory needs and place orders with our suppliers based on our estimates of future demand for our products. Demand for our products can change rapidly and unexpectedly, including during the time between when raw materials are ordered from our suppliers and the finished product is offered for sale. Our ability to accurately forecast demand for our products could be negatively affected by a number of factors, many of which are beyond our control, including our failure to accurately manage our expansion strategy, product introductions by competitors, an increase or decrease in customer demand for our products or for products of our competitors, our failure to accurately forecast customer acceptance of new products, unanticipated changes in general market conditions, reimbursement or regulatory matters and weakening of economic conditions. Inventory levels that exceed the demand for our products may result in inventory write-downs or write-offs, which would adversely affect our gross margins. For example, in 2019, our launch of SimpliDerm resulted in reduced demand for certain of our other dermis inventory and resulted in inventory write-downs. Conversely, if we underestimate demand for our products, additional supplies of raw materials or additional manufacturing capacity may not be available when required on terms that are acceptable to us or at all, and suppliers or our third-party manufacturer may not be able to allocate sufficient capacity in order to meet our increased requirements. As a result, we may not be able to meet customer demand for our products, resulting in lost sales and potential damage to our reputation and customer relationships, any of which would adversely affect our business, financial condition and results of operations.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while we seek to maintain sufficient levels of inventory in order to protect ourselves from supply interruptions, our products generally have a shelf life of two to three years. We are, therefore, subject to the risk that a portion of our inventory will become obsolete or expire, which could have a material adverse effect on our profitability and cash flows due to the resulting inventory impairment charges and costs required to replace such inventory.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hospitals and other healthcare providers are unable to obtain coverage or adequate reimbursement for procedures performed with our products, it is unlikely our products will be widely used.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the commercial success of our existing products and any products we may develop or acquire in the future will depend, in part, on the extent to which governmental payors at the federal and state levels, including Medicare and Medicaid, private health insurers and other third-party payors, provide coverage and establish adequate reimbursement levels for procedures utilizing our products. Hospitals and other healthcare providers that purchase our products for treatment of their patients generally rely on third-party payors to pay for all or part of the costs and fees associated with our products as part of a “bundled” rate for the associated procedures. The existence of coverage and adequate reimbursement for procedures using our products by government and private payors is critical to market acceptance of our existing and future products. Neither hospitals nor surgeons are likely to use our products if they do not receive adequate reimbursement for the procedures utilizing our products.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private payors currently base their reimbursement policies on the coverage decisions and payment amounts determined by the Centers for Medicare and Medicaid Services, or CMS, which administers the Medicare program. Others may adopt different coverage or reimbursement policies for procedures performed with our products, while some governmental programs, such as Medicaid, have reimbursement policies that vary from state to state, some of which may not pay for the procedures performed with our products in an adequate amount, if at all. Because the Medicare and Medicaid programs are increasingly used as models for how private payors and other governmental payors develop their coverage and reimbursement policies, a Medicare national or local non-coverage decision, denying coverage for procedures using one or more of our products, could result in private and other third-party payors also denying coverage. Third-party payors also may deny reimbursement for procedures using our products if they determine that a product used in a procedure was not medically necessary, was not used in accordance with cost-effective treatment methods, as determined by the third-party payor, or was used for an unapproved use. Unfavorable coverage or reimbursement decisions by government programs or private payors underscore the uncertainty that our products face in the market and could have a material adverse effect on our business.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hospitals and clinics in the United States belong to GPOs, which typically incentivize their hospital members to make a relatively large proportion of purchases of similar products from a limited number of vendors that have contracted to offer discounted prices. Such contracts often include exceptions for purchasing certain innovative new technologies, however. Accordingly, the commercial success of our products may also depend to some extent on our ability to either negotiate favorable purchase contracts with key group purchasing organizations and/or persuade hospitals and clinics to purchase our product “off contract.”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healthcare industry in the United States has experienced a trend toward cost containment as government and private payors seek to control healthcare costs by paying service providers lower rates. While it is expected that hospitals will be able to obtain coverage for procedures using our products, the level of payment available to them for such procedures may change over time. State and federal healthcare programs, such as Medicare and Medicaid, closely regulate provider payment levels and have sought to contain, and sometimes reduce, payment levels. Private payors frequently follow government payment policies and are likewise interested in controlling increases in the cost of medical care. In addition, some payors are adopting pay-for-performance programs that differentiate payments to healthcare providers based on the achievement of documented quality-of-care metrics, cost efficiencies or patient outcomes. These programs are intended to provide incentives to providers to deliver the same or better results while consuming fewer resources. As a result of these programs, and related payor efforts to reduce payment levels, hospitals and other providers are seeking ways to reduce their costs, including the amounts they pay to medical device manufacturers. We may not be able to sell our products profitably if third-party payors deny or discontinue coverage or reduce their levels of payment below that which we project, or if our production costs increase at a greater rate than payment levels. Adverse changes in payment rates by payors to hospitals could adversely impact our ability to market and sell our products and negatively affect our financial performance.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international markets, medical device regulatory requirements and healthcare payment systems vary significantly from country to country, and many countries have instituted price ceilings on specific product lines. We cannot assure you that our products will be considered cost-effective by international third-party payors, that reimbursement will be available or, if available, that the third-party payors’ reimbursement policies will not adversely affect our ability to sell our products profitably. Any failure to receive regulatory or reimbursement approvals would negatively impact market acceptance of our products in any international markets in which those approvals are sought.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the risk of product liability claims and may not be able to obtain or maintain adequate product liability insurance.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business exposes us to the risk of product liability claims that are inherent in the manufacturing, processing, investigating and marketing of medical devices and human and animal tissue products. We are, and may in the future be, subject to product liability claims and lawsuits, including potential class actions or mass tort claims, alleging that our products have resulted or could result in an unsafe condition or injury. Product liability claims may be made by patients and their families, healthcare providers or others selling our products. Product liability claims may include, among other things, allegations of defects in manufacturing, defects in design, a failure to warn of dangers inherent in the product, negligence, strict liability or a breach of warranties. We may be subject to such claims even if the apparent injury is due to the actions of others or the pre-existing health of the patient. For example, we rely on physicians and other healthcare providers to properly and correctly use our products. If these physicians or other healthcare providers are not properly trained or are negligent in using our products, the capabilities of our products may be diminished or the patient may suffer critical injury. In addition, we may be subject to product liability claims, as well as a number of other risks, as a result of physicians and other healthcare providers using our products “off-label.” See “— </w:t>
      </w:r>
      <w:r>
        <w:rPr>
          <w:rFonts w:ascii="Times New Roman" w:cs="Times New Roman" w:eastAsia="Times New Roman" w:hAnsi="Times New Roman"/>
          <w:sz w:val="18"/>
          <w:szCs w:val="18"/>
          <w:i w:val="1"/>
          <w:iCs w:val="1"/>
          <w:color w:val="auto"/>
        </w:rPr>
        <w:t>The misuse or off-label use of our products may harm our reputation in the marketplace, result in injuries that lead to product liability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suits or result in costly investigations, fines or sanctions by regulatory bodies if we are deemed to have engaged in the promotion of these uses, any of which could be costly to our business.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Defending a lawsuit, regardless of merit, could be costly, divert management attention and result in adverse publicity, which could result in the withdrawal of, or reduced acceptance of, our products in the market. If we cannot successfully defend against product liability claims, we could incur substantial liability and costs. In addition, regardless of merit or eventual outcome, product liability claims may result in:</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business reputation;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by regulators;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legal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have product liability insurance that we believe is adequate, this insurance is subject to deductibles and coverage limitations, and we may not be able to maintain this insurance. Also, it is possible that claims could exceed the limits of our coverage or be excluded from coverage under our policy, and may increase the cost of maintaining our coverage. If we are unable to maintain product liability insurance at an acceptable cost or on acceptable terms with adequate coverage or otherwise protect ourselves against potential product liability claims, or if we underestimate the amount of insurance we need, we could be exposed to significant liabilities, which may harm our business. One or more product liability claims could have a significant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bear the risk of warranty claims on our products.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bear the risk of warranty claims on our products. We may not be successful in claiming recovery under any warranty or indemnity provided to us by our suppliers or vendors in the event of a successful warranty claim against us by a customer, and any recovery from such supplier or vendor may not be adequate. Furthermore, we may not have any, or have an adequate, warranty provided by our supplier. In addition, warranty claims brought by our customers related to third-party components may arise after our ability to bring corresponding warranty claims against such suppliers expires, which could result in costs to us.</w:t>
      </w:r>
    </w:p>
    <w:p>
      <w:pPr>
        <w:spacing w:after="0" w:line="17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Defects, failures or quality issues associated with our products could lead to product recalls or safety alerts, adverse regulatory actions, litigation, including product liability claims, and negative publicity, any of which may erode our competitive advantage and market share and have a material adverse effect on our reputation, business, financial condition and results of operations.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Quality is extremely important to us and our customers due to the serious and costly consequences of product failure. Quality and safety issues may occur with respect to any of our products, and our future operating results will depend on our ability to maintain an effective quality control system and effectively train and manage our workforce with respect to our quality system. The development, manufacture and control of our products are subject to extensive and rigorous regulation by numerous government agencies, including the FDA, the Competent Authorities of the European Union and similar foreign agencies. Compliance with these regulatory requirements, including but not limited to the FDA’s Quality System Regulation, or QSR, current Good Manufacturing Practices, or GMPs and adverse events/recall reporting requirements in the United States and other applicable regulations worldwide, is subject to continual review and is monitored rigorously through periodic inspections by the FDA and foreign regulatory authorities. If we fail to comply with our reporting obligations, the FDA, the Competent Authorities of the European Union or other regulatory authority could take action, including issuance of warning letters and/or untitled letters, administrative actions, criminal prosecution, imposition of civil monetary penalties, revocation of our device clearance, seizure of our products or delay in the clearance of future products.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and foreign regulatory authorities may also require post-market testing and surveillance to monitor the performance of approved products. Our facilities and those of our suppliers, commercial partners and independent sales agents are also subject to periodic regulatory inspections. If the FDA or a foreign authority were to conclude that we have failed to comply with any of these requirements, it could institute a wide variety of enforcement actions, ranging from a public warning letter to more severe sanctions, such as product recalls or seizures, withdrawals, monetary penalties, consent decrees, injunctive actions to halt the manufacture or distribution of products, import detentions of products made outside the United States, export restrictions, restrictions on operations or other civil or criminal sanctions. Civil or criminal sanctions could be assessed against our officers, employees, or us. Any adverse regulatory action, depending on its magnitude, may restrict us from effectively manufacturing, marketing and selling our products.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spacing w:after="0" w:line="256" w:lineRule="auto"/>
        <w:rPr>
          <w:sz w:val="20"/>
          <w:szCs w:val="20"/>
          <w:color w:val="auto"/>
        </w:rPr>
      </w:pPr>
      <w:r>
        <w:rPr>
          <w:rFonts w:ascii="Times New Roman" w:cs="Times New Roman" w:eastAsia="Times New Roman" w:hAnsi="Times New Roman"/>
          <w:sz w:val="18"/>
          <w:szCs w:val="18"/>
          <w:color w:val="auto"/>
        </w:rPr>
        <w:t>If our products do not function as designed, or are designed improperly, we or the third-party manufacturer of such products may withdraw such products from the market, whether by choice or as a result of regulatory requirements. In August 2019, we recalled and discarded certain production lots of CanGaroo from the market due to suture breakage. In January 2018, we recalled five of our allograft tissue implants because a pre-sterilized donor culture should have been disqualified, each of which had a negative effect on our business, financial condition and results of operations. Any product recall we or a third-party manufacturer may conduct in the future, whether voluntary or required, may have also negatively affect our business financial condition and results of operations, and this effect may be material.</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cannot predict the results of future legislative activity or future court decisions, any of which could increase regulatory requirements, subject us to government investigations or expose us to unexpected litigation. Any regulatory action or litigation, regardless of the merits, may result in substantial costs, divert management’s attention from other business concerns and place additional restrictions on our sales or the use of our products. In addition, negative publicity, including regarding a quality or safety issue, could damage our reputation, reduce market acceptance of our products, cause us to lose customers and decrease demand for our products. Any actual or perceived quality issues may also result in issuances of physician’s advisories against our products or cause us to conduct voluntary recalls. Any product defects or problems, regulatory action, litigation, negative publicity or recalls could disrupt our business and have a material adverse effect on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from quarter to quarter and year to year due to the seasonality of our business, as well as a variety of other factors, many of which are outside of our control.</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quarterly and annual results of operations may vary significantly in the future, and period-to-period comparisons of our operating results may not be meaningful. Accordingly, the results of any one quarter or other period should not be relied upon as an indication of our future performance. Our quarterly and annual financial results may fluctuate as a result of a variety of factors, many of which are outside our control and, as a result, may not fully reflect the underlying performance of our business. One such factor includes seasonal variations in our sales. We have experienced and may in the future experience higher sales in the fourth quarter as hospitals in the United States increase their purchases of our products to coincide with the end of their budget cycles. Satisfaction of patient deductibles through the course of the year also results in increased sales later in the year. In general, our first quarter usually has lower sales than the preceding fourth quarter as patient deductibles are re-established with the new year, thereby increasing their out-of-pocket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that may cause fluctuations in our quarterly and annual results include, among other things:</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medical procedures using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introduction of new products by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government health benefit programs and private health plans to cover our products or to timely and adequately reimburse the users of our products;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or any other pandemic, epidemic or outbreak of an infectious disease in the United States or worldwide that impacts the number of procedures being performed;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reimbursement for procedures using our products by government and private insurers;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products are granted pass-through reimbursement status or included in the “bundled” reimbursement 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purchasing patterns by our commercial partners or customers, or the loss of any significant customer or group of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upgrade and develop our systems and infrastructure to accommodate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and capital expenditures relating to the expansion of our business, operations and infrastructure;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enactment of, new laws or regulations promulgated by federal, state or local governments;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supply or manufacturing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containment initiatives or policies developed by government and commercial payors that create financial incentives not to use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our products are cost-effective or superior to competing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competition in our industry and any changes in the competitive landscape;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product defects during the manufacturing process;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a government investigation into potential non-compliance with laws or regulations, or the initiation of a voluntary or involuntary recall with respect to one or more of our products;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imposed by federal or state governments due to non-compliance with laws or regulations;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as well as economic conditions specific to the healthcare industry.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based our current and future expense levels largely on our investment plans and estimates of future events, although certain of our expense levels are, to a large extent, fixed. We may be unable to adjust spending in a timely manner to compensate for any unexpected revenue shortfall. Accordingly, any significant shortfall in sales relative to our planned expenditures would have an immediate adverse effect on our business, results of operations and financial condition. Further, as a strategic response to changes in the competitive environment or to changes in laws and regulations, we may from time to time make certain pricing, service or marketing decisions (e.g., reduce prices) that could have a material and adverse effect on our business, financial condition and results of operations. Due to the foregoing factors, our revenue and operating results are and will remain difficult to forecast.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and our Revenue Interest Obligation to Ligand Pharmaceuticals Incorporated may limit our flexibility in operating our business and adversely affect our financial health and competitive position.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2020, we had $19.7 million of indebtedness outstanding, consisting of $19.7 million outstanding under our Term Loan Facility (as defined under Part I, Item 2. “Management’s Discussion and Analysis of Financial Condition and Results of Operations — Liquidity and Capital Resources</w:t>
      </w:r>
    </w:p>
    <w:p>
      <w:pPr>
        <w:jc w:val="both"/>
        <w:spacing w:after="0" w:line="251" w:lineRule="auto"/>
        <w:rPr>
          <w:sz w:val="20"/>
          <w:szCs w:val="20"/>
          <w:color w:val="auto"/>
        </w:rPr>
      </w:pPr>
      <w:r>
        <w:rPr>
          <w:rFonts w:ascii="Times New Roman" w:cs="Times New Roman" w:eastAsia="Times New Roman" w:hAnsi="Times New Roman"/>
          <w:sz w:val="18"/>
          <w:szCs w:val="18"/>
          <w:color w:val="auto"/>
        </w:rPr>
        <w:t>— Credit Facilities”) (net of $0.3 million of unamortized discount and deferred financing costs), $5.9 million outstanding under our Revolving Credit Facility (as defined under Part I, Item 2. “Management’s Discussion and Analysis of Financial Condition and Results of Operations — Liquidity and Capital Resources — Credit Facilities”) (with $2.1 million of additional borrowings available thereunder), $3.0 million outstanding pursuant to a promissory note under the Paycheck Protection Program of the Coronavirus Aid, Relief and Economic Stability Act, or the CARES Act (the “PPP Loan”), and a $1.4 million promissory note payable to one of our suppliers. In addition, we are party to a royalty agreement with Ligand Pharmaceuticals Incorporated, or Ligand, pursuant to which we assumed a restructured, long-term obligation to Ligand (the “Revenue Interest Obligation”), that requires us to pay Ligand 5.0% of future sales of the products we acquired from CorMatrix (as well as products substantially similar to those products), subject to annual minimum payments of $2.75 million and certain milestone payments if sales of the acquired products exceed certain thresholds. See Part I, Item 2. “Management’s Discussion and Analysis of Financial Condition and Results of Operations — Critical Accounting Policies and Significant Judgment and Estimates — Revenue Interest Obligation.”</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service this indebtedness and our Revenue Interest Obligation, and any additional indebtedness or other long-term obligations we may incur in the future, we need to generate sufficient levels of cash from our operating activities. Our ability to generate cash is subject, in part, to our ability to successfully execute our business strategy, as well as general economic, financial, competitive, regulatory and other factors beyond our control. We cannot assure you that our business will be able to generate sufficient levels of cash from operations or that future borrowings or other financings will be available to us in an amount sufficient to enable us to service our indebtedness, satisfy our obligations under the Revenue Interest Obligation and fund our other liquidity needs. To the extent we are required to use cash from operations or the proceeds of any future financing to service our indebtedness and satisfy our obligations under the Revenue Interest Obligation instead of funding working capital, capital expenditures or other general corporate purposes, we will be less able to plan for, or react to, changes in our business, industry and in the economy generally. This will place us at a competitive disadvantage compared to our competitors that have less indebtedness.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agreements governing our Term Loan Facility and Revolving Credit Facility contain, and any agreements evidencing or governing other future indebtedness may also contain, certain covenants that limit our ability to engage in certain transactions that may be in our long-term best interests. Subject to certain limited exceptions, these covenants limit our ability to, among other things:</w:t>
      </w:r>
    </w:p>
    <w:p>
      <w:pPr>
        <w:spacing w:after="0" w:line="17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certain liens;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on equity interests;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their subsidiaries’ ability to pay dividends;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repurchase or refinance subordinated indebtedness;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sell or otherwise dispose of their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advances, guarantees and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their governing documents;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certain material agreements;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 conducted by them and their subsidiaries;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 and leaseback transactions.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these covenants, the agreements governing our Term Loan Facility and Revolving Credit Facility also contain a financial covenant, which is tested on a monthly basis, and requires us to achieve a specified minimum net product revenue (as defined therein) for the preceding 12-month period. While we were in compliance with all covenants under these agreements as of September 30, 2020, we have had past breaches requiring waivers and there can be no guarantee that we will not breach these covenants in the future. Our ability to comply with these covenants may be affected by events and factors beyond our control. In the event that we breach one or more covenants, our lenders may choose to declare an event of default and require that we immediately repay all amounts outstanding, terminate any commitment to extend further credit and foreclose on the collateral granted to them to collateralize such indebtedness. The occurrence of any of these events could have a material adverse effect on our business, financial condition and results of operations.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be able to incur significant additional indebtedness in the future. Although the agreements governing our Term Loan Facility and Revolving Credit Facility contain restrictions on the incurrence of additional indebtedness by us, such restrictions are subject to a number of qualifications and exceptions, and the indebtedness incurred in compliance with these restrictions could be substantial. Also, these restrictions do not prohibit us from incurring obligations that do not constitute indebtedness as defined therein. To the extent that we incur additional indebtedness or such other obligations, the risks associated with our substantial indebtedness described above will increase.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forgiveness of the PPP Loan, in whole or in part, in accordance with the provisions of the CARES Act, which could adversely affect our financial condition.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2020, we entered into a promissory note with Silicon Valley Bank, or SVB, under the Paycheck Protection Program of the CARES Act pursuant to which SVB agreed to make a loan to us in the amount of approximately $3.0 million. The PPP Loan matures in May 2022, bears interest at a rate of 1.0% per annum and requires no payments during the first six months from the date of the loan.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PPP Loan is unsecured and guaranteed by the Small Business Administration, or the SBA. Under the terms of the PPP Loan, the principal amount of the loan may be forgiven to the extent it is used for qualifying expenses as described in the CARES Act and we otherwise request forgiveness in accordance with the terms of the PPP Loan and the requirements of the SBA. While we expect to request that a significant portion of the principal amount of the PPP Loan be forgiven and to comply with all corresponding requirements, we cannot guarantee that we will be successful in obtaining forgiveness of all or any part of such principal amount. We will be required to repay any principal amount of the PPP Loan that is not forgiven, together with accrued and unpaid interest, in equal monthly installments prior to the maturity date of the loan, which would further restrict our operating and financial flexibility.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capital needs are uncertain and we may need to raise funds in the future, and such funds may not be available on acceptable terms or at all.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net proceeds from our IPO, together with our existing cash and our availability under our Revolving Credit Facility, will enable us to fund our operating expenses and capital expenditure requirements through 2022. However, we have based these estimates on assumptions that may prove to be incorrect, and we could spend our available financial resources much faster than we currently expect. Any future funding requirements will depend on many factors, including, among other things:</w:t>
      </w:r>
    </w:p>
    <w:p>
      <w:pPr>
        <w:spacing w:after="0" w:line="180"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patient, physician and market acceptance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cost of our current and future pre-clinical studies and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research and development activities and the cost of commercializing new products or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expanding our sales and marketing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and prosecuting patent applications and maintaining, defending and enforcing our patent or other intellectual property rights;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 litigation or otherwise, any claims that we infringe, misappropriate or otherwise violate third-party patents or other intellectual property rights;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additional regulatory approvals;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 recall that may occur;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manufacturing and selling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developing and commercializing new products or technologies;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products, technologies and businesses, although we currently have no commitments or agreements relating to any of these types of transactions;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general, legal and administrative expenses;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on any of the above of the current COVID-19 pandemic or any other pandemic, epidemic or outbreak of infectious disease.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operating plan may change as a result of any number of factors, including those set forth above and other factors currently unknown to us, and we may need additional funds sooner than anticipated. Any additional equity or debt financing that we raise may contain terms that are not favorable to us or our stockholders. If we raise additional funds by selling additional shares of our common stock or other securities convertible (directly or indirectly) into or exercisable or exchangeable for shares of our common stock, the issuance of such securities will result in dilution to our stockholders. The price per share at which we sell additional shares of our common stock, or securities convertible into or exercisable or exchangeable for shares of our common stock, in future transactions may be higher or lower than the price per share paid by you. Furthermore, investors purchasing any securities we may issue in the future may have rights superior to your rights as a holder of our common stock.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any future debt financing into which we enter may impose upon us covenants that restrict our operations, including limitations on our ability to incur liens or additional debt, pay dividends, repurchase our common stock, make certain investments and engage in certain merger, consolidation or asset sale transactions. If we raise additional funds through collaboration and licensing arrangements with third parties, it may be necessary to relinquish some rights to our technologies or our products, or grant licenses on terms that are not favorable to 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we cannot be certain that additional funding will be available to us on acceptable terms, if at all.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business, financial condition and results of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or damage to data, system failures and other disruptions could compromise sensitive information related to our business or our customers’ patients, or prevent us from accessing critical information and expose us to liability, which could adversely affect our business and our reputation.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may become exposed to, or collect and store, sensitive data, including procedure-based information and legally protected health information, credit card, and other financial information, insurance information and other potentially personally identifiable information. We also store sensitive intellectual property and other proprietary business information. Regardless of any precautions we may take, our information technology, or IT, and infrastructure, and that of our technology partners and providers, may be vulnerable to cyberattacks by hackers or viruses or breaches due to employee error, malfeasance or other disruptions. We rely extensively on IT systems, networks and services, including internet sites, data hosting and processing facilities and tools, physical security systems and other hardware, software and technical applications and platforms, some of which are managed, hosted, provided and/or used by third parties or their vendors, to assist in conducting our business. A significant breakdown, invasion, corruption, destruction or interruption of critical information technology systems or infrastructure, by our workforce, others with authorized access to our systems or unauthorized persons could negatively impact operations. The ever-increasing use and evolution of technology, including cloud-based computing, creates opportunities for the unintentional dissemination or intentional destruction of confidential information stored in our or our third-party providers’ systems, portable media or storage devices. We could also experience a business interruption, theft of confidential information or reputational damage from industrial espionage attacks, malware or other cyber-attacks, which may compromise our system infrastructure or lead to data leakage, either internally or at our third-party providers.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Unauthorized disclosure of sensitive or confidential patient or employee data, including personally identifiable information, whether through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Although we have general liability and cybersecurity insurance coverage, our insurance may not cover all claims, continue to be available to us on reasonable terms or be sufficient in amount to cover one or more large claims; additionally, the insurer may disclaim coverage as to any claim.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prospects, operating results and financial condition.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spacing w:after="0" w:line="253" w:lineRule="auto"/>
        <w:rPr>
          <w:sz w:val="20"/>
          <w:szCs w:val="20"/>
          <w:color w:val="auto"/>
        </w:rPr>
      </w:pPr>
      <w:r>
        <w:rPr>
          <w:rFonts w:ascii="Times New Roman" w:cs="Times New Roman" w:eastAsia="Times New Roman" w:hAnsi="Times New Roman"/>
          <w:sz w:val="18"/>
          <w:szCs w:val="18"/>
          <w:color w:val="auto"/>
        </w:rPr>
        <w:t>Despite our security measures, there can be no assurance that our efforts will prevent breakdowns or breaches to our or our third-party providers’ databases or systems, or any resulting unauthorized access to, or disclosure and use of, non-public or other legally protected information. Phishing, social engineering and other attacks upon IT systems are increasing in their frequency, levels of persistence, sophistication and intensity, and are being conducted by sophisticated and organized groups and individuals with a wide range of motives and expertise. In addition to unauthorized access to or acquisition of personal information, confidential information, intellectual property or other sensitive information, such attacks could include the deployment of harmful malware and ransomware, and may use a variety of methods, including denial-of-service attacks, social engineering and other means, to attain such unauthorized access or acquisition or otherwise affect service reliability and threaten the confidentiality, integrity and availability of information. Because the techniques used to obtain unauthorized access, disable or degrade service, or sabotage systems change frequently and often are not foreseeable or recognized until launched against a target, we may be unable to anticipate these techniques or to implement adequate preventative measures. Any such breakdowns or breaches, or resulting access, disclosure, or other loss of information, could significantly disrupt our business and result in legal claims or proceedings, liability under laws that protect the privacy of personal information, and damage to our reputation, any of which could have a material and adverse effect on our business, financial condition and results of operations.</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retain and motivate key management personnel and other employees and consultants, to attract, retain and motivate additional qualified personnel and to effectively navigate changes in our senior management team.</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success depends to a significant extent on our ability to attract, retain and motivate key management personnel and other employees and consultants for our business, including scientific, technical and sales and marketing personnel. There is currently a shortage of skilled executives and other personnel in our industry, which is likely to continue. As a result, competition for skilled personnel is intense and the turnover rate can be high. We may not be able to attract and retain personnel on acceptable terms, given the competition among numerous regenerative medicine and other healthcare companies, for individuals with similar skill sets. Many of the companies that we compete against for qualified personnel have substantially greater financial and other resources and different risk profiles than we do. They may also provide more diverse opportunities, better chances for career advancement and/or more attractive compensation. Some of these characteristics may be more appealing to high quality candidates than what we can offer. Furthermore, in order to offer attractive compensation, we may need to increase the level of cash compensation that we pay to them, which will reduce funds available for research and development and support of our commercialization and sales growth objectives. There can be no assurance that we will have sufficient cash available to offer our employees and consultants attractive compensation or that we will realize any corresponding benefits from the payment of such compensation. We are also vulnerable to the risk that these individuals may take actions, either within or outside the scope of their duties, that intentionally or unintentionally tarnish our brand and reputation or otherwise adversely affect our business. We also cannot prevent our senior management team from terminating their employment with us. Losing the services of any member of our senior management team could materially harm our business until a suitable replacement is found, and such replacement may not have equal experience and capabilities. In addition, we do not maintain “key person” insurance policies on the lives of any of our management team or other employees. The inability to recruit or a loss of the services of any executive, key employee or consultant may impede the progress of our research, development, commercialization and sales growth objectives, which could have a material adverse effect on our business, financial condition, results of operations and our ability to grow our business.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have recently added a new Chief Financial Officer, Chief Commercial Officer and Chief Medical Officer. These changes, and any other changes to our senior management team we experience in the future, subject us to a number of additional risks, including risks pertaining to the coordination of responsibilities and tasks, the creation of new management systems and processes, differences in management style, effects on corporate culture and the need for transfer of historical knowledge. If our management team does not work together harmoniously, efficiently allocate responsibilities between themselves and implement and abide by effective controls, our operations will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into foreign markets expose us to risks associated with international sales and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Though we have historically focused our market development and commercial activities primarily in the United States, we have obtained marketing registrations, developed commercial and distribution capabilities and are currently selling CanGaroo and our cardiovascular products in several countries outside the United States primarily through independent sales agents. Our international sales subject us to additional risks as compared to those we face in the United States.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sale and shipment of our products across international borders subject us to extensive U.S. and foreign governmental trade, import and export and customs regulations and laws, including but not limited to, the Export Administration Regulations and trade sanctions against embargoed countries, which are administered by the Office of Foreign Assets Control within the Department of the Treasury, or OFAC, as well as the laws and regulations administered by the Department of Commerce. These regulations limit our ability to market, sell, distribute or otherwise transfer our products or technology to prohibited countries or persons.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Compliance with these regulations and laws is costly, and failure to comply with applicable legal and regulatory obligations could adversely affect us in a variety of ways that include, but are not limited to, significant criminal, civil and administrative penalties, including imprisonment of individuals, monetary fines, denial of export privileges, seizure of shipments and restrictions on certain business activities. The failure to comply with applicable legal and regulatory obligations could also result in the disruption of our distribution and sales activities.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spacing w:after="0" w:line="266" w:lineRule="auto"/>
        <w:rPr>
          <w:sz w:val="20"/>
          <w:szCs w:val="20"/>
          <w:color w:val="auto"/>
        </w:rPr>
      </w:pPr>
      <w:r>
        <w:rPr>
          <w:rFonts w:ascii="Times New Roman" w:cs="Times New Roman" w:eastAsia="Times New Roman" w:hAnsi="Times New Roman"/>
          <w:sz w:val="18"/>
          <w:szCs w:val="18"/>
          <w:color w:val="auto"/>
        </w:rPr>
        <w:t>These risks may limit or disrupt our sales and commercialization efforts outside the United States, restrict the movement of funds or result in the deprivation of contractual rights or the taking of property by nationalization or expropriation without fair compensation. Operating in international markets also requires significant management attention and financial support, and, as a result, will divert these resources away from our other operations.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anti-bribery, anti-corruption and anti-money laundering laws, including the U.S. Foreign Corrupt Practices Act, as well as export control laws, customs laws, sanctions laws and other laws governing our operations. If we fail to comply with these laws, we could be subject to civil or criminal penalties, other remedial measures and legal expenses, any of which would adversely affect our business, financial condition and results of operations.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are and, as we increase our international presence and global sales, will increasingly be, exposed to trade and economic sanctions and other restrictions imposed by the United States, the European Union and other governments and organizations. The U.S. Departments of Justice, Commerce, State and Treasury and other federal agencies and authorities have a broad range of civil and criminal penalties they may seek to impose against corporations and individuals for violations of economic sanctions laws, export control laws, the U.S. Foreign Corrupt Practices Act, or the FCPA, and other federal statutes and regulations, including those established by OFAC. In addition, the U.K. Bribery Act of 2010, or the Bribery Act, prohibits both domestic and international bribery, as well as bribery across both private and public sectors. An organization that “fails to prevent bribery” by anyone associated with the organization can be charged under the Bribery Act unless the organization can establish the defense of having implemented “adequate procedures” to prevent bribery. Under these laws and regulations, as well as other anti-corruption laws, anti-money laundering laws, export control laws, customs laws, sanctions laws and other laws governing our operations, various government agencies may require export licenses, may seek to impose modifications to business practices, including cessation of business activities in sanctioned countries or with sanctioned persons or entities and modifications to compliance programs, which may increase compliance costs, and may subject us to fines, penalties and other sanctions. A violation of these laws or regulations would negatively affect our business, financial condition and results of operations.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our international operations increase, we expect to implement policies and procedures designed to ensure compliance by us and our directors, officers, employees, representatives, consultants and agents with the FCPA, OFAC restrictions, the Bribery Act and other export control, anti-corruption, anti-money-laundering and anti-terrorism laws and regulations. We cannot assure you, however, that any such policies and procedures will be sufficient or that directors, 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result in our being held liable for such conduct. Violations of the FCPA, OFAC restrictions, the Bribery Act or other export control, anti-corruption, anti-money laundering and anti-terrorism laws or regulations may result in severe criminal or civil sanctions, and we may be subject to other liabilities, which could have a material adverse effect on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officers, employees, independent contractors, principal investigators, consultants, commercial partners and independent sales agents may engage in misconduct or activities that are improper under other laws and regulations, which would create liability for us.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the risk that our officers, employees, independent contractors (including contract research organizations, or CROs), principal investigators, consultants, commercial partners and independent sales agents may engage in fraudulent conduct or other illegal activity and/or may fail to disclose unauthorized activities to us. Misconduct by these parties could include, but is not limited to, intentional, reckless and/or negligent failures to comply with the laws and regulations of the FDA and its foreign counterparts, including, but not limited to, those relating to the manufacture, processing, packing, holding, investigating or distributing in commerce of medical devices, biological products and/or HCT/Ps, requiring the reporting of true, complete and accurate information to such regulatory bodies (including any safety problems associated with the use of our products), and relating to the conduct of clinical trials and the protection of human research subject.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particular, companies involved in the manufacture of medical products are subject to laws and regulations intended to ensure that medical products that will be used in patients are safe and effective, and specifically that they are not adulterated or contaminated, that they are properly labeled, and have the identity, strength, quality and purity that which they are represented to possess. Further, companies involved in the research and development of medical products are subject to extensive laws and regulations intended to protect research subjects and ensure the integrity of data generated from clinical trials and of the regulatory review process. Any misconduct in any of these areas, whether by our own employees or by contractors, vendors, business associates, consultants or other entities acting as our agents, could result in regulatory sanctions, criminal or civil liability and serious harm to our reputation. It is not always possible to identify and deter misconduct, and the precautions we take to detect and prevent this activity may not be effective in preventing such conduct, mitigating risks, or reducing the chance of governmental investigations or other actions or lawsuits stemming from a failure to comply with these laws or regulations. If any such investigations or other actions or lawsuits are instituted against us, those actions could have a significant impact on our business, financial condition and results of operations, including, without limitation, the imposition of significant fines and other sanctions that may materially impair our ability to run a profitable business. Even if we are successful in defending against the imposition of any such fines or other sanctions, we could be required to incur substantial legal fees and other costs, and management’s attention will be diverted from our core business operations, either of which would negatively affect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certain tax attributes to offset future income tax liabilities may be subject to limitations.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certain net operating losses and other tax attributes, including net operating loss carryforwards (“NOLs”) for federal income tax purposes of approximately $32.1 million and state NOLs of approximately $10.5 million as of December 31, 2019. If not utilized, $17.6 million of our NOLs will begin to expire for federal income tax purposes beginning in 2036, and our state NOLs will expire beginning in 2030. Our ability to utilize our federal NOLs will depend on our future income, and there is a risk that our NOLs could expire unused and be unavailable to offset future income tax liabilities, which could adversely affect our operating results.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our ability to utilize our NOLs may be subject to an annual limitation under the Internal Revenue Code of 1986, as amended, or the Code. In general, under Sections 382 and 383 of the Code, a corporation that undergoes an “ownership change” is subject to limitations on its ability to utilize its pre-change NOLs or tax credits to offset future taxable income. If we undergo an ownership change or have previously undergone an ownership change, our ability to utilize federal NOLs or tax credits could be limited by Sections 382 and 383 of the Code. Additionally, future changes in our stock ownership, many of which are outside of our control, could result in an ownership change under Sections 382 and 383 of the Code. Our state NOLs or credits may also be impaired under state tax law. Accordingly, we may not be able to utilize a material portion of our federal and state NOLs or credits. Our ability to utilize our NOLs or credits is conditioned upon our attaining profitability and generating U.S. federal and state taxable income. Valuation allowances have been provided for all deferred tax assets related to our federal and state NOLs.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other tax attributes, such as interest carryforwards, are also subject to various limits on their use under the Code. We have established valuation allowances for our interest carry forwards to reflect these limitations and their anticipated impact on our ability to utilize these tax attributes following the adoption of the December 2017 tax reform legislation known as H.R. 1, commonly referred to as the Tax Cuts and Jobs Act, or the TCJA, in the United States.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unfavorable resolution of tax contingencies or exposure to additional income tax liabilities could have a material impact on our results of operations or financial condition.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income taxes as well as non-income based taxes in the United States. We may from time to time be subject to tax audits in various jurisdictions. Tax authorities may disagree with certain positions we have taken and assess additional taxes. We regularly assess the likely outcomes of any tax audits to which we are subject in order to determine the appropriateness of our tax provision and have established contingency reserves for material, known tax exposures. However, the calculation of such tax exposures involves the application of complex tax laws and regulations in many jurisdictions, as well as interpretations as to the legality under state aid rules of the European Union of tax advantages granted in certain jurisdictions. Therefore, there can be no assurance that we will accurately predict the outcomes of any tax audits to which we may be subject or that issues raised by tax authorities will be resolved at a financial cost that does not exceed our related reserves and the actual outcomes of any such audit could have a material impact on our results of operations or financial condition.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in tax laws and regulations, or their interpretation and application, in the jurisdictions where we are subject to tax, could materially impact our effective tax rate. For example, changes in tax law implemented by the TCJA became effective in 2018 and 2019, and we expect the U.S. Treasury to continue to issue future notices and regulations under the TCJA. Certain provisions of the TCJA and the regulations issued thereunder could have a significant impact on our future results of operations as could interpretations made by us in the absence of regulatory guidance and judicial interpretations. In addition, in 2018, we established valuation allowances against certain deferred tax assets (including interest carry forwards) to reflect certain limitations on these assets and their anticipated impact on our ability to utilize these tax assets following the adoption of the TCJA. We are continuing to examine the impact of TCJA. As the expected impact of certain aspects of the legislation is unclear and subject to change, we note that the TCJA could adversely affect our business, financial condition and results of operations.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the U.S. Congress, government agencies in jurisdictions outside the United States where we do business and the Organization for Economic Co-operation and Development, or OECD, have recently focused on issues related to the taxation of multinational corporations. One example is in the area of “base erosion and profit shifting,” where profits are claimed to be earned for tax purposes in low-tax jurisdictions, or payments are made between affiliates from a jurisdiction with high tax rates to a jurisdiction with lower tax rates. The OECD has released several components of its comprehensive plan to create an agreed set of international rules for fighting base erosion and profit shifting. As a result, the tax laws in the United States and other countries, in which we do business, could change on a prospective or retroactive basis and any such changes could materially adversely affect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conduct clinical studies designed to generate long-term data on some of our existing products, the data we generate may not be consistent with our existing data and may demonstrate less favorable safety or efficacy.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currently collecting and plan to continue collecting long-term clinical data regarding the quality, safety and effectiveness of some of our existing products. The clinical data collected and generated as part of these studies will further strengthen our clinical evaluation concerning safety and performance of these products. We believe that this additional data will help with the marketing of our products by providing surgeons and physicians with additional confidence in their long-term safety and efficacy. If the results of these clinical studies are negative, these results could reduce demand for our products and significantly reduce our ability to achieve expected net sales. We do not expect to undertake such studies for all of our products and will only do so in the future where we anticipate the benefits will outweigh the costs and risks. For these reasons, surgeons and physicians could be less likely to purchase our products than competing products for which longer-term clinical data are available. Also, we may not choose or be able to generate the comparative data that some of our competitors have or are generating and we may be subject to greater regulatory and product liability risks. If we are unable to or determined not to collect sufficient long-term clinical data supporting the quality, safety and effectiveness of our existing products, our business, financial condition and results of operations could be adversely affected.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and sales growth may prove to be inaccurate, and even if the markets in which we compete achieve the forecasted growth, our business could fail to grow at similar rates, if at all.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Market opportunity estimates and growth forecasts are inherently uncertain. Our estimates of the annual total addressable markets for our products are based on a number of internal and third-party estimates and assumptions, including, without limitation, the number of implantable electronic device procedures and orthopedic/spinal repair procedures, as well as the number of procedures using biologic products annually in the United States.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any of our products may prove to be incorrect. If the actual number of procedures, the price at which we are able to sell any of our products, or the annual total addressable market is smaller than we have estimated, it may impair our sales growth and have an adverse impact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and clearance processes of the FDA and comparable foreign authorities are lengthy, time consuming and inherently unpredictable, and if we are ultimately unable to obtain regulatory approval or other marketing authorizations for our products and product candidates, our business will be substantially harmed.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medical device and biologics industries are regulated extensively by governmental authorities, principally the FDA, the E.U. legislative bodies, and corresponding state and foreign regulatory agencies and authorities. The time required to obtain approval, clearance, certification of conformity or other marketing authorizations from the FDA, European Union Notified Bodies, and comparable foreign authorities is unpredictable but can often take many years following the commencement of clinical trials and depends upon numerous factors, including the substantial discretion of the regulatory authorities. In addition, policies, regulations, or the type and amount of clinical data necessary to gain clearance or approval may change during the course of a product candidate’s clinical development and may vary among jurisdictions.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Before we can market or sell a new medical device or a new use of or a claim for or significant modification to an existing medical device in the United States, we must obtain either clearance from the FDA under Section 510(k) of the Federal Food, Drug, and Cosmetic Act, or FDCA, or approval of an application for premarket approval, or PMA, unless an exemption applies. In the United States, we have obtained 510(k) premarket clearance from the FDA to market products such as our CanGaroo, VasCure, ProxiCor and Tyke products. In the 510(k) premarket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a finding of substantial equivalence. Under certain conditions, a medical device is required to be approved under a PMA before it may be legally marketed. The PMA pathway requires an applicant to demonstrate the safety and effectiveness of the device based, in part, on extensive data, including, but not limited to, technical, nonclinical, clinical trial, manufacturing and labeling data. The PMA process is typically required for devices that are deemed to pose the greatest risk, such as life-sustaining, life-supporting or implantable devices. However, some devices are automatically subject to the PMA pathway regardless of the level of risk they pose because they have not previously been classified into a lower risk class by the FDA. Manufacturers of these devices may request that FDA review such devices in accordance with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procedure, which allows a manufacturer whose novel device would otherwise require the submission and approval of a PMA prior to marketing to request down-classification of the device on the basis that the device presents low or moderate risk. If the FDA agrees with the down classification based on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submission, the FDA will authorize the device for marketing. This device type can then be used as a predicate device for future 510(k) submissions.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process of obtaining regulatory clearances or approvals, or completing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process, to market a medical device can be costly and time consuming, and we may not be able to successfully obtain pre-market reviews on a timely basis, if at all. If the FDA requires us to go through a lengthier, more rigorous examination for our products than we expect, our product introductions or modifications could be delayed or canceled, which could cause our sales to decline. Further, even where a PMA is not required, we cannot assure you that we will be able to obtain 510(k) clearances with respect to such product candidates or modifications to previously cleared products.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ind w:right="20"/>
        <w:spacing w:after="0" w:line="282" w:lineRule="auto"/>
        <w:rPr>
          <w:sz w:val="20"/>
          <w:szCs w:val="20"/>
          <w:color w:val="auto"/>
        </w:rPr>
      </w:pPr>
      <w:r>
        <w:rPr>
          <w:rFonts w:ascii="Times New Roman" w:cs="Times New Roman" w:eastAsia="Times New Roman" w:hAnsi="Times New Roman"/>
          <w:sz w:val="18"/>
          <w:szCs w:val="18"/>
          <w:color w:val="auto"/>
        </w:rPr>
        <w:t>The FDA or any foreign regulatory bodies can delay, limit or deny approval or clearance of our product candidates or require us to conduct additional nonclinical or clinical testing or abandon a program for many reasons, including:</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foreign regulatory agency’s disagreement with the design or implementation of our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trials or results that may not meet the level of statistical significance required by the FDA or comparable foreign regulatory agencies for approval;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 or device-related side effects experienced by participants in our clinical trials or by individuals using devices similar to our products or natural product candidates;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foreign regulatory body that our product candidates are safe and effective for their intended uses, or in the case of the 510(k) clearance process, that our product candidate is substantially equivalent to a predicate device;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or the applicable foreign regulatory agency’s disagreement with the interpretation of data from pre-clinical studies or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the clinical and other benefits of our product candidates outweigh any safety or other perceived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or the applicable foreign regulatory agency’s requirement for additional pre-clinical studies or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or the applicable foreign regulatory agency’s disagreement regarding the formulation, labeling or the specifications of our products or future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or the applicable foreign regulatory agency’s failure to approve the manufacturing processes or facilities of third-party manufacturers with which we contract;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or clearance policies or regulations of the FDA or the applicable foreign regulatory agencies to significantly change in a manner rendering our clinical data insufficient for approval.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the large number of products in development, only a small percentage successfully complete the FDA or foreign regulatory approval processes and are commercialized. The lengthy approval or marketing authorization process, as well as the unpredictability of future clinical trial results, may result in our failing to obtain regulatory clearance, approval or other marketing authorization to market our product candidates, which would significantly harm our business, financial condition and results of operations.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we eventually complete clinical testing and receive approval or clearance of an FDA or foreign marketing application for our product candidates, the FDA or the applicable foreign regulatory agency may grant clearance, approval or other marketing authorization contingent on the performance of costly additional clinical trials, including post-market clinical trials. The FDA or the applicable foreign regulatory agency also may clear, approve or authorize for marketing a product candidate for a more limited indication or patient population than we originally requested, and the FDA or applicable foreign regulatory agency may not approve or authorize the labeling that we believe is necessary or desirable for the successful commercialization of a product candidate. Any delay in obtaining, or inability to obtain, applicable regulatory clearance, approval or other marketing authorization would delay or prevent commercialization of that product candidate and would materially adversely impact our business and prospects.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marketed products are subject to Medical Device Reporting, or MDR, obligations, which require that we report to the FDA or the Competent Authorities of the European Union, any incident in which our products may have caused or contributed to a death or serious injury, or in which our products malfunctioned and, if the malfunction were to recur, it could likely cause or contribute to a death or serious injury. The timing of our obligation to report under the MDR regulations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our product. If we fail to comply with our reporting obligations, the FDA, or the Competent Authorities of the European Union, could take action, including warning letters, untitled letters, administrative actions, criminal prosecution, imposition of civil monetary penalties, revocation of our device clearance or approval, seizure of our products or delay in clearance or approval of future products.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spacing w:after="0" w:line="256" w:lineRule="auto"/>
        <w:rPr>
          <w:sz w:val="20"/>
          <w:szCs w:val="20"/>
          <w:color w:val="auto"/>
        </w:rPr>
      </w:pPr>
      <w:r>
        <w:rPr>
          <w:rFonts w:ascii="Times New Roman" w:cs="Times New Roman" w:eastAsia="Times New Roman" w:hAnsi="Times New Roman"/>
          <w:sz w:val="18"/>
          <w:szCs w:val="18"/>
          <w:color w:val="auto"/>
        </w:rPr>
        <w:t>The FDA, the Competent Authorities of the European Union,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Depending on the corrective action we take to redress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medical device products may require new 510(k) clearances or other marketing authorizations, and if we make modifications to such products without obtaining requisite marketing authorization, we may be required to cease marketing or recall the modified products until clearances or other marketing authorizations are obtained.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modification to a cleared or approved medical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may make modifications or add features to any of our product candidates that are cleared under the 510(k) clearance process in the future that we believe do not require a new 510(k) clearance or approval of a PMA. If the FDA disagrees with our determination and requires us to submit new 510(k) notifications or PMA applications for modifications to our products for which we have concluded that new clearances or approvals are unnecessary, we may be required to cease marketing or to recall the modified product until we obtain clearance or approval, and we may be subject to significant regulatory fines or penalties. In addition, the FDA may not approve or clear our products for the indications that are necessary or desirable for successful commercialization or could require clinical trials to support any modifications. Any delay or failure in obtaining required clearances or approvals for such changes would adversely affect our ability to introduce new or enhanced products in a timely manner, which in turn would harm our future growth. Any of these actions would harm our operating results.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currently marketed products have been cleared by the FDA for specific indications. For example, our SimpliDerm product has been labeled for use to repair or replace damaged or inadequate integumental tissue and our CanGaroo envelope is intended to securely hold an implantable electronic device to create a stable environment when implanted in the body. We train our marketing personnel and direct sales force to not promote our devices for uses outside of the FDA-approved indications for use, known as “off-label uses.” We cannot, however, prevent a physician from using our products off-label, when in the physician’s independent professional medical judgment, he or she deems it appropriate. There may be increased risk of injury to patients if physicians attempt to use our products off-label. Furthermore, the use of our products for indications other than those authorized by the FDA or by any foreign regulatory body may not effectively treat such conditions, which could harm our reputation in the marketplace among physicians and patients.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FDA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As described above, product liability claims could divert management’s attention from our core business, harm our reputation, be expensive to defend and result in sizeable damage awards against us that may not be covered by insurance.</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post-marketing regulatory requirements could subject us to enforcement actions, including substantial penalties, and might require us to recall or withdraw a product from the market.</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ongoing and pervasive regulatory requirements governing, among other things, the manufacture, marketing, advertising, medical device reporting, sale, promotion, import, export, registration and listing of devices. For example, we must submit periodic reports to the FDA as a condition of receiving 510(k) clearances and other marketing authorizations. These reports include information about failures and certain adverse events associated with the device after its clearance. Failure to submit such reports, or failure to submit the reports in a timely manner, could result in enforcement action by the FDA. Following its review of the periodic reports, the FDA might ask for additional information or initiate further investigation.</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become more stringent over time. Regulatory changes could result in restrictions on our ability to continue or expand our operations, and higher than anticipated costs or lower than anticipated sales. Even after we have obtained the proper regulatory clearance to market a device,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which may include any of the following sanctions:</w:t>
      </w:r>
    </w:p>
    <w:p>
      <w:pPr>
        <w:spacing w:after="0" w:line="10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or warning letters;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injunctions, consent decrees and civil penalties;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termination of distribution, administrative detention or seizure of our products;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4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refusal to grant our requests for future clearances or approvals or foreign marketing authorizations of new products, new intended uses or modifications to existing products;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or suspensions of our current 510(k) clearances, resulting in prohibitions on sales of our products;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refusal to issue certificates to foreign governments needed to export products for sale in other countries;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sanctions could result in higher than anticipated costs or lower than anticipated sales and have a material adverse effect on our reputation, business, financial condition and results of operations.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the FDA may change its clearance policies, adopt additional regulations or revise existing regulations, or take other actions, which may prevent or delay clearance or approval of our future products under development or impact our ability to modify our currently cleared products on a timely basis. Such policy or regulatory changes could impose additional requirements upon us that could delay our ability to obtain new clearances or approvals, increase the costs of compliance or restrict our ability to maintain our clearances of our current products. 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November 2018, FDA officials announced steps that the FDA intends to take to modernize the premarket notification pathway under Section 510(k) of the FDCA.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 recently, in September 2019, the FDA finalized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is developing a list of device types appropriate for the “safety and performance based” pathway and will continue to develop product-specific guidance documents that identify the performance criteria for each such device type, as well as the testing methods recommended in the guidance documents, where feasible. 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8" w:name="page59"/>
    <w:bookmarkEnd w:id="58"/>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clearance or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regulatory clearance or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HCT/P products are subject to extensive government regulation, and our failure to comply with these requirements could cause our business to suffer.</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we sell human tissue-derived bone allografts, such as ViBone, FiberCel and OsteGro V, which are referred to by the FDA as HCT/Ps. Certain HCT/Ps are regulated by the FDA solely under Section 361 of the Public Health Service Act, or PHSA, and are referred to as “Section 361 HCT/Ps,” while other HCT/Ps are subject to FDA’s regulatory requirements applicable to medical devices or biologics. Section 361 HCT/Ps do not require 510(k) clearance, PMA approval, biologics license application, or BLA, or other premarket authorization from FDA before marketing. We believe our HCT/Ps are regulated solely under Section 361 of the PHSA and, therefore, we have not sought or obtained 510(k) clearance, PMA approval, or licensure through a BLA. The FDA could disagree with our determination that our human tissue products are Section 361 HCT/Ps and could determine that these products are biologics requiring a BLA or medical devices requiring 510(k) clearance or PMA approval, and could require that we cease marketing such products and/or recall them pending appropriate clearance, approval or license from the FDA. For example, in public comments, the FDA has suggested that the use of human-derived acellular dermal matrices, such as SimpliDerm, may not be considered HCT/Ps when utilized in breast reconstruction procedures. As a result, we may be required to conduct clinical studies and/or seek approval of a PMA before we are able to market SimpliDerm for use in breast reconstruction.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though we believe that our HCT/Ps are not subject to premarket approval or review, HCT/Ps are subject to donor eligibility and screening, Good Tissue Practices, product labeling and post-market reporting requirements. If we or our suppliers fail to comply with these requirements, we could be subject to FDA enforcement action, including, for example, warning letters, fines, injunctions, product recalls or seizures and, in the most serious cases, criminal penalties.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clinical trial process is lengthy and expensive with uncertain outcomes. We have limited data and experience regarding the safety and efficacy of our products. Results of earlier studies may not be predictive of future clinical trial results, or the safety or efficacy profile for such products.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testing is difficult to design and implement, can take many years, can be expensive and carries uncertain outcomes. The long-term effects of using our products in a large number of patients have not been studied, and the results of short-term clinical use of such products do not necessarily predict long-term clinical benefits or reveal long-term adverse effects.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may require us, to conduct additional clinical and non-clinical testing in addition to those we have planned.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spacing w:after="0" w:line="266" w:lineRule="auto"/>
        <w:rPr>
          <w:sz w:val="20"/>
          <w:szCs w:val="20"/>
          <w:color w:val="auto"/>
        </w:rPr>
      </w:pPr>
      <w:r>
        <w:rPr>
          <w:rFonts w:ascii="Times New Roman" w:cs="Times New Roman" w:eastAsia="Times New Roman" w:hAnsi="Times New Roman"/>
          <w:sz w:val="18"/>
          <w:szCs w:val="18"/>
          <w:color w:val="auto"/>
        </w:rPr>
        <w:t>The initiation and completion of any of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w:t>
      </w:r>
    </w:p>
    <w:p>
      <w:pPr>
        <w:spacing w:after="0" w:line="95" w:lineRule="exact"/>
        <w:rPr>
          <w:sz w:val="20"/>
          <w:szCs w:val="20"/>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submit an investigational device exemption, or IDE, application to the FDA, which must become effective prior to commencing certain human clinical trials of medical devices, and the FDA may reject our IDE application and notify us that we may not begin clinical trials;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and other comparable foreign regulatory authorities may disagree as to the design or implementation of our clinical trials;</w:t>
      </w:r>
    </w:p>
    <w:p>
      <w:pPr>
        <w:spacing w:after="0" w:line="14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and/or IRBs, or other reviewing bodies may not authorize us or our investigators to commence a clinical trial or to conduct or continue a clinical trial at a prospective or specific trial site;</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reach agreement on acceptable terms with prospective CROs and clinical trial sites, the terms of which can be subject to extensive negotiation and may vary significantly among different CROs and trial sites;</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may produce negative or inconclusive results, and we may decide, or regulators may require us, to conduct additional clinical trials or abandon product development programs;</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9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those manufacturing products or conducting clinical trials on our behalf, may fail to comply with regulatory requirements or meet their contractual obligations to us in a timely manner or at all;</w:t>
      </w:r>
    </w:p>
    <w:p>
      <w:pPr>
        <w:spacing w:after="0" w:line="8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have to suspend or terminate clinical trials for various reasons, including a finding that the subjects are being exposed to unacceptable health risks;</w:t>
      </w:r>
    </w:p>
    <w:p>
      <w:pPr>
        <w:spacing w:after="0" w:line="8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amend clinical trial protocols or conduct additional studies to reflect changes in regulatory requirements or guidance, which we may be required to submit to an IRB and/or regulatory authorities for re-examination;</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other parties may require or recommend that we or our investigators suspend or terminate clinical research for various reasons, including safety signals or noncompliance with regulatory requirements;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may be greater than we anticipate;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may not adhere to the clinical protocol or may drop out of a clinical trial;</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recruit a sufficient number of clinical trial sites;</w:t>
      </w:r>
    </w:p>
    <w:p>
      <w:pPr>
        <w:spacing w:after="0" w:line="14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w:t>
      </w:r>
    </w:p>
    <w:p>
      <w:pPr>
        <w:spacing w:after="0" w:line="9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policies or regulations of the FDA, the European Union or applicable foreign regulatory agencies may change in a manner rendering our clinical data insufficient for approval; and</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may have undesirable side effects or other unexpected characteristics.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disruptions caused by the COVID-19 pandemic may increase the likelihood that we encounter such difficulties or delays in initiating, enrolling, conducting or completing our planned and ongoing clinical trials.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approved for the indications we are investigating. For example, patients may be discouraged from enrolling in our clinical trials if the trial protocol requires them to undergo extensive post-treatment procedures or follow-up to assess the safety and efficacy of a product candidate, or they may be persuaded to participate in contemporaneous clinical trials of a competitor’s product candidate. In addition, patients participating in our clinical trials may drop out before completion of the trial or experience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0" w:name="page61"/>
    <w:bookmarkEnd w:id="60"/>
    <w:p>
      <w:pPr>
        <w:jc w:val="both"/>
        <w:spacing w:after="0" w:line="261" w:lineRule="auto"/>
        <w:rPr>
          <w:sz w:val="20"/>
          <w:szCs w:val="20"/>
          <w:color w:val="auto"/>
        </w:rPr>
      </w:pPr>
      <w:r>
        <w:rPr>
          <w:rFonts w:ascii="Times New Roman" w:cs="Times New Roman" w:eastAsia="Times New Roman" w:hAnsi="Times New Roman"/>
          <w:sz w:val="18"/>
          <w:szCs w:val="18"/>
          <w:color w:val="auto"/>
        </w:rPr>
        <w:t>Even if our future products are cleared or approved in the United States, commercialization of our products in foreign countries would require clearance or approval by regulatory authorities in those countries. Clearance or approval procedures vary among jurisdictions and can involve requirements and administrative review periods different from, and greater than, those in the United States, including additional pre-clinical studies or clinical trials. Any of these occurrences could have an adverse effect on our business, financial condition and results of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ability of the FDA to review and clear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medical devices and biologics or modifications to cleared or for approved medical devices and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Separately, in response to the COVID-19 pandemic, on March 10, 2020, the FDA announced its intention to postpone most foreign inspections of manufacturing facilities and products,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the European Union or other regulatory authorities from conducting their regular inspections, reviews, or other regulatory activities, it could significantly impact the ability of the FDA, the European Union or other regulatory authorities to timely review and process our regulatory submissions, which could have a material adverse effect on our business.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federal, state and foreign fraud and abuse laws, health information privacy and security laws and physician payment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numerous U.S. federal and state, as well as foreign, laws pertaining to healthcare fraud and abuse, including anti-kickback, false claims and physician transparency laws. Our business practices and relationships with providers and hospitals are subject to scrutiny under these laws. We may also be subject to patient information privacy and security regulation by both the federal government and the states and foreign jurisdictions in which we conduct our business. The healthcare laws and regulations that may affect our ability to operate include:</w:t>
      </w:r>
    </w:p>
    <w:p>
      <w:pPr>
        <w:spacing w:after="0" w:line="180" w:lineRule="exact"/>
        <w:rPr>
          <w:sz w:val="20"/>
          <w:szCs w:val="20"/>
          <w:color w:val="auto"/>
        </w:rPr>
      </w:pPr>
    </w:p>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A person or entity does not need to have actual knowledge of the statute or specific intent to violate it to have committed a violation;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federal civil False Claims Act, which prohibit, among other things, individuals or entities from knowingly presenting, or causing to be presented, claims for payment from Medicare, Medicaid or other federal healthcare programs that are false or fraudulent. Moreover, the government may assert that a claim including items or services resulting from a violation of the federal Anti-Kickback Statute constitutes a false or fraudulent claim for purposes of the federal civil False Claims Act. Private individuals can bring False Claims Act “qui tam” actions, on behalf of the government and such individuals, commonly known as “whistleblowers,” may share in amounts paid by the entity to the government in fines or settlement. When an entity is determined to have violated the federal civil False Claims Act, the government may impose civil penalties, including treble damages, and exclude the entity from participation in Medicare, Medicaid and other federal healthcare programs;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or HIPAA, which created additional federal criminal statutes that prohibit,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Act, which requires certain manufacturers of drugs, devices, biologics and medical supplies for which payment is available under Medicare, Medicaid or the Children’s Health Insurance Program, or CHIP, to report annually to CMS, information related to payments and other transfers of value to physicians, which is defined broadly to include doctors, dentists, optometrists, podiatrists and chiropractors, and teaching hospitals, and applicable manufacturers and group purchasing organizations, to report annually ownership and investment interests held by such physicians and their immediate family members. Manufacturers are required to submit annual reports to CMS and failure to do so may result in civil monetary penalties for all payments, transfers of value or ownership or investment interests not reported in an annual submission, and may result in liability under other federal laws or regulations. Effective January 1, 2022, these reporting obligations will extend to include payments and transfers of value made to certain nonphysician providers such as physician assistants and nurse practitioners;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 equivalents of each of the above federal laws, such as anti-kickback and false claims laws, which may apply to items or services reimbursed by any third-party payor, including commercial insurers or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state laws related to insurance fraud in the case of claims involving private insurers.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laws and regulations, among other things, constrain our business, marketing and other promotional activities by limiting the kinds of financial arrangements we may have with hospitals, physicians or other potential purchasers of our products, as well as independent sales agents and distributors.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Additionally, as a result of these investigations, healthcare providers and entities may have to agree to additional compliance and reporting requirements as part of a consent decree or corporate integrity agreement. Any such investigation or settlement could increase our costs or otherwise have an adverse effect on our business. Even an unsuccessful challenge or investigation into our practices could cause adverse publicity, and be costly to respond to. If our operations are found to be in violation of any of the healthcare laws or regulations described above or any other healthcare regulations that apply to us, we may be subject to penalties, including administrative, civil and criminal penalties, damages, fines, exclusion from participation in government healthcare programs, such as Medicare and Medicaid, imprisonment, contractual damages, reputational harm, disgorgement and the curtailment or restructuring of our operations.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members of our management and companies with which they are affiliated or have been affiliated with in the past, have been, and may in the future be, involved in investigations, prosecutions, convictions or settlements in the healthcare industry. For example, Kevin Rakin, the chairman of our board of directors, was named as a defendant in United States ex rel. Webb v. Advanced BioHealing, Inc., or ABH, a whistleblower suit relating to sales methods employed by sales representatives of ABH, a biotechnology company for which Mr. Rakin served as its chief executive officer. All claims in the lawsuit were dismissed with prejudice pursuant to a settlement agreement, in which Mr. Rakin expressly denied that he engaged in any wrongful conduct, and Mr. Rakin agreed to pay to the United States $2.5 million. Any investigations, prosecutions, convictions or settlements involving members of our management and companies with which they are or have been affiliated may be detrimental to our reputation and could negatively affect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policy changes, including recently enacted legislation reforming the U.S. healthcare system, could harm our cash flows,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2010, the Affordable Care Act, or ACA, was enacted in the United States, which made a number of substantial changes in the way healthcare is financed by both governmental and private insurers. Among other ways in which it may impact our business, the ACA established a new Patient-Centered Outcomes Research Institute to oversee and identify priorities in comparative clinical effectiveness research in an effort to coordinate and develop such research, implemented payment system reforms, including a national pilot program on payment bundling to encourage hospitals, physicians and other providers to improve the coordination, quality and efficiency of certain healthcare services through bundled payment models, and expanded the eligibility criteria for Medicaid programs.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spacing w:after="0" w:line="253" w:lineRule="auto"/>
        <w:rPr>
          <w:sz w:val="20"/>
          <w:szCs w:val="20"/>
          <w:color w:val="auto"/>
        </w:rPr>
      </w:pPr>
      <w:r>
        <w:rPr>
          <w:rFonts w:ascii="Times New Roman" w:cs="Times New Roman" w:eastAsia="Times New Roman" w:hAnsi="Times New Roman"/>
          <w:sz w:val="18"/>
          <w:szCs w:val="18"/>
          <w:color w:val="auto"/>
        </w:rPr>
        <w:t>Since its enactment, there have been judicial, U.S. Congressional and executive branch challenges to certain aspects of the ACA, and we expect there will be additional challenges and amendments to the ACA in the future. For example, the TCJA was enacted, which includes a provision repealing, effective January 1, 2019,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On December 18, 2019, the U.S. Court of Appeals for the 5th Circuit affirmed the District Court’s decision that the individual mandate was unconstitutional but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 In addition, there may be other efforts to challenge, repeal or replace the ACA. We are continuing to monitor any changes to the ACA that, in turn, may potentially impact our business in the future.</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was to remain in effect through 2029. The CARES Act, which was signed into law on March 27, 2020, temporarily suspended these reductions from May 1, 2020 through December 31, 2020, and extended the sequester by one additional year, through 2030. In addition,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additional state and federal healthcare reform measures to be adopted in the future, any of which could limit reimbursement for healthcare products and services, which could result in reduced demand for our products or additional pricing pressure.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data protection laws and regulations could lead to government enforcement actions (which could include civil or criminal penalties), private litigation and/or adverse publicity and could negatively affect our operating results and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and our commercial partners, independent sales agents, suppliers and other business partners may be subject to federal, state and foreign data protection laws and regulations (i.e., laws and regulations that address data privacy and security). In the United States, numerous federal and state laws and regulations, including state data breach notification laws, state health information privacy laws, and federal and state consumer protection laws and regulations (e.g., Section 5 of the FTC Act), that govern the collection, use, disclosure and protection of health-related and other personal information could apply to our operations or the operations of our partners. We may also be subject to U.S. federal rules, regulations and guidance concerning data security for medical devices, including guidance from the FDA. In addition, we may obtain health information from third parties (including research institutions from which we obtain clinical trial data) that are subject to privacy and security requirements under HIPAA.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California Consumer Privacy Act, or CCPA, became effective on January 1, 2020.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 out of certain sales of personal information. The CCPA provides for civil penalties for violations, as well as a private right of action for data breaches that is expected to increase data breach litigation. Although there are limited exemptions for certain health-related information, including certain clinical trial data, the CCPA may increase our compliance costs and potential liability. Additionally, a new California ballot initiative, the California Privacy Rights Act, appears to have garnered enough signatures to be included on the November 2020 ballot, and if voted into law by California residents, would impose additional data protection obligations on companies doing business in California, including additional consumer rights processes and opt outs for certain uses of sensitive data. It would also create a new California data protection agency specifically tasked to enforce the law, which would likely result in increased regulatory scrutiny of California businesses in the areas of data protection and security. Similar laws have been proposed in other states and at the federal level, and if passed, such laws may have potentially conflicting requirements that would make compliance challenging.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spacing w:after="0" w:line="252" w:lineRule="auto"/>
        <w:rPr>
          <w:sz w:val="20"/>
          <w:szCs w:val="20"/>
          <w:color w:val="auto"/>
        </w:rPr>
      </w:pPr>
      <w:r>
        <w:rPr>
          <w:rFonts w:ascii="Times New Roman" w:cs="Times New Roman" w:eastAsia="Times New Roman" w:hAnsi="Times New Roman"/>
          <w:sz w:val="18"/>
          <w:szCs w:val="18"/>
          <w:color w:val="auto"/>
        </w:rPr>
        <w:t>Foreign data protection laws, including the E.U. General Data Protection Regulation, or the GDPR, which became effective in May 2018, may also apply to health-related and other personal information obtained outside of the United States. The GDPR imposes stringent data protection requirements for the processing of personal data in the European Economic Area, or EEA. The GDPR imposes several stringent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and secondary use of information (including for research purposes), increased requirements pertaining to health data and pseudonymised (i.e., key-coded) data and additional obligations when we contract third party processors in connection with the processing of the personal data. The GDPR also imposes strict rules on the transfer of personal data out of the EEA, to the United States and other third countries. Recent legal developments in Europe have created complexity and uncertainty regarding transfers of personal data from the EEA to the United States, e.g. on July 16, 2020, the Court of Justice of the European Union, or the CJEU, invalidated the E.U.-U.S. Privacy Shield Framework, or the Privacy Shield, under which personal data could be transferred from the EEA to U.S. entities who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European data protection law provides that E.U. and EEA member states may make their own further laws and regulations limiting the processing of health-related data, which could limit our ability to use and share personal data or could cause our costs to increase, and harm our business and financial condition. Failure to comply with the requirements of GDPR and the applicable national data protection and marketing laws may result in fines of up to €20,000,000 or up to 4% of the total worldwide annual turnover of the preceding financial year, whichever is higher, and other administrative penalties as well as individual claims for compensation.</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United Kingdom leaving the European Union could also lead to further legislative and regulatory changes. It remains unclear how the United Kingdom data protection laws or regulations will develop in the medium to longer term and how data transfer to the United Kingdom from the European Union and the EEA will be regulated, especially following the United Kingdom’s departure from the European Union on January 31, 2020. However, the United Kingdom has transposed the GDPR into domestic law with the Data Protection Act 2018, which remains in force following the United Kingdom’s departure from the European Union. 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ability, or the ability of our commercial partners, independent sales agents, suppliers or other business partners, to operate in certain jurisdictions. Each of these constantly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have a material and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adequately protect our intellectual property rights, our competitive position could be harmed or we could be required to incur significant expenses to enforce or defend our rights.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our success in obtaining and maintaining issued patents, trademarks and other intellectual property rights in the United States and elsewhere and protecting our proprietary technology. If we do not adequately protect our intellectual property and proprietary technology, competitors may be able to use our technologies or the goodwill we have acquired in the marketplace and erode or negate any competitive advantage we may have, which could harm our business and ability to achieve profitability.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intellectual property rights depend on licensing agreements with third parties, and our patent coverage includes protection provided by licensed patents. If in the future we no longer have rights to one or more of these licensed patents, our patent coverage may be compromised, which in turn could adversely affect our ability to protect our products and defend against competitors.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sought to protect our proprietary position by filing patent applications in the United States and abroad related to our products that we view as important to our business. This process is expensive and time-consuming, and we may not be able to file and prosecute all necessary or desirable patent applications at a reasonable cost or in a timely manner. In addition, we cannot provide any assurances that any of our patents have, or that any of our pending patent applications that mature into issued patents will include, claims with a scope sufficient to protect our existing products, any enhancements we may develop to our existing products or any new products we may develop or acquire and introduce in the future. We, or our licensors, may fail to identify patentable aspects of inventions made in the course of development and commercialization activities before it is too late to obtain patent protection on them. Therefore, we may miss potential opportunities to strengthen our patent position. Other parties may have developed technologies that may be related or competitive to our system, may have filed or may file patent applications and may have received or may receive patents that overlap or conflict with our patent applications, either by claiming the same methods or devices or by claiming subject matter that could dominate our patent position.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spacing w:after="0" w:line="254" w:lineRule="auto"/>
        <w:rPr>
          <w:sz w:val="20"/>
          <w:szCs w:val="20"/>
          <w:color w:val="auto"/>
        </w:rPr>
      </w:pPr>
      <w:r>
        <w:rPr>
          <w:rFonts w:ascii="Times New Roman" w:cs="Times New Roman" w:eastAsia="Times New Roman" w:hAnsi="Times New Roman"/>
          <w:sz w:val="18"/>
          <w:szCs w:val="18"/>
          <w:color w:val="auto"/>
        </w:rPr>
        <w:t>The patent positions of regenerative medicine companies, including our patent position, may involve complex legal, scientific and factual questions, and, therefore, the scope, validity, ownership and enforceability of any patent claims that we may obtain cannot be predicted with certainty. Patents, if issued, may be challenged, deemed unenforceable, narrowed, invalidated or circumvented. Proceedings challenging our patents could result in either loss of the patent or denial of the patent application or loss or reduction in the scope of one or more of the claims of the patent or patent application. In addition, such proceedings may be costly. Thus, any patents that we currently own or may own may not provide any protection against competitors. Furthermore, an adverse decision in an interference proceeding can result in a third party receiving the patent right sought by us, which in turn could affect our ability to commercialize our products. In recent years, patent rights have been the subject of significant litigation. Changes in either the patent laws or interpretation of the patent laws in the United States and other countries may diminish the value of our owned or licensed patents or narrow the scope of our patent protection.</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Though an issued patent is presumed valid and enforceable, its issuance is not conclusive as to its inventorship, scope, validity or enforceability, and it may not provide us with adequate proprietary protection or competitive advantages against competitors with similar products. Competitors could attempt to replicate some or all of the competitive advantages we derive from our development efforts, willfully infringe, misappropriate or otherwise violate our intellectual property rights, design around our patents or develop and obtain patent protection for more effective technologies, designs or methods.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CanGaroo and SimpliDerm are the only current products covered by issued patents. We rely on unpatented trade secrets and know-how for several of our current products to develop and maintain our competitive position. However, trade secrets and know-how can be difficult to protect and enforce against third parties. Accordingly, we cannot be certain that these intellectual property rights will provide us with adequate protection or enable us to prevent third parties from developing or commercializing competitive products.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 unable to prevent the unauthorized disclosure or use of our technical knowledge or trade secrets by consultants, suppliers, vendors, current and former employees, distributors, commercial partners or independent sales agents. The laws of some foreign countries do not protect our proprietary rights to the same extent as the laws of the United States, and we may encounter significant problems in protecting our proprietary rights in these countries.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enforce our patent rights depends on our ability to detect infringement. It may be difficult to detect infringers who do not advertise the components that are used in their products. Moreover, it may be difficult or impossible to obtain evidence of infringement in a competitor’s or potential competitor’s product. We may not prevail in any lawsuits that we initiate and the damages or other remedies awarded, if we were to prevail, may not be commercially meaningful.</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which could limit our ability to stop or prevent us from stopping others from using or commercializing similar or identical technology and products, or limit the duration of the patent protection of our technology and products. Such proceedings could provoke third parties to assert claims against us, including that some or all of the claims in one or more of our patents are invalid or otherwise unenforceable. If any of the patents covering our products are narrowed, invalidated or found unenforceable, or if a court found that valid, enforceable patents held by third parties covered one or more of our products, our competitive position could be harmed or we could be required to incur significant expenses to enforce or defend our rights.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22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or any of our pending patent applications, if issued, will include claims having a scope sufficient to protect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our products on a substantial scale, if approved, before the relevant patents we currently have, or may have, expire;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conceive and reduce to practice the inventions covered by each of our patents and pending patent applications;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misappropriate or otherwise violate our owned or licensed patents and other intellectual property rights;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will ultimately be found to be valid and enforceable;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our patents or patent applications will not be challenged by third parties;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will not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products that are separately patentable;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misappropriate or otherwise violate the patents and other intellectual property rights of others.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any of these events occur, they could have a material and adverse effect on our business, financial condition and results of operations.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enter into invention assignment and confidentiality agreements with all of our employees and contractors and such agreements could be ineffective or breached.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in part, upon unpatented trade secrets, unpatented know-how and continuing technological innovation to develop and maintain our competitive position, which we seek to protect, in part, by confidentiality agreements with our employees, consultants, independent sales agents, collaborators and third-party vendors. We also seek to enter agreements with our employees and consultants that obligate them to assign any inventions created during their work for us to us and have non-compete agreements with some, but not all, of our consultants. However, we may not obtain these agreements in all circumstances and the assignment of intellectual property under such agreements may not be self-executing. If the employees, consultants or collaborators that are parties to these agreements breach or violate their respective terms, we may not have adequate remedies for any such breach or violation.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 Any of the foregoing could have a material and adverse effect on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patent protection we obtain for our products may not be sufficient enough to provide us with any competitive advantage or our patents may be challenged.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owned and licensed patents and pending patent applications, if issued, may not provide us with any meaningful protection or prevent competitors from designing around our patent claims to circumvent our patents by developing similar or alternative technologies or products in a non-infringing manner. For example, a third party may develop a competitive product that provides benefits similar to one or more of our products but falls outside the scope of our patent protection or license rights. If the patent protection provided by the patents and patent applications we hold or pursue with respect to our products is not sufficiently broad to impede such competition, our ability to successfully commercialize our products could be negatively affected, which would harm our business.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possible that defects of form in the preparation or filing of our patents or patent applications may exist, or may arise in the future, for example with respect to proper priority claims, inventorship, claim scope, or requests for patent term adjustments. If we or our collaborators or licensors, fail to establish, maintain or protect such patents and other intellectual property rights, such rights may be reduced or eliminated. If our collaborators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and enforceable patents. Any of these outcomes could impair our ability to prevent competition from third parties, which may have an adverse impact on our business.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prior patent applications on inventions claimed in our patents or applications that were filed on or before March 15, 2013, an interference proceeding in the United States can be initiated by such third parties to determine who was the first to invent any of the subject matter covered by the patent claims of our applications. If third parties have filed such prior applications after March 15, 2013, a derivation proceeding in the United States can be initiated by such third parties to determine whether our invention was derived from theirs.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spacing w:after="0" w:line="252" w:lineRule="auto"/>
        <w:rPr>
          <w:sz w:val="20"/>
          <w:szCs w:val="20"/>
          <w:color w:val="auto"/>
        </w:rPr>
      </w:pPr>
      <w:r>
        <w:rPr>
          <w:rFonts w:ascii="Times New Roman" w:cs="Times New Roman" w:eastAsia="Times New Roman" w:hAnsi="Times New Roman"/>
          <w:sz w:val="18"/>
          <w:szCs w:val="18"/>
          <w:color w:val="auto"/>
        </w:rPr>
        <w:t>Moreover, because the issuance of a patent is not conclusive as to its inventorship, scope, validity or enforceability, our owned and licensed patents or pending patent applications may be challenged in the courts or patent offices in the United States and abroad.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submission of prior art to the U.S. Patent and Trademark Office, or USPTO, or to other patent offices around the world. Alternately or additionally, we may become involved in post-grant review procedures, oppositions, derivation proceedings, ex parte reexaminations, inter partes review, supplemental examinations or interference proceedings or challenges in district court, in the United States or in various foreign patent offices, including both national and regional, challenging patents or patent applications in which we have rights, including patents on which we rely to protect our business. In addition, if we seek to enforce our patents against third parties, third parties may initiate such challenges in response. An adverse determination in any such challenges may result in loss of the patent or in patent or patent application claims being narrowed, invalidated or held unenforceable, in whole or in part, or in denial of the patent application or loss or reduction in the scope of one or more claims of the patent or patent application, any of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Any of the foregoing could have a material and adverse effect on our business, financial condition and results of operations.</w:t>
      </w:r>
    </w:p>
    <w:p>
      <w:pPr>
        <w:spacing w:after="0" w:line="1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or other proceedings or third-party claims of intellectual property infringement, misappropriation or other violations could require us to spend significant time and money, prevent us from selling our products and adversely affect our stock price.</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commercial success will depend in part on not infringing, misappropriating or otherwise violating the patents or other proprietary rights of third parties. Significant litigation regarding patent rights occurs in our industry.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products. We do not always conduct independent reviews of patents issued to third parties. In addition, patent applications in the United States and elsewhere can be pending for many years before issuance, or unintentionally abandoned patents or applications can be revived, so there may be applications of others now pending or recently revived patents of which we are unaware. These applications may later result in issued patents, or the revival of previously abandoned patents, that will prevent, limit or otherwise interfere with our ability to make, use or sell our products. Third parties may, in the future, assert claims that we are employing their proprietary technology without authorization, including claims from competitors or from non-practicing entities that have no relevant product sales and against whom our own patent portfolio may have no deterrent effect. As we continue to commercialize our products in their current or updated forms, launch new products and enter new markets, we expect competitors may claim that one or more of our products infringe, misappropriate or otherwise violate their intellectual property rights as part of business strategies designed to impede our successful commercialization and entry into new markets. The large number of patents, the rapid rate of new patent applications and issuances, the complexities of the technology involved and the uncertainty of litigation may increase the risk of business resources and management’s attention being diverted to patent litigation. We may in the future receive letters or other threats or claims from third parties inviting us to take licenses under, or alleging that we infringe, their patents.</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we may become party to future adversarial proceedings regarding our patent portfolio or the patents of third parties. Such proceedings could include supplemental examination or contested post-grant proceedings, such as review, reexamination, inter parties review, interference or derivation proceedings before the USPTO and challenges in U.S. District Court. Patents may be subjected to opposition, post-grant review or comparable proceedings lodged in various foreign, both national and regional, patent offices. The legal threshold for initiating litigation or contested proceedings may be low, so that even lawsuits or proceedings with a low probability of success might be initiated. Litigation and contested proceedings can also be expensive and time-consuming, and our adversaries in these proceedings may have the ability to dedicate substantially greater resources to prosecuting these legal actions than we can. We may also occasionally use these proceedings to challenge the patent rights of others. We cannot be certain that any particular challenge will be successful in limiting or eliminating the challenged patent rights of the third party.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lawsuits resulting from such allegations could subject us to significant liability for damages and/or invalidate our proprietary rights. Any potential intellectual property litigation also could force us to do one or more of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making, selling or using products or technologies that allegedly infringe, misappropriate or otherwise violate the asserted intellectual property;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rights against others;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left="660" w:right="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or royalties to the party whose intellectual property rights we may be found to be infringing, misappropriating or otherwise violating;</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attorney’s fees and costs of litigation to the party whose intellectual property rights we may be found to be infringing, misappropriating or otherwise violating;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that contain the allegedly infringing intellectual property, which could be costly, disruptive and infeasible;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 or from third parties who may attempt to license rights that they do not have.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litigation or claim against us, even those without merit, may cause us to incur substantial costs, and could place a significant strain on our financial resources, divert the attention of management from our core business and harm our reputation. If we are found to infringe, misappropriate or otherwise violate the intellectual property rights of third parties, we could be required to pay substantial damages (possibly treble damages) and/or substantial royalties and could be prevented from selling our products unless we obtain a license or are able to redesign our products to avoid infringement, misappropriation or violation. Any such license may not be available on reasonable terms, if at all, and there can be no assurance that we would be able to redesign our products in a way that would not infringe, misappropriate or otherwise violate the intellectual property rights of others. We could encounter delays in product introductions while we attempt to develop alternative methods or products. If we fail to obtain any required licenses or make any necessary changes to our products or technologies, we may have to withdraw existing products from the market or may be unable to commercialize one or more of our products.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generally indemnify our customers with respect to infringement by our products of the proprietary rights of third parties. Third parties may assert infringement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not have sufficient resources to bring these actions to a successful conclusion. There could also be public announcements of the results of hearings, motions or other interim proceedings or developments. If securities analysts or investors perceive these results to be negative, it could have a material adverse effect on the market price of shares of our Class A common stock. Any of the foregoing could have a material and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could be harmed.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also rely upon copyright and trade secret protection, as well as non-disclosure agreements and invention assignment agreements with our employees, consultants, independent sales agents and other third parties, to protect our confidential and proprietary information. 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it could have a material and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enforce our intellectual property rights throughout the world.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Obtaining, maintaining and enforcing intellectual property rights is expensive and it is cost prohibitive to do so throughout the world. Accordingly, we may determine not to obtain, maintain or enforce intellectual property rights in certain jurisdictions. In addition, the laws of some foreign countries do not protect intellectual property rights to the same extent as the laws of the United States. Many companies have encountered significant problems in protecting and defending intellectual property rights in certain foreign jurisdictions. This could make it difficult for us to stop infringement of our foreign patents, if obtained, or the misappropriation or other violation of our other intellectual property rights. For example, some foreign countries have compulsory licensing laws under which a patent owner must grant licenses to third parties. In addition, some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spacing w:after="0" w:line="258"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our intellectual property. Any of the foregoing could have a material and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assert ownership or commercial rights to inventions we develop.</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Third parties may in the future make claims challenging the inventorship or ownership of our intellectual property. We have written agreements with collaborators that provide for the ownership of intellectual property arising from our collaborations.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resolve an ownership dispute, and if we are not successful, we may be precluded from using certain intellectual property or may lose our exclusive rights in such intellectual property. Either outcome could harm our business and competitive position. Any of the foregoing could have a material and adverse effect on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or consultants have wrongfully used or disclosed confidential information or misappropriated trade secrets.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employ individuals who previously worked with other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or personal data, including trade secrets or other proprietary information, of a former employer or other third party. Litigation may be necessary to defend against these claims. If we fail in defending any such claims or settling those claims, in addition to paying monetary damages or a settlement payment, we may lose valuable intellectual property rights or personnel. Even if we are successful in defending against such claims, litigation could result in substantial costs and be a distraction to management and other employees. Any of the foregoing could have a material and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changes in U.S. patent laws may limit our ability to obtain, defend and/or enforce our patents.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patent applications and the enforcement or defense of our issued patents. The Leahy-Smith America Invents Act, or the Leahy-Smith Act, includes a number of significant changes to U.S. patent law. These include provisions that affect the way patent applications are prosecuted and also affect patent litigation. The USPTO recently developed new regulations and procedures to govern administration of the Leahy-Smith Act, and many of the substantive changes to patent law associated with the Leahy-Smith Act, and in particular, the first to file provisions, which became effective on March 16, 2013, could affect us. The first to file provisions limit the rights of an inventor to patent an invention if the inventor was not the first to file an application for patenting that invention, even if such invention was the first invention. Accordingly, it is not clear what, if any, impact the Leahy-Smith Act will have on the operation of our business. This will require us to be cognizant going forward of the timing from invention to filing of a patent application and be diligent in filing patent applications, but circumstances could prevent us from promptly filing patent applications on our inventions.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Leahy-Smith Act and its implementation could increase the uncertainties and costs surrounding the enforcement and defense of our issued patents. For example, the Leahy-Smith Act provides that an administrative tribunal known as the Patent Trial and Appeals Board, or PTAB, provides a venue for challenging the validity of patents at a cost that is much lower than district court litigation and on timelines that are much faster. This applies to all of our U.S. patents, even those issued before March 16, 2013. Furthermore,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Although it is not clear what, if any, long-term impact the PTAB proceedings will have on the operation of our business, patent challenge proceedings before the PTAB since its inception in 2013 have resulted in the invalidation of many U.S. patent claims. The availability of the PTAB as a lower-cost, faster and potentially more potent tribunal for challenging patents could increase the likelihood that our own patents will be challenged, thereby increasing the uncertainties and costs of maintaining and enforcing them. Any failure by us to adequately address the uncertainties and costs surrounding recent patent legislation could have a material and adverse effect on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USPTO and European and other patent agencies over the lifetime of a patent. In addition, the USPTO and European and other patent agencies require compliance with a number of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within prescribed time limits. If we or our licensors fail to maintain the patents and patent applications covering our product candidates or if we or our licensors otherwise allow our patents or patent applications to be abandoned or lapse, our competitors might be able to enter the market, which would hurt our competitive position, could impair our ability to successfully commercialize our product candidates in any indication for which they are approved, and could have a material and adverse effect on our business, financial condition and results of operations.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any of the intellectual property rights that we own or license that are developed through the use of U.S. government funding will be subject to additional federal regulations. Pursuant to the Bayh-Dole Act of 1980, or Bayh-Dole Act, the government will receive a license under inventions developed under a government-funded program and may require us to manufacture products embodying such inventions in the United States. Under certain circumstances, the government may also claim ownership in such inventions or compel us to license them to third parties. Any failure by us to comply with federal regulations regarding intellectual property rights that were developed through the use of U.S. government funding could have a material and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Amendments and in foreign countries under similar legislation, thereby potentially extending the term of marketing exclusivity for our product candidates, our business may be materially harmed.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a patent that covers an FDA-approved drug, biologic or medical device may be eligible for a term extension designed to restore the period of the patent term that is lost during the premarket regulatory review process conducted by the FDA. Depending upon the timing, duration and conditions of FDA marketing approval of our product candidates, we may be able to extend the term of a patent covering each product candidate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A patent term extension cannot extend the remaining term of a patent beyond a total of 14 years from the date of product approval, and only claims covering such approved product, a method for using it or a method for manufacturing it may be extended. In the European Union, our product candidates may be eligible for term extensions based on similar legislation.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under certain circumstances, patent terms covering our products or product candidates may be extended for time spent during the pendency of the patent application in the USPTO (referred to as Patent Term Adjustment, or PTA). The laws and regulations underlying how the USPTO calculates the PTA is subject to change and any such PTA granted by the USPTO could be challenged by a third-party. If we do not prevail under such a challenge, the PTA may be reduced or eliminated, resulting in a shorter patent term, which may negatively impact our ability to exclude competitors. Because PTA added to the term of patents covering products has particular value, our business may be adversely affected if the PTA is successfully challenged by a third party and our ability to exclude competitors is reduced or eliminated. Any of the foregoing could have a material and adverse effect on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certain technologies that are licensed to us. We do not control the intellectual property rights covering these technologies, and any loss of our rights to these technologies or the rights licensed to us could prevent us from selling our products and adversely impact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party to license agreements under which we are granted rights to intellectual property that is important to our business, and we may need to enter into additional license agreements in the future. We rely on these licenses in order to be able to use and sell various proprietary technologies that are material to our business, as well as technologies we intend to use in our future commercial activities. For example, we expect that we will be dependent on our licensing arrangements with Cook Biotech, relating to CanGaroo and our cardiovascular products. Our rights to use these technologies and the inventions claimed in the licensed patents are subject to the continuation of and our compliance with the terms of those license agreements. Our existing license agreements impose, and we expect that future license agreements will also impose on us, various diligence obligations, milestone payments, royalties and other obligations. If we fail to comply with our obligations under these agreements, or if we are subject to a bankruptcy proceeding, the licensor may have the right to terminate the license, in which case we would not be able to market products covered by the license, which would adversely affect our business, financial condition and results of operations.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we have done previously, we may need to obtain additional licenses from third parties in order to advance our research or allow commercialization of our products and technologies. The in-licensing and acquisition of third-party intellectual property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Accordingly, we may not be able to obtain any of these licenses on commercially reasonable terms or at all. Even if we are able to obtain a license, it may be non-exclusive, thereby giving our competitors access to the same technologies licensed to us. In the event that we are not able to acquire a license, we may be required to expend significant time and resources to develop or license replacement technology. If we are unable to do so, we may be unable to develop or commercialize the affected products and technologies, which could materially harm our business. In addition, the third parties owning such intellectual property rights could seek either an injunction prohibiting our sales, or, with respect to our sales, an obligation on our part to pay royalties or other forms of compensation and damages.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some cases, we may not have the right to control the prosecution, maintenance or filing of the patents that are licensed to us, or the enforcement of these patents against infringement by third parties. Some of our patents and patent applications were not filed by us, but were either acquired by us or are licensed from third parties. Thus, these patents and patent applications were not drafted by us, and we did not control or have any input into the prosecution of these patents and patent applications prior to our acquisition of, or our entry into a license with respect to, such patents and patent applications. We cannot be certain that the drafting or prosecution of these patents and patent applications will result or has resulted in valid and enforceable patents. Further, since we do not always retain complete control over our ability to enforce our licensed patent rights against third-party infringement, we cannot be certain that our licensor will elect to enforce these patents to the extent that we would choose to do so, or in a way that will ensure that we retain the rights we currently have under the applicable license agreement. If our licensor fails to properly enforce the patents subject to our license agreement in the event of third-party infringement, our ability to retain our competitive advantage with respect to the applicable products may be materially and adversely affected.</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Licensing of intellectual property is an important part of our business and involves complex legal, business and scientific issues. Disputes may arise between us and our licensors regarding intellectual property that is subject to a license agreement, including, with respect to, among other things:</w:t>
      </w:r>
    </w:p>
    <w:p>
      <w:pPr>
        <w:spacing w:after="0" w:line="16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licensor had the right to grant the rights granted to us under the license agreement;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of the licensor that is not subject to the license agreement;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the prosecution and enforcement of the licensed patents and our licensor’s overall patent enforcement strategy;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products and technologies, and what activities satisfy those diligence obligations;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royalties, milestones or other payments due under the license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we may become the owner of intellectual property that was obtained through assignments, which may be subject to re-assignment back to the original assignor upon our failure to prosecute or maintain such intellectual property, upon our breach of the agreement pursuant to which such intellectual property was assigned, or upon our bankruptcy.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If disputes over intellectual property that we have licensed prevent or impair our ability to maintain our current licensing arrangements on acceptable terms, or if intellectual property is re-assigned back to the original assignor, we may be unable to successfully develop and commercialize or continue selling products that utilize the affected intellectual property, any of which could impair our ability to execute our growth strategy and could have a material and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not yet registered certain of our trademarks in all of our potential markets. If we apply to register these and other trademarks in the United States and other countries, our applications may not be allowed for registration in a timely fashion or at all, and our registered trademarks may not be maintained or enforced. In addition, 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may file for registration of trademarks similar or identical to our trademarks, thereby impeding our ability to build brand identity and possibly leading to market confusion. If they succeed in registering or developing common law rights in such trademarks, and if we are not successful in challenging such rights, we may not be able to use these trademarks to develop brand recognition of our technologies, products or services. In addition, there could be potential trade name or trademark infringement claims brought by owners of other registered trademarks or trademarks that incorporate variations of our registered or unregistered trademarks or trade names. Further, we may in the future enter into agreements with owners of such third party trade names or trademarks to avoid potential trademark litigation which may limit our ability to use our trade names or trademarks in certain fields of business.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opposition or cancellation proceedings may in the future be filed against our trademark applications and registrations, and our trademarks may not survive such proceedings. In addition, third parties may file first for our trademarks in certain countries. If they succeed in registering such trademarks, and if we are not successful in challenging such third party rights, we may not be able to use these trademarks to market our products in those countries. If we do not secure registrations for our trademarks, we may encounter more difficulty in enforcing them against third parties than we otherwise would. If we are unable to establish name recognition based on our trademarks and trade names, we may not be able to compete effectively, which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the price of our Class A common stock will fluctuate substantially and you may not be able to sell the shares you purchase at or above the price you paid for such shares.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is likely to be highly volatile and may fluctuate substantially due to a variety of factors, many of which are outside of our control, including, among other things:</w:t>
      </w:r>
    </w:p>
    <w:p>
      <w:pPr>
        <w:spacing w:after="0" w:line="16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timing of sales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the COVID-19 pandemic;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with respect to our or others’ intellectual property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clearance or approval for, and market new and enhanced products on a timely basis;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laws or regulations or differing interpretations or enforcement thereof affecting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other litigation or regulatory investigations;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or quarterly variations in our results of operations or those of others in our industry, or results of operations that otherwise vary from those expected by securities analysts and investors;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publications, reports or other media exposure of our products or those of others in our industry, or of our industry generally;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in reimbursement;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 or other changes in investor perceptions of the investment opportunity associated with our common stock relative to other investment alternatives;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Class A common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Part II, Item 1A. “Risk Factors” of this Quarterly Report.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recent years, the stock markets generally have experienced extreme price and volume fluctuations that have often been unrelated or disproportionate to the operating performance of those companies, including, as a result of the COVID-19 pandemic. Broad market and industry factors may significantly affect the market price of our Class A common stock, regardless of our actual operating performance. If the market price of shares of our Class A common stock does not ever exceed the price you paid for your shares, you may not realize any return on your investment in us and may lose some or all of your investment.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away from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principal stockholders have significant voting power and may take actions that may not be in the best interests of our other stockholders.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November 9, 2020, our principal stockholders each holding more than 5% of our Class A common stock collectively control approximately 56.5% of our outstanding Class A common stock. As a result, these stockholders, if they act together, will be able to control the management and affairs of our company and most matters requiring stockholder approval, including the election of directors and approval of significant corporate transactions. The interests of these stockholders may not be the same as or may even conflict with your interests. For example, these stockholders could attempt to delay or prevent a change in control of the company, even if such change in control would benefit our other stockholders, thereby depriving our other stockholders of an opportunity to receive a premium for their common stock as part of a sale of the company or our assets. Conversely, these stockholders may pursue acquisitions, divestitures and other transactions that, in their judgment, could enhance the value of their investment, even though such transactions might involve risks to you. Even in the absence of any actual conflict of interest, the degree of control possessed by these stockholders may affect the prevailing market price of our Class A common stock due to investors’ perceptions that such conflicts of interest may exist or arise. As a result, this concentration of ownership may not be in the best interests of our other stockholders and may impair your ability to realize any return on your investment in us and may impair your ability to avoid losing some or all of your investment.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in the near future, which could cause the market price of our Class A common stock to drop significantly, even if our business is doing well.</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their shares, could reduce the market price of our Class A common stock. As of November 9, 2020, we had outstanding 10,226,122 shares of Class A and Class B, collectively. This includes the 2,941,176 shares that we sold in our IPO, which may be resold in the public market immediately without restriction. As a holder of our Class B common stock, Deerfield only has the right to convert each share of our Class B common stock into one share of Class A common stock at its election to the extent that as a result of such conversion, it would not beneficially own in excess of 4.9% of any class of our securities registered under the Exchange Act. As a result, Deerfield may not be deemed an “affiliate” for purposes of Rule 144 and, as a result, any securities it purchases may be freely tradable. Approximately 7.3 million of the remaining shares are restricted as a result of securities laws or lock-up agreements (which may be waived, with or without notice, by Piper Sandler &amp; Co. and Cowen and Company, LLC) but will become eligible to be sold at various times beginning 180 days after the date of the Prospectus, unless held by one of our affiliates, in which case the resale of those securities will be subject to volume limitations under Rule 144 of the Securities Act of 1933, as amended, or the Securities Act. Because Deerfield may not be deemed an “affiliate” for purposes of Rule 144, up to approximately 2.4 million shares of Class B common stock that Deerfield holds may become freely tradable and not subject to volume limitations following the 180-day lock-up period. Moreover, as of the date of this Quarterly Report, holders of an aggregate of up to approximately 7.1 million shares of our common stock have rights, subject to certain conditions and limitations, to require us to file registration statements covering their shares or to include their shares in registration statements that we may file for ourselves or other stockholders, until such rights terminate pursuant to the terms of our Investor Rights Agreement. We also intend to register all shares of Class A common stock that we may issue under our equity compensation plans. Once we register these shares, they can be freely sold in the public market upon issuance, subject to volume limitations applicable to affiliates and the lock-up agreements.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122" w:gutter="0" w:footer="0" w:header="0"/>
        </w:sectPr>
      </w:pPr>
    </w:p>
    <w:bookmarkStart w:id="73" w:name="page74"/>
    <w:bookmarkEnd w:id="73"/>
    <w:p>
      <w:pPr>
        <w:jc w:val="both"/>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may drop significantly when the restrictions on resale by our existing stockholders lapse or when we are required to register the sale of our stockholders’ remaining shares of our common stock. A decline in the trading price of our common stock might impede our ability to raise capital through the issuance of additional shares of our Class A common stock or other equity securities and may impair your ability to sell shares of our common stock at a price higher than the price you paid for them or at all.</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and the option of the holders of shares of our Class B common stock to convert into shares of our Class A common stock may limit your ability to influence corporate matters.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Class A common stock has one vote per share, while our Class B common stock is non-voting. Nonetheless, each share of our Class B common stock may be converted at any time into one share of Class A common stock at the option of its holder, subject to the limitations provided for in our certificate of incorporation that prohibit the conversion of our Class B common stock into shares of Class A common stock to the extent that, upon such conversion, such holder would beneficially own in excess of 4.9% of any class of our securities registered under the Exchange Act. Consequently, if holders of Class B common stock exercise their option to make this conversion, such exercise will have the effect of increasing the relative voting power of those prior holders of our Class B common stock (subject to the ownership limitation described in the previous sentence) and increasing the number of outstanding shares of our voting common stock, and correspondingly decreasing the relative voting power of the current holders of our Class A common stock, which may limit your ability to influence corporate matters. Because our Class B common stock is generally non-voting, stockholders who own more than 10% of our common stock overall but 10% or less of our Class A common stock will not be required to report changes in their ownership from transactions in our Class B common stock pursuant to Section 16(a) of the Securities Exchange Act of 1934, as amended, or the Exchange Act, and would not be subject to the short-swing profit provisions of Section 16(b) of the Exchange 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diluted by the future issuance of additional common stock in connection with our incentive plans, acquisitions or otherwise.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November 18, 2020, we had 192,908,040 shares of Class A common stock authorized but unissued and 16,865,838 shares of Class B common stock authorized but unissued. We are authorized under our certificate of incorporation to issue these shares of common stock and other securities convertible into or exercisable or exchangeable for shares of our common stock for the consideration and on the terms and conditions established by our board of directors in its sole discretion, whether in connection with acquisitions or otherwise. As of November 18, 2020, we had 287,395 shares of our Class A common stock issuable upon the exercise of outstanding options under our 2015 Plan at a weighted average exercise price of $6.43 per share, 164,071 of which were vested as of such date, 736,790 shares of Class A common stock issuable upon the exercise of stock options and the settlement of RSUs granted under our 2020 Plan to certain of our executive officers, employees and consultants, with respect to such stock options, at a weighted average exercise price of $17.00 per share, 899,210 additional shares of our Class A common stock reserved for future issuance under our 2020 Plan, not including the additional shares of Class A common stock that will be reserved for future issuance under our 2020 Plan pursuant to provisions in the 2020 Plan that automatically increase the number of shares of our Class A common stock reserved for future issuance thereunder, and 143,150 shares of our Class A common stock that will become available for future issuance under our 2020 ESPP, not including the additional shares of Class A common stock that will be reserved for future issuance under our 2020 ESPP pursuant to provisions in the 2020 ESPP that automatically increase the number of shares of our Class A common stock reserved for future issuance thereunder. Any additional shares of common stock that we issue, including under our 2020 Plan, 2020 ESPP or other equity incentive plans that we may adopt in the future, would dilute the percentage ownership and voting power held by investors who purchase our common stock. In the future, we may also issue additional securities if we need to raise capital, including, but not limited to, in connection with acquisitions, which could constitute a material portion of our then-outstanding shares of our common stock.</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a “smaller reporting company,” as defined in Rule 12b-2 under the Exchange Act. Emerging growth companies and smaller reporting companies may take advantage of certain exemptions from various reporting requirements that are applicable to other publicly-traded entities that are not emerging growth companies or smaller reporting companies.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With respect to emerging growth companies, these exemptions include:</w:t>
      </w:r>
    </w:p>
    <w:p>
      <w:pPr>
        <w:spacing w:after="0" w:line="225" w:lineRule="exact"/>
        <w:rPr>
          <w:sz w:val="20"/>
          <w:szCs w:val="20"/>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to present only two years of audited financial statements , in addition to any required unaudited interim financial statements, with a correspondingly reduced Management’s Discussion and Analysis of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submit certain executive compensation matters to stockholder advisory votes, such as “say-on-pay,” “say-on-frequency” and “say-on-golden parachutes”;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elected to take advantage of certain of these reduced disclosure obligations and may elect to take advantage of other reduced reporting requirements in the future. As a result, the information that we provide to our stockholders may be different than the information you might receive from other public reporting companies in which you hold equity interests. In addition, the JOBS Act permits emerging growth companies to delay adopting new or revised accounting standards until such time as those standards apply to private companies. We have elected to use this extended transition period for complying with new or revised accounting standards until the earlier of the date we (i) are no longer an emerging growth company or (ii) affirmatively and irrevocably opt out of the extended transition period provided in the JOBS Act. As a result, our consolidated financial statements and the reported results of operations contained therein may not be directly comparable to those of other public companies. We cannot predict whether investors will find our common stock less attractive because of our reliance on these exemptions. If some investors do find our common stock less attractive, there may be a less active trading market for our Class A common stock and our stock price may be reduced or more volatile.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and will be able to take advantage of the foregoing exemptions, until the earliest of: (i) the last day of the first fiscal year in which our annual gross revenues are $1.07 billion or more; (ii) the last day of 2025; (iii) the date that we become a “large accelerated filer” as defined in Rule 12b-2 under the Exchange Act, which would occur if the market value of our common equity held by non-affiliates is $700 million or more as of the last business day of our most recently completed second fiscal quarter; or (iv) the date on which we have issued more than $1.0 billion in non-convertible debt securities during the previous three years.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Even after we cease to be an emerging growth company, we will still be a smaller reporting company until such time as (i) we determine that the market value of the voting and non-voting shares held by non-affiliates is $250 million or more but less than $700 million as of the last business day of our second fiscal quarter and our annual revenues are $100 million or more during our most recently completed fiscal year, or (ii) the market value of the voting and non-voting shares held by non-affiliates is $700 million or more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including reduced financial and executive compensation disclosure. In addition, even if we cease to be an emerging growth company, we will remain exempt from the auditor attestation requirements of Section 404 of the Sarbanes-Oxley Act provided we do not qualify as an “accelerated filer” as defined in Rule 12b-2 under the Exchange Act, which would occur if our annual revenue was $100 million or more during our most recently completed fiscal year and the market value of our common equity held by non-affiliates is $75 million or more as of the last business day of our most recently completed second fiscal quarter, and only after we have been subject to the reporting requirements of the Exchange Act for a period of at least 12 calendar months.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which will divert their attention away from our core business operations and revenue-producing activities.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require us to incur substantially higher costs to obtain the same or similar coverage or accept reduced policy limits and coverage, which in turn could also make it more difficult for us to attract and retain qualified individuals to serve on our board of directors and as our executive officers.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spacing w:after="0" w:line="258" w:lineRule="auto"/>
        <w:rPr>
          <w:sz w:val="20"/>
          <w:szCs w:val="20"/>
          <w:color w:val="auto"/>
        </w:rPr>
      </w:pPr>
      <w:r>
        <w:rPr>
          <w:rFonts w:ascii="Times New Roman" w:cs="Times New Roman" w:eastAsia="Times New Roman" w:hAnsi="Times New Roman"/>
          <w:sz w:val="18"/>
          <w:szCs w:val="18"/>
          <w:color w:val="auto"/>
        </w:rPr>
        <w:t>We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In addition, if we fail to comply with these rules and regulations, we could be subject to a number of penalties, including the delisting of our Class A common stock, fines, sanctions or other regulatory action or civil litigation.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requirements to design, implement and maintain effective internal control over financial reporting could have a material adverse effect on our business and stock price.</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public company, we are required to evaluate our internal control over financial reporting in a manner that meets the standards of publicly traded companies required by Section 404(a) of the Sarbanes-Oxley Act, or Section 404.</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public company, we have significant requirements for enhanced financial reporting and internal controls. The process of designing, implementing and maintaining effective internal controls is a continuous effort that will require us to anticipate and react to changes in our business and the economic and regulatory environments.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If we are unable to establish or maintain appropriate internal financial reporting controls and procedures, it could cause us to fail to meet our reporting obligations on a timely basis, result in material misstatements in our consolidated financial statements and adversely affect our operating results. In addition, we will be required, pursuant to Section 404, to furnish a report by our management on, among other things, the effectiveness of our internal control over financial reporting in the second annual report following the closing of our IPO.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and testing. Testing and maintaining internal controls may divert our management’s attention from other matters that are important to our business. In addition, once we are no longer an emerging growth company, provided we then qualify as an “accelerated filer” as defined in Rule 12b-2 under the Exchange Act, we will be required to include in the annual reports that we file with the SEC an attestation report on our internal control over financial reporting issued by our independent registered public accounting firm.</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we may not be able to conclude, on an ongoing basis, that we have effective internal control over financial reporting in accordance with Section 404, or our independent registered public accounting firm may not be able to issue an unqualified attestation report once we become subject to the corresponding requirement under Section 404.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Class A common stock.</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under Delaware law could make an acquisition of our company, which may be beneficial to our stockholders, more difficult and may prevent attempts by our stockholders to replace or remove our current management.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Class A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87" w:lineRule="exact"/>
        <w:rPr>
          <w:sz w:val="20"/>
          <w:szCs w:val="20"/>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bylaws without obtaining stockholder approval;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the holders of at least two-thirds of the shares entitled to vote at an election of directors to adopt, amend or repeal our bylaws or repeal the provisions of our certificate of incorporation regarding the election and removal of directors;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specific courts as the exclusive forum for certain litigation that may be initiated by our stockholders, which could limit our stockholders’ ability to obtain a favorable judicial forum for disputes with us or our directors, officers or employees.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will be the exclusive forum for (i) any derivative action or proceeding brought on our behalf, (ii) any action asserting a claim of breach of a fiduciary duty or other wrongdoing by any of our directors, officers, employees or agents to us or our stockholders, (iii) any action asserting a claim arising pursuant to any provision of the DGCL or our certificate of incorporation or bylaws, (iv) any action to interpret, apply, enforce or determine the validity of our certificate of incorporation or bylaws or (v) any action asserting a claim governed by the internal affairs doctrine;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certificate of incorporation described above.</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these provisions benefits us by providing increased consistency in the application of Delaware law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these provisions may limit a stockholder’s ability to bring a claim in a judicial forum that it finds favorable for disputes with us or our directors, officers or other employees or agents, which may discourage such lawsuits against us and our directors, officers and other employees and agents.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stock in the foreseeable future, capital appreciation, if any, would be your sole source of gain.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As a result, capital appreciation, if any, of our common stock would be your sole source of gain on an investment in our common stock for the foreseeable future.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medical device companies have experienced significant stock price volatility in recent years. If we face such litigation, it could result in substantial costs and a diversion of management’s attention and resources, which could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Uncertainty relating to the LIBOR calculation process and potential phasing out of LIBOR after 2021 may adversely affect the market value of our current or future debt obligations.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London Inter-bank Offered Rate, or LIBOR, and certain other interest “benchmarks” may be subject to regulatory guidance and/or reform that could cause interest rates under our current or future debt agreements to perform differently than in the past or cause other unanticipated consequences. The United Kingdom’s Financial Conduct Authority, which regulates LIBOR, has announced that it intends to stop encouraging or requiring banks to submit LIBOR rates after 2021, and it is unclear if LIBOR will cease to exist or if new methods of calculating LIBOR will evolve. If LIBOR ceases to exist or if the methods of calculating LIBOR change from their current form, there may be adverse impacts on the financial markets generally and interest rates on borrowings under our Term Loan Facility and Revolving Credit Facility may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and subjective assumptions, estimates and judgments by management related to complex accounting matters could significantly affect our business, financial condition and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 GAAP, and related accounting pronouncements, implementation guidelines and interpretations with regard to a wide range of matters that are relevant to our business are highly complex. These matters include, but are not limited to, revenue recognition, leases, income taxes, impairment of goodwill and long-lived assets and equity-based compensation. Changes in these rules, guidelines or interpretations could significantly change our reported or expected financial performance or financial condition.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preparation of financial statements in conformity with GAAP requires management to make assumptions, estimates and judgments that affect the amounts reported in our consolidated financial statements and accompanying notes. We base our estimates and judgments on historical experience and on various other assumptions that we believe to be reasonable under the circumstances. The results of these estimates form the basis for making judgments about the carrying values of assets, liabilities and equity, and the amount of net sales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Securities and Exchange Commission, or the SEC. We believe that any disclosure controls and procedures, no matter how well-conceived and operated, can provide only reasonable, not absolute, assurance that the objectives of the control system are met.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operating and financial performance in any given period does not meet the guidance we provide to the public, the market price of our Class A common stock may decline.</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but are not obligated to, provide public guidance on our expected operating and financial results for future periods. Any such guidance will be comprised of forward-looking statements subject to certain risks and uncertainties similar to those described in this Quarterly Report and any additional risks and uncertainties described from time to time in our public filings or other public statements. Our actual results may not always be in line with or exceed any guidance we have provided, especially in times of economic uncertainty. Even if we do issue public guidance, there can be no assurance that we will continue to do so in the future. If, in the future, we provide guidance, and our operating and/or financial results for a particular period do not meet such guidance or the expectations of investment analysts, or if we reduce, withdraw or otherwise change our guidance for future periods, or stop providing guidance, the market price of our Class A common stock will likely decline.</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Class A common stock, our stock price and trading volume would likely decline.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jc w:val="both"/>
        <w:spacing w:after="0" w:line="254"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industry or securities analysts publish about us and our business. We do not control these analysts. As a newly public company, we may be slow to attract research coverage and the analysts, who publish information about our Class A common stock, will have had relatively little experience with us or our industry, which could affect their ability to accurately forecast our results and could make it more likely that we fail to meet their estimates. If no or few securities or industry analysts commence coverage of us, the trading price for our stock would be negatively impacted. In the event we obtain securities or industry analyst coverage, if any of the analysts who cover us issue an adverse or misleading opinion regarding us, our business model, our financial performance, our stock price or otherwise, our stock price would likely decline. If one or more of these analysts ceases coverage of us or fails to publish reports on us regularly, we could lose visibility in the financial markets, which in turn could cause our stock price or trading volume to decline and result in the loss of all or a part of your investment in us.</w:t>
      </w:r>
    </w:p>
    <w:p>
      <w:pPr>
        <w:spacing w:after="0" w:line="188"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7, 2020, the SEC declared effective our Registration Statement on Form S-1 (File No. 333-248788), as amended, filed in connection with our IPO (the “Registration Statement”). Pursuant to the Registration Statement, we registered the offer and sale of 2,941,176 shares of our Class A common stock and 735,294 shares of Class B common stock with an aggregate offering price of $50.0 million. Piper Sandler &amp; Co., Cowen and Company, LLC, Cantor Fitzgerald &amp; Co. and Truist Securities, Inc. served as underwriters for the offering. On October 13, 2020 we issued and sold 2,941,176 shares of our Class A common stock, consisting of 2,205,882 shares of Class A common stock and 735,294 shares of Class B common stock, at a price to the public of $17.00 per share. Upon completion of the IPO on October 13, 2020, we received net proceeds of approximately $43.0 million, after deducting the underwriting discount of $3.5 million and offering expenses of $3.5 million. No payments for such expenses were made directly or indirectly to (i) any of our officers or directors or their associates, (ii) any persons owning 10% or more of any class of our equity securities or (iii) any of our affiliates.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offering terminated after the sale of all securities registered pursuant to the Registration Statement. The net proceeds of approximately $43.0 million from our IPO have been invested in short-term, investment-grade instruments. There has been no material change in the expected use of the net proceeds from our IPO as described in our Prospectus relating to our Registration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Capital Stock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July 1, 2020 through the date of this Quarterly Report, we issued an aggregate of 5,039,427 shares of Series A convertible preferred stock at a price per share of $1.00, for aggregate consideration of approximately $5.0 million to accredited investors pursuant to Section 4(a)(2) of the Securities Act and Rule 506 as a transaction not involving a public offering. The aggregate consideration consisted of approximately $3.0 million in cash proceeds and the conversion of approximately $2.0 million in aggregate principal amount of convertible promissory notes we issued in April 2020 (as described below), together with accrued interest thereon.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September 2020, we issued 375,000 shares of Series A convertible preferred stock to HighCape Capital, L.P. in exchange for the extinguishment of our obligation to pay an advisory fee, pursuant to Section 4(a)(2) of the Securities Act as a transaction not involving a public offering.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September 2020, we issued to Deerfield 18,384,536 shares of our Series A-1 convertible preferred stock in exchange for an equal number of shares of Series A convertible preferred stock, pursuant to Section 4(a)(2) of the Securities Act as a transaction not involving a public offering.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Grants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July 1, 2020 through the date of this Quarterly Report, we granted stock options to purchase an aggregate of 588,907 shares of our Class A common stock, with a weighted average exercise price of $17.00 per share, and restricted stock units covering 147,883 shares of our Class A common stock to our employees and consultants in connection with services provided to the registrant by such parties.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July 1, 2020 through the date of this Quarterly Report, we issued an aggregate of 402 shares of our Class A common stock to our employees and consultants upon their exercise of stock options, for aggregate cash consideration of approximately $2,000.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spacing w:after="0" w:line="261" w:lineRule="auto"/>
        <w:rPr>
          <w:sz w:val="20"/>
          <w:szCs w:val="20"/>
          <w:color w:val="auto"/>
        </w:rPr>
      </w:pPr>
      <w:r>
        <w:rPr>
          <w:rFonts w:ascii="Times New Roman" w:cs="Times New Roman" w:eastAsia="Times New Roman" w:hAnsi="Times New Roman"/>
          <w:sz w:val="18"/>
          <w:szCs w:val="18"/>
          <w:color w:val="auto"/>
        </w:rPr>
        <w:t>The issuances of the securities described in the preceding paragraphs were deemed to be exempt from registration under either Rule 701 promulgated under the Securities Act, in that such issuances were underwritten compensatory benefit plans and contracts relating to compensation, or pursuant to Section 4(a)</w:t>
      </w:r>
    </w:p>
    <w:p>
      <w:pPr>
        <w:spacing w:after="0"/>
        <w:rPr>
          <w:sz w:val="20"/>
          <w:szCs w:val="20"/>
          <w:color w:val="auto"/>
        </w:rPr>
      </w:pPr>
      <w:r>
        <w:rPr>
          <w:rFonts w:ascii="Times New Roman" w:cs="Times New Roman" w:eastAsia="Times New Roman" w:hAnsi="Times New Roman"/>
          <w:sz w:val="18"/>
          <w:szCs w:val="18"/>
          <w:color w:val="auto"/>
        </w:rPr>
        <w:t>(2) of the Securities Act as transactions not involving a public offering.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2020, we issued approximately $2.0 million in aggregate principal amount of convertible promissory notes to HighCape Partners QP and HighCape Partners, each accredited investors, pursuant to Section 4(a)(2) of the Securities Act as a transaction not involving a public offering. Upon the closing of our Series A convertible preferred stock financing in September 2020, these convertible promissory notes, together with the accrued interest thereon, converted into an aggregate of 2,039,427 shares of our Series A convertible preferred stock.</w:t>
      </w:r>
    </w:p>
    <w:p>
      <w:pPr>
        <w:spacing w:after="0" w:line="176"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1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51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10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3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10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920" w:type="dxa"/>
            <w:vAlign w:val="bottom"/>
          </w:tcPr>
          <w:p>
            <w:pPr>
              <w:spacing w:after="0"/>
              <w:rPr>
                <w:rFonts w:ascii="Times New Roman" w:cs="Times New Roman" w:eastAsia="Times New Roman" w:hAnsi="Times New Roman"/>
                <w:sz w:val="18"/>
                <w:szCs w:val="18"/>
                <w:u w:val="single" w:color="auto"/>
                <w:color w:val="0000EE"/>
              </w:rPr>
            </w:pPr>
            <w:hyperlink r:id="rId98">
              <w:r>
                <w:rPr>
                  <w:rFonts w:ascii="Times New Roman" w:cs="Times New Roman" w:eastAsia="Times New Roman" w:hAnsi="Times New Roman"/>
                  <w:sz w:val="18"/>
                  <w:szCs w:val="18"/>
                  <w:u w:val="single" w:color="auto"/>
                  <w:color w:val="0000EE"/>
                </w:rPr>
                <w:t>3.1</w:t>
              </w:r>
            </w:hyperlink>
          </w:p>
        </w:tc>
        <w:tc>
          <w:tcPr>
            <w:tcW w:w="5100" w:type="dxa"/>
            <w:vAlign w:val="bottom"/>
            <w:gridSpan w:val="12"/>
          </w:tcPr>
          <w:p>
            <w:pPr>
              <w:spacing w:after="0"/>
              <w:rPr>
                <w:rFonts w:ascii="Times New Roman" w:cs="Times New Roman" w:eastAsia="Times New Roman" w:hAnsi="Times New Roman"/>
                <w:sz w:val="18"/>
                <w:szCs w:val="18"/>
                <w:u w:val="single" w:color="auto"/>
                <w:color w:val="0000EE"/>
              </w:rPr>
            </w:pPr>
            <w:hyperlink r:id="rId98">
              <w:r>
                <w:rPr>
                  <w:rFonts w:ascii="Times New Roman" w:cs="Times New Roman" w:eastAsia="Times New Roman" w:hAnsi="Times New Roman"/>
                  <w:sz w:val="18"/>
                  <w:szCs w:val="18"/>
                  <w:u w:val="single" w:color="auto"/>
                  <w:color w:val="0000EE"/>
                </w:rPr>
                <w:t>Restated Certificate of Incorporation of Aziyo Biologics, Inc.</w:t>
              </w:r>
            </w:hyperlink>
          </w:p>
        </w:tc>
        <w:tc>
          <w:tcPr>
            <w:tcW w:w="0" w:type="dxa"/>
            <w:vAlign w:val="bottom"/>
          </w:tcPr>
          <w:p>
            <w:pPr>
              <w:spacing w:after="0"/>
              <w:rPr>
                <w:sz w:val="1"/>
                <w:szCs w:val="1"/>
                <w:color w:val="auto"/>
              </w:rPr>
            </w:pPr>
          </w:p>
        </w:tc>
      </w:tr>
      <w:tr>
        <w:trPr>
          <w:trHeight w:val="432"/>
        </w:trPr>
        <w:tc>
          <w:tcPr>
            <w:tcW w:w="920" w:type="dxa"/>
            <w:vAlign w:val="bottom"/>
          </w:tcPr>
          <w:p>
            <w:pPr>
              <w:spacing w:after="0"/>
              <w:rPr>
                <w:rFonts w:ascii="Times New Roman" w:cs="Times New Roman" w:eastAsia="Times New Roman" w:hAnsi="Times New Roman"/>
                <w:sz w:val="18"/>
                <w:szCs w:val="18"/>
                <w:u w:val="single" w:color="auto"/>
                <w:color w:val="0000EE"/>
              </w:rPr>
            </w:pPr>
            <w:hyperlink r:id="rId99">
              <w:r>
                <w:rPr>
                  <w:rFonts w:ascii="Times New Roman" w:cs="Times New Roman" w:eastAsia="Times New Roman" w:hAnsi="Times New Roman"/>
                  <w:sz w:val="18"/>
                  <w:szCs w:val="18"/>
                  <w:u w:val="single" w:color="auto"/>
                  <w:color w:val="0000EE"/>
                </w:rPr>
                <w:t>3.2</w:t>
              </w:r>
            </w:hyperlink>
          </w:p>
        </w:tc>
        <w:tc>
          <w:tcPr>
            <w:tcW w:w="5100" w:type="dxa"/>
            <w:vAlign w:val="bottom"/>
            <w:gridSpan w:val="12"/>
          </w:tcPr>
          <w:p>
            <w:pPr>
              <w:spacing w:after="0"/>
              <w:rPr>
                <w:rFonts w:ascii="Times New Roman" w:cs="Times New Roman" w:eastAsia="Times New Roman" w:hAnsi="Times New Roman"/>
                <w:sz w:val="18"/>
                <w:szCs w:val="18"/>
                <w:u w:val="single" w:color="auto"/>
                <w:color w:val="0000EE"/>
              </w:rPr>
            </w:pPr>
            <w:hyperlink r:id="rId99">
              <w:r>
                <w:rPr>
                  <w:rFonts w:ascii="Times New Roman" w:cs="Times New Roman" w:eastAsia="Times New Roman" w:hAnsi="Times New Roman"/>
                  <w:sz w:val="18"/>
                  <w:szCs w:val="18"/>
                  <w:u w:val="single" w:color="auto"/>
                  <w:color w:val="0000EE"/>
                </w:rPr>
                <w:t>Amended and Restated Bylaws of Aziyo Biologics, Inc.</w:t>
              </w:r>
            </w:hyperlink>
          </w:p>
        </w:tc>
        <w:tc>
          <w:tcPr>
            <w:tcW w:w="0" w:type="dxa"/>
            <w:vAlign w:val="bottom"/>
          </w:tcPr>
          <w:p>
            <w:pPr>
              <w:spacing w:after="0"/>
              <w:rPr>
                <w:sz w:val="1"/>
                <w:szCs w:val="1"/>
                <w:color w:val="auto"/>
              </w:rPr>
            </w:pPr>
          </w:p>
        </w:tc>
      </w:tr>
      <w:tr>
        <w:trPr>
          <w:trHeight w:val="391"/>
        </w:trPr>
        <w:tc>
          <w:tcPr>
            <w:tcW w:w="920" w:type="dxa"/>
            <w:vAlign w:val="bottom"/>
          </w:tcPr>
          <w:p>
            <w:pPr>
              <w:spacing w:after="0"/>
              <w:rPr>
                <w:rFonts w:ascii="Times New Roman" w:cs="Times New Roman" w:eastAsia="Times New Roman" w:hAnsi="Times New Roman"/>
                <w:sz w:val="18"/>
                <w:szCs w:val="18"/>
                <w:u w:val="single" w:color="auto"/>
                <w:color w:val="0000EE"/>
              </w:rPr>
            </w:pPr>
            <w:hyperlink r:id="rId100">
              <w:r>
                <w:rPr>
                  <w:rFonts w:ascii="Times New Roman" w:cs="Times New Roman" w:eastAsia="Times New Roman" w:hAnsi="Times New Roman"/>
                  <w:sz w:val="18"/>
                  <w:szCs w:val="18"/>
                  <w:u w:val="single" w:color="auto"/>
                  <w:color w:val="0000EE"/>
                </w:rPr>
                <w:t>4.1</w:t>
              </w:r>
            </w:hyperlink>
          </w:p>
        </w:tc>
        <w:tc>
          <w:tcPr>
            <w:tcW w:w="51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Second Amended and Restated Investor Rights Agreement, dated as of</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September 14, 2020, among the Registrant and the investors named</w:t>
              </w:r>
            </w:hyperlink>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00">
              <w:r>
                <w:rPr>
                  <w:rFonts w:ascii="Times New Roman" w:cs="Times New Roman" w:eastAsia="Times New Roman" w:hAnsi="Times New Roman"/>
                  <w:sz w:val="18"/>
                  <w:szCs w:val="18"/>
                  <w:color w:val="0000EE"/>
                  <w:w w:val="95"/>
                </w:rPr>
                <w:t>therein</w:t>
              </w:r>
            </w:hyperlink>
          </w:p>
        </w:tc>
        <w:tc>
          <w:tcPr>
            <w:tcW w:w="46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rFonts w:ascii="Times New Roman" w:cs="Times New Roman" w:eastAsia="Times New Roman" w:hAnsi="Times New Roman"/>
                <w:sz w:val="18"/>
                <w:szCs w:val="18"/>
                <w:u w:val="single" w:color="auto"/>
                <w:color w:val="0000EE"/>
              </w:rPr>
            </w:pPr>
            <w:hyperlink r:id="rId101">
              <w:r>
                <w:rPr>
                  <w:rFonts w:ascii="Times New Roman" w:cs="Times New Roman" w:eastAsia="Times New Roman" w:hAnsi="Times New Roman"/>
                  <w:sz w:val="18"/>
                  <w:szCs w:val="18"/>
                  <w:u w:val="single" w:color="auto"/>
                  <w:color w:val="0000EE"/>
                </w:rPr>
                <w:t>4.2</w:t>
              </w:r>
            </w:hyperlink>
          </w:p>
        </w:tc>
        <w:tc>
          <w:tcPr>
            <w:tcW w:w="49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Specimen stock certificate evidencing the shares of Class A common</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01">
              <w:r>
                <w:rPr>
                  <w:rFonts w:ascii="Times New Roman" w:cs="Times New Roman" w:eastAsia="Times New Roman" w:hAnsi="Times New Roman"/>
                  <w:sz w:val="18"/>
                  <w:szCs w:val="18"/>
                  <w:color w:val="0000EE"/>
                  <w:w w:val="94"/>
                </w:rPr>
                <w:t>stock</w:t>
              </w:r>
            </w:hyperlink>
          </w:p>
        </w:tc>
        <w:tc>
          <w:tcPr>
            <w:tcW w:w="47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rFonts w:ascii="Times New Roman" w:cs="Times New Roman" w:eastAsia="Times New Roman" w:hAnsi="Times New Roman"/>
                <w:sz w:val="18"/>
                <w:szCs w:val="18"/>
                <w:u w:val="single" w:color="auto"/>
                <w:color w:val="0000EE"/>
              </w:rPr>
            </w:pPr>
            <w:hyperlink r:id="rId102">
              <w:r>
                <w:rPr>
                  <w:rFonts w:ascii="Times New Roman" w:cs="Times New Roman" w:eastAsia="Times New Roman" w:hAnsi="Times New Roman"/>
                  <w:sz w:val="18"/>
                  <w:szCs w:val="18"/>
                  <w:u w:val="single" w:color="auto"/>
                  <w:color w:val="0000EE"/>
                </w:rPr>
                <w:t>4.3</w:t>
              </w:r>
            </w:hyperlink>
          </w:p>
        </w:tc>
        <w:tc>
          <w:tcPr>
            <w:tcW w:w="49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Specimen stock certificate evidencing the shares of Class B common</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02">
              <w:r>
                <w:rPr>
                  <w:rFonts w:ascii="Times New Roman" w:cs="Times New Roman" w:eastAsia="Times New Roman" w:hAnsi="Times New Roman"/>
                  <w:sz w:val="18"/>
                  <w:szCs w:val="18"/>
                  <w:color w:val="0000EE"/>
                  <w:w w:val="94"/>
                </w:rPr>
                <w:t>stock</w:t>
              </w:r>
            </w:hyperlink>
          </w:p>
        </w:tc>
        <w:tc>
          <w:tcPr>
            <w:tcW w:w="47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rFonts w:ascii="Times New Roman" w:cs="Times New Roman" w:eastAsia="Times New Roman" w:hAnsi="Times New Roman"/>
                <w:sz w:val="18"/>
                <w:szCs w:val="18"/>
                <w:u w:val="single" w:color="auto"/>
                <w:color w:val="0000EE"/>
              </w:rPr>
            </w:pPr>
            <w:hyperlink r:id="rId103">
              <w:r>
                <w:rPr>
                  <w:rFonts w:ascii="Times New Roman" w:cs="Times New Roman" w:eastAsia="Times New Roman" w:hAnsi="Times New Roman"/>
                  <w:sz w:val="18"/>
                  <w:szCs w:val="18"/>
                  <w:u w:val="single" w:color="auto"/>
                  <w:color w:val="0000EE"/>
                </w:rPr>
                <w:t>10.1</w:t>
              </w:r>
            </w:hyperlink>
          </w:p>
        </w:tc>
        <w:tc>
          <w:tcPr>
            <w:tcW w:w="49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Aziyo Biologics, Inc. 2020 Incentive Award Plan and form of award</w:t>
              </w:r>
            </w:hyperlink>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100" w:type="dxa"/>
            <w:vAlign w:val="bottom"/>
            <w:gridSpan w:val="12"/>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agreements thereunder</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20" w:type="dxa"/>
            <w:vAlign w:val="bottom"/>
          </w:tcPr>
          <w:p>
            <w:pPr>
              <w:spacing w:after="0"/>
              <w:rPr>
                <w:rFonts w:ascii="Times New Roman" w:cs="Times New Roman" w:eastAsia="Times New Roman" w:hAnsi="Times New Roman"/>
                <w:sz w:val="18"/>
                <w:szCs w:val="18"/>
                <w:u w:val="single" w:color="auto"/>
                <w:color w:val="0000EE"/>
              </w:rPr>
            </w:pPr>
            <w:hyperlink r:id="rId104">
              <w:r>
                <w:rPr>
                  <w:rFonts w:ascii="Times New Roman" w:cs="Times New Roman" w:eastAsia="Times New Roman" w:hAnsi="Times New Roman"/>
                  <w:sz w:val="18"/>
                  <w:szCs w:val="18"/>
                  <w:u w:val="single" w:color="auto"/>
                  <w:color w:val="0000EE"/>
                </w:rPr>
                <w:t>10.2</w:t>
              </w:r>
            </w:hyperlink>
          </w:p>
        </w:tc>
        <w:tc>
          <w:tcPr>
            <w:tcW w:w="5100" w:type="dxa"/>
            <w:vAlign w:val="bottom"/>
            <w:gridSpan w:val="12"/>
          </w:tcPr>
          <w:p>
            <w:pPr>
              <w:spacing w:after="0"/>
              <w:rPr>
                <w:rFonts w:ascii="Times New Roman" w:cs="Times New Roman" w:eastAsia="Times New Roman" w:hAnsi="Times New Roman"/>
                <w:sz w:val="18"/>
                <w:szCs w:val="18"/>
                <w:u w:val="single" w:color="auto"/>
                <w:color w:val="0000EE"/>
              </w:rPr>
            </w:pPr>
            <w:hyperlink r:id="rId104">
              <w:r>
                <w:rPr>
                  <w:rFonts w:ascii="Times New Roman" w:cs="Times New Roman" w:eastAsia="Times New Roman" w:hAnsi="Times New Roman"/>
                  <w:sz w:val="18"/>
                  <w:szCs w:val="18"/>
                  <w:u w:val="single" w:color="auto"/>
                  <w:color w:val="0000EE"/>
                </w:rPr>
                <w:t>Aziyo Biologics, Inc. Non-Employee Director Compensation Program</w:t>
              </w:r>
            </w:hyperlink>
          </w:p>
        </w:tc>
        <w:tc>
          <w:tcPr>
            <w:tcW w:w="0" w:type="dxa"/>
            <w:vAlign w:val="bottom"/>
          </w:tcPr>
          <w:p>
            <w:pPr>
              <w:spacing w:after="0"/>
              <w:rPr>
                <w:sz w:val="1"/>
                <w:szCs w:val="1"/>
                <w:color w:val="auto"/>
              </w:rPr>
            </w:pPr>
          </w:p>
        </w:tc>
      </w:tr>
      <w:tr>
        <w:trPr>
          <w:trHeight w:val="432"/>
        </w:trPr>
        <w:tc>
          <w:tcPr>
            <w:tcW w:w="920" w:type="dxa"/>
            <w:vAlign w:val="bottom"/>
          </w:tcPr>
          <w:p>
            <w:pPr>
              <w:spacing w:after="0"/>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10.3</w:t>
              </w:r>
            </w:hyperlink>
          </w:p>
        </w:tc>
        <w:tc>
          <w:tcPr>
            <w:tcW w:w="5100" w:type="dxa"/>
            <w:vAlign w:val="bottom"/>
            <w:gridSpan w:val="12"/>
          </w:tcPr>
          <w:p>
            <w:pPr>
              <w:spacing w:after="0"/>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Aziyo Biologics, Inc. 2020 Employee Stock Purchase Plan</w:t>
              </w:r>
            </w:hyperlink>
          </w:p>
        </w:tc>
        <w:tc>
          <w:tcPr>
            <w:tcW w:w="0" w:type="dxa"/>
            <w:vAlign w:val="bottom"/>
          </w:tcPr>
          <w:p>
            <w:pPr>
              <w:spacing w:after="0"/>
              <w:rPr>
                <w:sz w:val="1"/>
                <w:szCs w:val="1"/>
                <w:color w:val="auto"/>
              </w:rPr>
            </w:pPr>
          </w:p>
        </w:tc>
      </w:tr>
      <w:tr>
        <w:trPr>
          <w:trHeight w:val="391"/>
        </w:trPr>
        <w:tc>
          <w:tcPr>
            <w:tcW w:w="920" w:type="dxa"/>
            <w:vAlign w:val="bottom"/>
          </w:tcPr>
          <w:p>
            <w:pPr>
              <w:spacing w:after="0"/>
              <w:rPr>
                <w:rFonts w:ascii="Times New Roman" w:cs="Times New Roman" w:eastAsia="Times New Roman" w:hAnsi="Times New Roman"/>
                <w:sz w:val="18"/>
                <w:szCs w:val="18"/>
                <w:u w:val="single" w:color="auto"/>
                <w:color w:val="0000EE"/>
              </w:rPr>
            </w:pPr>
            <w:hyperlink r:id="rId106">
              <w:r>
                <w:rPr>
                  <w:rFonts w:ascii="Times New Roman" w:cs="Times New Roman" w:eastAsia="Times New Roman" w:hAnsi="Times New Roman"/>
                  <w:sz w:val="18"/>
                  <w:szCs w:val="18"/>
                  <w:u w:val="single" w:color="auto"/>
                  <w:color w:val="0000EE"/>
                </w:rPr>
                <w:t>10.4</w:t>
              </w:r>
            </w:hyperlink>
          </w:p>
        </w:tc>
        <w:tc>
          <w:tcPr>
            <w:tcW w:w="5100" w:type="dxa"/>
            <w:vAlign w:val="bottom"/>
            <w:gridSpan w:val="12"/>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Amended and Restated Employment Agreement, by and between the</w:t>
              </w:r>
            </w:hyperlink>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4960" w:type="dxa"/>
            <w:vAlign w:val="bottom"/>
            <w:tcBorders>
              <w:top w:val="single" w:sz="8" w:color="0000EE"/>
            </w:tcBorders>
            <w:gridSpan w:val="10"/>
          </w:tcPr>
          <w:p>
            <w:pPr>
              <w:spacing w:after="0"/>
              <w:rPr>
                <w:rFonts w:ascii="Times New Roman" w:cs="Times New Roman" w:eastAsia="Times New Roman" w:hAnsi="Times New Roman"/>
                <w:sz w:val="18"/>
                <w:szCs w:val="18"/>
                <w:u w:val="single" w:color="auto"/>
                <w:color w:val="0000EE"/>
              </w:rPr>
            </w:pPr>
            <w:hyperlink r:id="rId106">
              <w:r>
                <w:rPr>
                  <w:rFonts w:ascii="Times New Roman" w:cs="Times New Roman" w:eastAsia="Times New Roman" w:hAnsi="Times New Roman"/>
                  <w:sz w:val="18"/>
                  <w:szCs w:val="18"/>
                  <w:u w:val="single" w:color="auto"/>
                  <w:color w:val="0000EE"/>
                </w:rPr>
                <w:t>Registrant and Ronald Lloyd, dated as of September 30, 2020</w:t>
              </w:r>
            </w:hyperlink>
          </w:p>
        </w:tc>
        <w:tc>
          <w:tcPr>
            <w:tcW w:w="1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20" w:type="dxa"/>
            <w:vAlign w:val="bottom"/>
          </w:tcPr>
          <w:p>
            <w:pPr>
              <w:spacing w:after="0"/>
              <w:rPr>
                <w:rFonts w:ascii="Times New Roman" w:cs="Times New Roman" w:eastAsia="Times New Roman" w:hAnsi="Times New Roman"/>
                <w:sz w:val="18"/>
                <w:szCs w:val="18"/>
                <w:u w:val="single" w:color="auto"/>
                <w:color w:val="0000EE"/>
              </w:rPr>
            </w:pPr>
            <w:hyperlink r:id="rId107">
              <w:r>
                <w:rPr>
                  <w:rFonts w:ascii="Times New Roman" w:cs="Times New Roman" w:eastAsia="Times New Roman" w:hAnsi="Times New Roman"/>
                  <w:sz w:val="18"/>
                  <w:szCs w:val="18"/>
                  <w:u w:val="single" w:color="auto"/>
                  <w:color w:val="0000EE"/>
                </w:rPr>
                <w:t>10.5</w:t>
              </w:r>
            </w:hyperlink>
          </w:p>
        </w:tc>
        <w:tc>
          <w:tcPr>
            <w:tcW w:w="5100" w:type="dxa"/>
            <w:vAlign w:val="bottom"/>
            <w:gridSpan w:val="12"/>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Employment Agreement, by and between the Registrant and Thomas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Englese, dated as of September 30, 2020</w:t>
              </w:r>
            </w:hyperlink>
          </w:p>
        </w:tc>
        <w:tc>
          <w:tcPr>
            <w:tcW w:w="2020" w:type="dxa"/>
            <w:vAlign w:val="bottom"/>
            <w:tcBorders>
              <w:top w:val="single" w:sz="8" w:color="0000EE"/>
            </w:tcBorders>
            <w:gridSpan w:val="5"/>
          </w:tcPr>
          <w:p>
            <w:pPr>
              <w:spacing w:after="0"/>
              <w:rPr>
                <w:sz w:val="17"/>
                <w:szCs w:val="17"/>
                <w:color w:val="auto"/>
              </w:rPr>
            </w:pPr>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rFonts w:ascii="Times New Roman" w:cs="Times New Roman" w:eastAsia="Times New Roman" w:hAnsi="Times New Roman"/>
                <w:sz w:val="18"/>
                <w:szCs w:val="18"/>
                <w:u w:val="single" w:color="auto"/>
                <w:color w:val="0000EE"/>
              </w:rPr>
            </w:pPr>
            <w:hyperlink r:id="rId108">
              <w:r>
                <w:rPr>
                  <w:rFonts w:ascii="Times New Roman" w:cs="Times New Roman" w:eastAsia="Times New Roman" w:hAnsi="Times New Roman"/>
                  <w:sz w:val="18"/>
                  <w:szCs w:val="18"/>
                  <w:u w:val="single" w:color="auto"/>
                  <w:color w:val="0000EE"/>
                </w:rPr>
                <w:t>10.6</w:t>
              </w:r>
            </w:hyperlink>
          </w:p>
        </w:tc>
        <w:tc>
          <w:tcPr>
            <w:tcW w:w="48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Employment Agreement, by and between the Registrant and Darryl</w:t>
              </w:r>
            </w:hyperlink>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9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Roberts, dated as of September 30, 2020</w:t>
              </w:r>
            </w:hyperlink>
          </w:p>
        </w:tc>
        <w:tc>
          <w:tcPr>
            <w:tcW w:w="21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rFonts w:ascii="Times New Roman" w:cs="Times New Roman" w:eastAsia="Times New Roman" w:hAnsi="Times New Roman"/>
                <w:sz w:val="18"/>
                <w:szCs w:val="18"/>
                <w:u w:val="single" w:color="auto"/>
                <w:color w:val="0000EE"/>
              </w:rPr>
            </w:pPr>
            <w:hyperlink r:id="rId109">
              <w:r>
                <w:rPr>
                  <w:rFonts w:ascii="Times New Roman" w:cs="Times New Roman" w:eastAsia="Times New Roman" w:hAnsi="Times New Roman"/>
                  <w:sz w:val="18"/>
                  <w:szCs w:val="18"/>
                  <w:u w:val="single" w:color="auto"/>
                  <w:color w:val="0000EE"/>
                </w:rPr>
                <w:t>10.7</w:t>
              </w:r>
            </w:hyperlink>
          </w:p>
        </w:tc>
        <w:tc>
          <w:tcPr>
            <w:tcW w:w="5100" w:type="dxa"/>
            <w:vAlign w:val="bottom"/>
            <w:gridSpan w:val="12"/>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Employment Agreement, by and between the Registrant and Matthew</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Ferguson, dated as of September 30, 2020</w:t>
              </w:r>
            </w:hyperlink>
          </w:p>
        </w:tc>
        <w:tc>
          <w:tcPr>
            <w:tcW w:w="2000" w:type="dxa"/>
            <w:vAlign w:val="bottom"/>
            <w:tcBorders>
              <w:top w:val="single" w:sz="8" w:color="0000EE"/>
            </w:tcBorders>
            <w:gridSpan w:val="5"/>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rFonts w:ascii="Times New Roman" w:cs="Times New Roman" w:eastAsia="Times New Roman" w:hAnsi="Times New Roman"/>
                <w:sz w:val="18"/>
                <w:szCs w:val="18"/>
                <w:u w:val="single" w:color="auto"/>
                <w:color w:val="0000EE"/>
              </w:rPr>
            </w:pPr>
            <w:hyperlink r:id="rId110">
              <w:r>
                <w:rPr>
                  <w:rFonts w:ascii="Times New Roman" w:cs="Times New Roman" w:eastAsia="Times New Roman" w:hAnsi="Times New Roman"/>
                  <w:sz w:val="18"/>
                  <w:szCs w:val="18"/>
                  <w:u w:val="single" w:color="auto"/>
                  <w:color w:val="0000EE"/>
                </w:rPr>
                <w:t>10.8</w:t>
              </w:r>
            </w:hyperlink>
          </w:p>
        </w:tc>
        <w:tc>
          <w:tcPr>
            <w:tcW w:w="5100" w:type="dxa"/>
            <w:vAlign w:val="bottom"/>
            <w:gridSpan w:val="12"/>
          </w:tcPr>
          <w:p>
            <w:pPr>
              <w:spacing w:after="0"/>
              <w:rPr>
                <w:rFonts w:ascii="Times New Roman" w:cs="Times New Roman" w:eastAsia="Times New Roman" w:hAnsi="Times New Roman"/>
                <w:sz w:val="18"/>
                <w:szCs w:val="18"/>
                <w:u w:val="single" w:color="auto"/>
                <w:color w:val="0000EE"/>
              </w:rPr>
            </w:pPr>
            <w:hyperlink r:id="rId110">
              <w:r>
                <w:rPr>
                  <w:rFonts w:ascii="Times New Roman" w:cs="Times New Roman" w:eastAsia="Times New Roman" w:hAnsi="Times New Roman"/>
                  <w:sz w:val="18"/>
                  <w:szCs w:val="18"/>
                  <w:u w:val="single" w:color="auto"/>
                  <w:color w:val="0000EE"/>
                </w:rPr>
                <w:t>Form of Indemnification Agreement for Directors and Officers</w:t>
              </w:r>
            </w:hyperlink>
          </w:p>
        </w:tc>
        <w:tc>
          <w:tcPr>
            <w:tcW w:w="0" w:type="dxa"/>
            <w:vAlign w:val="bottom"/>
          </w:tcPr>
          <w:p>
            <w:pPr>
              <w:spacing w:after="0"/>
              <w:rPr>
                <w:sz w:val="1"/>
                <w:szCs w:val="1"/>
                <w:color w:val="auto"/>
              </w:rPr>
            </w:pPr>
          </w:p>
        </w:tc>
      </w:tr>
      <w:tr>
        <w:trPr>
          <w:trHeight w:val="648"/>
        </w:trPr>
        <w:tc>
          <w:tcPr>
            <w:tcW w:w="920" w:type="dxa"/>
            <w:vAlign w:val="bottom"/>
          </w:tcPr>
          <w:p>
            <w:pPr>
              <w:spacing w:after="0"/>
              <w:rPr>
                <w:sz w:val="24"/>
                <w:szCs w:val="24"/>
                <w:color w:val="auto"/>
              </w:rPr>
            </w:pPr>
          </w:p>
        </w:tc>
        <w:tc>
          <w:tcPr>
            <w:tcW w:w="4860" w:type="dxa"/>
            <w:vAlign w:val="bottom"/>
            <w:gridSpan w:val="7"/>
          </w:tcPr>
          <w:p>
            <w:pPr>
              <w:ind w:left="4620"/>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Filed/</w:t>
            </w:r>
          </w:p>
        </w:tc>
        <w:tc>
          <w:tcPr>
            <w:tcW w:w="0" w:type="dxa"/>
            <w:vAlign w:val="bottom"/>
          </w:tcPr>
          <w:p>
            <w:pPr>
              <w:spacing w:after="0"/>
              <w:rPr>
                <w:sz w:val="1"/>
                <w:szCs w:val="1"/>
                <w:color w:val="auto"/>
              </w:rPr>
            </w:pPr>
          </w:p>
        </w:tc>
      </w:tr>
      <w:tr>
        <w:trPr>
          <w:trHeight w:val="216"/>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9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Furnished</w:t>
            </w:r>
          </w:p>
        </w:tc>
        <w:tc>
          <w:tcPr>
            <w:tcW w:w="0" w:type="dxa"/>
            <w:vAlign w:val="bottom"/>
          </w:tcPr>
          <w:p>
            <w:pPr>
              <w:spacing w:after="0"/>
              <w:rPr>
                <w:sz w:val="1"/>
                <w:szCs w:val="1"/>
                <w:color w:val="auto"/>
              </w:rPr>
            </w:pPr>
          </w:p>
        </w:tc>
      </w:tr>
      <w:tr>
        <w:trPr>
          <w:trHeight w:val="238"/>
        </w:trPr>
        <w:tc>
          <w:tcPr>
            <w:tcW w:w="600" w:type="dxa"/>
            <w:vAlign w:val="bottom"/>
            <w:vMerge w:val="restart"/>
          </w:tcPr>
          <w:p>
            <w:pPr>
              <w:jc w:val="center"/>
              <w:ind w:right="70"/>
              <w:spacing w:after="0"/>
              <w:rPr>
                <w:rFonts w:ascii="Times New Roman" w:cs="Times New Roman" w:eastAsia="Times New Roman" w:hAnsi="Times New Roman"/>
                <w:sz w:val="18"/>
                <w:szCs w:val="18"/>
                <w:u w:val="single" w:color="auto"/>
                <w:color w:val="0000EE"/>
                <w:w w:val="99"/>
              </w:rPr>
            </w:pPr>
            <w:hyperlink r:id="rId98">
              <w:r>
                <w:rPr>
                  <w:rFonts w:ascii="Times New Roman" w:cs="Times New Roman" w:eastAsia="Times New Roman" w:hAnsi="Times New Roman"/>
                  <w:sz w:val="18"/>
                  <w:szCs w:val="18"/>
                  <w:u w:val="single" w:color="auto"/>
                  <w:color w:val="0000EE"/>
                  <w:w w:val="99"/>
                </w:rPr>
                <w:t>8-K</w:t>
              </w:r>
            </w:hyperlink>
          </w:p>
        </w:tc>
        <w:tc>
          <w:tcPr>
            <w:tcW w:w="1120" w:type="dxa"/>
            <w:vAlign w:val="bottom"/>
            <w:vMerge w:val="restart"/>
          </w:tcPr>
          <w:p>
            <w:pPr>
              <w:jc w:val="center"/>
              <w:spacing w:after="0"/>
              <w:rPr>
                <w:rFonts w:ascii="Times New Roman" w:cs="Times New Roman" w:eastAsia="Times New Roman" w:hAnsi="Times New Roman"/>
                <w:sz w:val="18"/>
                <w:szCs w:val="18"/>
                <w:u w:val="single" w:color="auto"/>
                <w:color w:val="0000EE"/>
                <w:w w:val="99"/>
              </w:rPr>
            </w:pPr>
            <w:hyperlink r:id="rId98">
              <w:r>
                <w:rPr>
                  <w:rFonts w:ascii="Times New Roman" w:cs="Times New Roman" w:eastAsia="Times New Roman" w:hAnsi="Times New Roman"/>
                  <w:sz w:val="18"/>
                  <w:szCs w:val="18"/>
                  <w:u w:val="single" w:color="auto"/>
                  <w:color w:val="0000EE"/>
                  <w:w w:val="99"/>
                </w:rPr>
                <w:t>001-39577</w:t>
              </w:r>
            </w:hyperlink>
          </w:p>
        </w:tc>
        <w:tc>
          <w:tcPr>
            <w:tcW w:w="820" w:type="dxa"/>
            <w:vAlign w:val="bottom"/>
            <w:vMerge w:val="restart"/>
          </w:tcPr>
          <w:p>
            <w:pPr>
              <w:jc w:val="center"/>
              <w:spacing w:after="0"/>
              <w:rPr>
                <w:rFonts w:ascii="Times New Roman" w:cs="Times New Roman" w:eastAsia="Times New Roman" w:hAnsi="Times New Roman"/>
                <w:sz w:val="18"/>
                <w:szCs w:val="18"/>
                <w:u w:val="single" w:color="auto"/>
                <w:color w:val="0000EE"/>
                <w:w w:val="97"/>
              </w:rPr>
            </w:pPr>
            <w:hyperlink r:id="rId98">
              <w:r>
                <w:rPr>
                  <w:rFonts w:ascii="Times New Roman" w:cs="Times New Roman" w:eastAsia="Times New Roman" w:hAnsi="Times New Roman"/>
                  <w:sz w:val="18"/>
                  <w:szCs w:val="18"/>
                  <w:u w:val="single" w:color="auto"/>
                  <w:color w:val="0000EE"/>
                  <w:w w:val="97"/>
                </w:rPr>
                <w:t>3.1</w:t>
              </w:r>
            </w:hyperlink>
          </w:p>
        </w:tc>
        <w:tc>
          <w:tcPr>
            <w:tcW w:w="1120" w:type="dxa"/>
            <w:vAlign w:val="bottom"/>
            <w:vMerge w:val="restart"/>
          </w:tcPr>
          <w:p>
            <w:pPr>
              <w:ind w:left="120"/>
              <w:spacing w:after="0"/>
              <w:rPr>
                <w:rFonts w:ascii="Times New Roman" w:cs="Times New Roman" w:eastAsia="Times New Roman" w:hAnsi="Times New Roman"/>
                <w:sz w:val="18"/>
                <w:szCs w:val="18"/>
                <w:u w:val="single" w:color="auto"/>
                <w:color w:val="0000EE"/>
              </w:rPr>
            </w:pPr>
            <w:hyperlink r:id="rId98">
              <w:r>
                <w:rPr>
                  <w:rFonts w:ascii="Times New Roman" w:cs="Times New Roman" w:eastAsia="Times New Roman" w:hAnsi="Times New Roman"/>
                  <w:sz w:val="18"/>
                  <w:szCs w:val="18"/>
                  <w:u w:val="single" w:color="auto"/>
                  <w:color w:val="0000EE"/>
                </w:rPr>
                <w:t>10/13/2020</w:t>
              </w:r>
            </w:hyperlink>
          </w:p>
        </w:tc>
        <w:tc>
          <w:tcPr>
            <w:tcW w:w="9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16"/>
        </w:trPr>
        <w:tc>
          <w:tcPr>
            <w:tcW w:w="6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0" w:type="dxa"/>
            <w:vAlign w:val="bottom"/>
          </w:tcPr>
          <w:p>
            <w:pPr>
              <w:jc w:val="center"/>
              <w:ind w:right="70"/>
              <w:spacing w:after="0"/>
              <w:rPr>
                <w:rFonts w:ascii="Times New Roman" w:cs="Times New Roman" w:eastAsia="Times New Roman" w:hAnsi="Times New Roman"/>
                <w:sz w:val="18"/>
                <w:szCs w:val="18"/>
                <w:u w:val="single" w:color="auto"/>
                <w:color w:val="0000EE"/>
                <w:w w:val="99"/>
              </w:rPr>
            </w:pPr>
            <w:hyperlink r:id="rId99">
              <w:r>
                <w:rPr>
                  <w:rFonts w:ascii="Times New Roman" w:cs="Times New Roman" w:eastAsia="Times New Roman" w:hAnsi="Times New Roman"/>
                  <w:sz w:val="18"/>
                  <w:szCs w:val="18"/>
                  <w:u w:val="single" w:color="auto"/>
                  <w:color w:val="0000EE"/>
                  <w:w w:val="99"/>
                </w:rPr>
                <w:t>8-K</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w w:val="99"/>
              </w:rPr>
            </w:pPr>
            <w:hyperlink r:id="rId99">
              <w:r>
                <w:rPr>
                  <w:rFonts w:ascii="Times New Roman" w:cs="Times New Roman" w:eastAsia="Times New Roman" w:hAnsi="Times New Roman"/>
                  <w:sz w:val="18"/>
                  <w:szCs w:val="18"/>
                  <w:u w:val="single" w:color="auto"/>
                  <w:color w:val="0000EE"/>
                  <w:w w:val="99"/>
                </w:rPr>
                <w:t>001-39577</w:t>
              </w:r>
            </w:hyperlink>
          </w:p>
        </w:tc>
        <w:tc>
          <w:tcPr>
            <w:tcW w:w="820" w:type="dxa"/>
            <w:vAlign w:val="bottom"/>
          </w:tcPr>
          <w:p>
            <w:pPr>
              <w:jc w:val="center"/>
              <w:spacing w:after="0"/>
              <w:rPr>
                <w:rFonts w:ascii="Times New Roman" w:cs="Times New Roman" w:eastAsia="Times New Roman" w:hAnsi="Times New Roman"/>
                <w:sz w:val="18"/>
                <w:szCs w:val="18"/>
                <w:u w:val="single" w:color="auto"/>
                <w:color w:val="0000EE"/>
                <w:w w:val="97"/>
              </w:rPr>
            </w:pPr>
            <w:hyperlink r:id="rId99">
              <w:r>
                <w:rPr>
                  <w:rFonts w:ascii="Times New Roman" w:cs="Times New Roman" w:eastAsia="Times New Roman" w:hAnsi="Times New Roman"/>
                  <w:sz w:val="18"/>
                  <w:szCs w:val="18"/>
                  <w:u w:val="single" w:color="auto"/>
                  <w:color w:val="0000EE"/>
                  <w:w w:val="97"/>
                </w:rPr>
                <w:t>3.2</w:t>
              </w:r>
            </w:hyperlink>
          </w:p>
        </w:tc>
        <w:tc>
          <w:tcPr>
            <w:tcW w:w="1120" w:type="dxa"/>
            <w:vAlign w:val="bottom"/>
          </w:tcPr>
          <w:p>
            <w:pPr>
              <w:ind w:left="120"/>
              <w:spacing w:after="0"/>
              <w:rPr>
                <w:rFonts w:ascii="Times New Roman" w:cs="Times New Roman" w:eastAsia="Times New Roman" w:hAnsi="Times New Roman"/>
                <w:sz w:val="18"/>
                <w:szCs w:val="18"/>
                <w:u w:val="single" w:color="auto"/>
                <w:color w:val="0000EE"/>
              </w:rPr>
            </w:pPr>
            <w:hyperlink r:id="rId99">
              <w:r>
                <w:rPr>
                  <w:rFonts w:ascii="Times New Roman" w:cs="Times New Roman" w:eastAsia="Times New Roman" w:hAnsi="Times New Roman"/>
                  <w:sz w:val="18"/>
                  <w:szCs w:val="18"/>
                  <w:u w:val="single" w:color="auto"/>
                  <w:color w:val="0000EE"/>
                </w:rPr>
                <w:t>10/13/2020</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00" w:type="dxa"/>
            <w:vAlign w:val="bottom"/>
          </w:tcPr>
          <w:p>
            <w:pPr>
              <w:jc w:val="center"/>
              <w:ind w:right="70"/>
              <w:spacing w:after="0"/>
              <w:rPr>
                <w:rFonts w:ascii="Times New Roman" w:cs="Times New Roman" w:eastAsia="Times New Roman" w:hAnsi="Times New Roman"/>
                <w:sz w:val="18"/>
                <w:szCs w:val="18"/>
                <w:u w:val="single" w:color="auto"/>
                <w:color w:val="0000EE"/>
                <w:w w:val="95"/>
              </w:rPr>
            </w:pPr>
            <w:hyperlink r:id="rId100">
              <w:r>
                <w:rPr>
                  <w:rFonts w:ascii="Times New Roman" w:cs="Times New Roman" w:eastAsia="Times New Roman" w:hAnsi="Times New Roman"/>
                  <w:sz w:val="18"/>
                  <w:szCs w:val="18"/>
                  <w:u w:val="single" w:color="auto"/>
                  <w:color w:val="0000EE"/>
                  <w:w w:val="95"/>
                </w:rPr>
                <w:t>S-1</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rPr>
            </w:pPr>
            <w:hyperlink r:id="rId100">
              <w:r>
                <w:rPr>
                  <w:rFonts w:ascii="Times New Roman" w:cs="Times New Roman" w:eastAsia="Times New Roman" w:hAnsi="Times New Roman"/>
                  <w:sz w:val="18"/>
                  <w:szCs w:val="18"/>
                  <w:u w:val="single" w:color="auto"/>
                  <w:color w:val="0000EE"/>
                </w:rPr>
                <w:t>333-248788</w:t>
              </w:r>
            </w:hyperlink>
          </w:p>
        </w:tc>
        <w:tc>
          <w:tcPr>
            <w:tcW w:w="820" w:type="dxa"/>
            <w:vAlign w:val="bottom"/>
          </w:tcPr>
          <w:p>
            <w:pPr>
              <w:jc w:val="center"/>
              <w:spacing w:after="0"/>
              <w:rPr>
                <w:rFonts w:ascii="Times New Roman" w:cs="Times New Roman" w:eastAsia="Times New Roman" w:hAnsi="Times New Roman"/>
                <w:sz w:val="18"/>
                <w:szCs w:val="18"/>
                <w:u w:val="single" w:color="auto"/>
                <w:color w:val="0000EE"/>
                <w:w w:val="97"/>
              </w:rPr>
            </w:pPr>
            <w:hyperlink r:id="rId100">
              <w:r>
                <w:rPr>
                  <w:rFonts w:ascii="Times New Roman" w:cs="Times New Roman" w:eastAsia="Times New Roman" w:hAnsi="Times New Roman"/>
                  <w:sz w:val="18"/>
                  <w:szCs w:val="18"/>
                  <w:u w:val="single" w:color="auto"/>
                  <w:color w:val="0000EE"/>
                  <w:w w:val="97"/>
                </w:rPr>
                <w:t>4.1</w:t>
              </w:r>
            </w:hyperlink>
          </w:p>
        </w:tc>
        <w:tc>
          <w:tcPr>
            <w:tcW w:w="1120" w:type="dxa"/>
            <w:vAlign w:val="bottom"/>
          </w:tcPr>
          <w:p>
            <w:pPr>
              <w:ind w:left="120"/>
              <w:spacing w:after="0"/>
              <w:rPr>
                <w:rFonts w:ascii="Times New Roman" w:cs="Times New Roman" w:eastAsia="Times New Roman" w:hAnsi="Times New Roman"/>
                <w:sz w:val="18"/>
                <w:szCs w:val="18"/>
                <w:u w:val="single" w:color="auto"/>
                <w:color w:val="0000EE"/>
              </w:rPr>
            </w:pPr>
            <w:hyperlink r:id="rId100">
              <w:r>
                <w:rPr>
                  <w:rFonts w:ascii="Times New Roman" w:cs="Times New Roman" w:eastAsia="Times New Roman" w:hAnsi="Times New Roman"/>
                  <w:sz w:val="18"/>
                  <w:szCs w:val="18"/>
                  <w:u w:val="single" w:color="auto"/>
                  <w:color w:val="0000EE"/>
                </w:rPr>
                <w:t>09/14/2020</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600" w:type="dxa"/>
            <w:vAlign w:val="bottom"/>
          </w:tcPr>
          <w:p>
            <w:pPr>
              <w:jc w:val="center"/>
              <w:ind w:right="70"/>
              <w:spacing w:after="0"/>
              <w:rPr>
                <w:rFonts w:ascii="Times New Roman" w:cs="Times New Roman" w:eastAsia="Times New Roman" w:hAnsi="Times New Roman"/>
                <w:sz w:val="18"/>
                <w:szCs w:val="18"/>
                <w:u w:val="single" w:color="auto"/>
                <w:color w:val="0000EE"/>
                <w:w w:val="95"/>
              </w:rPr>
            </w:pPr>
            <w:hyperlink r:id="rId101">
              <w:r>
                <w:rPr>
                  <w:rFonts w:ascii="Times New Roman" w:cs="Times New Roman" w:eastAsia="Times New Roman" w:hAnsi="Times New Roman"/>
                  <w:sz w:val="18"/>
                  <w:szCs w:val="18"/>
                  <w:u w:val="single" w:color="auto"/>
                  <w:color w:val="0000EE"/>
                  <w:w w:val="95"/>
                </w:rPr>
                <w:t>S-1</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rPr>
            </w:pPr>
            <w:hyperlink r:id="rId101">
              <w:r>
                <w:rPr>
                  <w:rFonts w:ascii="Times New Roman" w:cs="Times New Roman" w:eastAsia="Times New Roman" w:hAnsi="Times New Roman"/>
                  <w:sz w:val="18"/>
                  <w:szCs w:val="18"/>
                  <w:u w:val="single" w:color="auto"/>
                  <w:color w:val="0000EE"/>
                </w:rPr>
                <w:t>333-248788</w:t>
              </w:r>
            </w:hyperlink>
          </w:p>
        </w:tc>
        <w:tc>
          <w:tcPr>
            <w:tcW w:w="820" w:type="dxa"/>
            <w:vAlign w:val="bottom"/>
          </w:tcPr>
          <w:p>
            <w:pPr>
              <w:jc w:val="center"/>
              <w:spacing w:after="0"/>
              <w:rPr>
                <w:rFonts w:ascii="Times New Roman" w:cs="Times New Roman" w:eastAsia="Times New Roman" w:hAnsi="Times New Roman"/>
                <w:sz w:val="18"/>
                <w:szCs w:val="18"/>
                <w:u w:val="single" w:color="auto"/>
                <w:color w:val="0000EE"/>
                <w:w w:val="97"/>
              </w:rPr>
            </w:pPr>
            <w:hyperlink r:id="rId101">
              <w:r>
                <w:rPr>
                  <w:rFonts w:ascii="Times New Roman" w:cs="Times New Roman" w:eastAsia="Times New Roman" w:hAnsi="Times New Roman"/>
                  <w:sz w:val="18"/>
                  <w:szCs w:val="18"/>
                  <w:u w:val="single" w:color="auto"/>
                  <w:color w:val="0000EE"/>
                  <w:w w:val="97"/>
                </w:rPr>
                <w:t>4.2</w:t>
              </w:r>
            </w:hyperlink>
          </w:p>
        </w:tc>
        <w:tc>
          <w:tcPr>
            <w:tcW w:w="1120" w:type="dxa"/>
            <w:vAlign w:val="bottom"/>
          </w:tcPr>
          <w:p>
            <w:pPr>
              <w:ind w:left="120"/>
              <w:spacing w:after="0"/>
              <w:rPr>
                <w:rFonts w:ascii="Times New Roman" w:cs="Times New Roman" w:eastAsia="Times New Roman" w:hAnsi="Times New Roman"/>
                <w:sz w:val="18"/>
                <w:szCs w:val="18"/>
                <w:u w:val="single" w:color="auto"/>
                <w:color w:val="0000EE"/>
              </w:rPr>
            </w:pPr>
            <w:hyperlink r:id="rId101">
              <w:r>
                <w:rPr>
                  <w:rFonts w:ascii="Times New Roman" w:cs="Times New Roman" w:eastAsia="Times New Roman" w:hAnsi="Times New Roman"/>
                  <w:sz w:val="18"/>
                  <w:szCs w:val="18"/>
                  <w:u w:val="single" w:color="auto"/>
                  <w:color w:val="0000EE"/>
                </w:rPr>
                <w:t>09/14/2020</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00" w:type="dxa"/>
            <w:vAlign w:val="bottom"/>
          </w:tcPr>
          <w:p>
            <w:pPr>
              <w:jc w:val="center"/>
              <w:ind w:right="70"/>
              <w:spacing w:after="0"/>
              <w:rPr>
                <w:rFonts w:ascii="Times New Roman" w:cs="Times New Roman" w:eastAsia="Times New Roman" w:hAnsi="Times New Roman"/>
                <w:sz w:val="18"/>
                <w:szCs w:val="18"/>
                <w:u w:val="single" w:color="auto"/>
                <w:color w:val="0000EE"/>
              </w:rPr>
            </w:pPr>
            <w:hyperlink r:id="rId102">
              <w:r>
                <w:rPr>
                  <w:rFonts w:ascii="Times New Roman" w:cs="Times New Roman" w:eastAsia="Times New Roman" w:hAnsi="Times New Roman"/>
                  <w:sz w:val="18"/>
                  <w:szCs w:val="18"/>
                  <w:u w:val="single" w:color="auto"/>
                  <w:color w:val="0000EE"/>
                </w:rPr>
                <w:t>S-1/A</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rPr>
            </w:pPr>
            <w:hyperlink r:id="rId102">
              <w:r>
                <w:rPr>
                  <w:rFonts w:ascii="Times New Roman" w:cs="Times New Roman" w:eastAsia="Times New Roman" w:hAnsi="Times New Roman"/>
                  <w:sz w:val="18"/>
                  <w:szCs w:val="18"/>
                  <w:u w:val="single" w:color="auto"/>
                  <w:color w:val="0000EE"/>
                </w:rPr>
                <w:t>333-248788</w:t>
              </w:r>
            </w:hyperlink>
          </w:p>
        </w:tc>
        <w:tc>
          <w:tcPr>
            <w:tcW w:w="820" w:type="dxa"/>
            <w:vAlign w:val="bottom"/>
          </w:tcPr>
          <w:p>
            <w:pPr>
              <w:jc w:val="center"/>
              <w:spacing w:after="0"/>
              <w:rPr>
                <w:rFonts w:ascii="Times New Roman" w:cs="Times New Roman" w:eastAsia="Times New Roman" w:hAnsi="Times New Roman"/>
                <w:sz w:val="18"/>
                <w:szCs w:val="18"/>
                <w:u w:val="single" w:color="auto"/>
                <w:color w:val="0000EE"/>
                <w:w w:val="97"/>
              </w:rPr>
            </w:pPr>
            <w:hyperlink r:id="rId102">
              <w:r>
                <w:rPr>
                  <w:rFonts w:ascii="Times New Roman" w:cs="Times New Roman" w:eastAsia="Times New Roman" w:hAnsi="Times New Roman"/>
                  <w:sz w:val="18"/>
                  <w:szCs w:val="18"/>
                  <w:u w:val="single" w:color="auto"/>
                  <w:color w:val="0000EE"/>
                  <w:w w:val="97"/>
                </w:rPr>
                <w:t>4.3</w:t>
              </w:r>
            </w:hyperlink>
          </w:p>
        </w:tc>
        <w:tc>
          <w:tcPr>
            <w:tcW w:w="1120" w:type="dxa"/>
            <w:vAlign w:val="bottom"/>
          </w:tcPr>
          <w:p>
            <w:pPr>
              <w:ind w:left="120"/>
              <w:spacing w:after="0"/>
              <w:rPr>
                <w:rFonts w:ascii="Times New Roman" w:cs="Times New Roman" w:eastAsia="Times New Roman" w:hAnsi="Times New Roman"/>
                <w:sz w:val="18"/>
                <w:szCs w:val="18"/>
                <w:u w:val="single" w:color="auto"/>
                <w:color w:val="0000EE"/>
              </w:rPr>
            </w:pPr>
            <w:hyperlink r:id="rId102">
              <w:r>
                <w:rPr>
                  <w:rFonts w:ascii="Times New Roman" w:cs="Times New Roman" w:eastAsia="Times New Roman" w:hAnsi="Times New Roman"/>
                  <w:sz w:val="18"/>
                  <w:szCs w:val="18"/>
                  <w:u w:val="single" w:color="auto"/>
                  <w:color w:val="0000EE"/>
                </w:rPr>
                <w:t>09/30/2020</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00" w:type="dxa"/>
            <w:vAlign w:val="bottom"/>
          </w:tcPr>
          <w:p>
            <w:pPr>
              <w:jc w:val="center"/>
              <w:ind w:right="70"/>
              <w:spacing w:after="0"/>
              <w:rPr>
                <w:rFonts w:ascii="Times New Roman" w:cs="Times New Roman" w:eastAsia="Times New Roman" w:hAnsi="Times New Roman"/>
                <w:sz w:val="18"/>
                <w:szCs w:val="18"/>
                <w:u w:val="single" w:color="auto"/>
                <w:color w:val="0000EE"/>
              </w:rPr>
            </w:pPr>
            <w:hyperlink r:id="rId103">
              <w:r>
                <w:rPr>
                  <w:rFonts w:ascii="Times New Roman" w:cs="Times New Roman" w:eastAsia="Times New Roman" w:hAnsi="Times New Roman"/>
                  <w:sz w:val="18"/>
                  <w:szCs w:val="18"/>
                  <w:u w:val="single" w:color="auto"/>
                  <w:color w:val="0000EE"/>
                </w:rPr>
                <w:t>S-1/A</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rPr>
            </w:pPr>
            <w:hyperlink r:id="rId103">
              <w:r>
                <w:rPr>
                  <w:rFonts w:ascii="Times New Roman" w:cs="Times New Roman" w:eastAsia="Times New Roman" w:hAnsi="Times New Roman"/>
                  <w:sz w:val="18"/>
                  <w:szCs w:val="18"/>
                  <w:u w:val="single" w:color="auto"/>
                  <w:color w:val="0000EE"/>
                </w:rPr>
                <w:t>333-248788</w:t>
              </w:r>
            </w:hyperlink>
          </w:p>
        </w:tc>
        <w:tc>
          <w:tcPr>
            <w:tcW w:w="820" w:type="dxa"/>
            <w:vAlign w:val="bottom"/>
          </w:tcPr>
          <w:p>
            <w:pPr>
              <w:jc w:val="center"/>
              <w:spacing w:after="0"/>
              <w:rPr>
                <w:rFonts w:ascii="Times New Roman" w:cs="Times New Roman" w:eastAsia="Times New Roman" w:hAnsi="Times New Roman"/>
                <w:sz w:val="18"/>
                <w:szCs w:val="18"/>
                <w:u w:val="single" w:color="auto"/>
                <w:color w:val="0000EE"/>
                <w:w w:val="95"/>
              </w:rPr>
            </w:pPr>
            <w:hyperlink r:id="rId103">
              <w:r>
                <w:rPr>
                  <w:rFonts w:ascii="Times New Roman" w:cs="Times New Roman" w:eastAsia="Times New Roman" w:hAnsi="Times New Roman"/>
                  <w:sz w:val="18"/>
                  <w:szCs w:val="18"/>
                  <w:u w:val="single" w:color="auto"/>
                  <w:color w:val="0000EE"/>
                  <w:w w:val="95"/>
                </w:rPr>
                <w:t>10.2</w:t>
              </w:r>
            </w:hyperlink>
          </w:p>
        </w:tc>
        <w:tc>
          <w:tcPr>
            <w:tcW w:w="1120" w:type="dxa"/>
            <w:vAlign w:val="bottom"/>
          </w:tcPr>
          <w:p>
            <w:pPr>
              <w:ind w:left="120"/>
              <w:spacing w:after="0"/>
              <w:rPr>
                <w:rFonts w:ascii="Times New Roman" w:cs="Times New Roman" w:eastAsia="Times New Roman" w:hAnsi="Times New Roman"/>
                <w:sz w:val="18"/>
                <w:szCs w:val="18"/>
                <w:u w:val="single" w:color="auto"/>
                <w:color w:val="0000EE"/>
              </w:rPr>
            </w:pPr>
            <w:hyperlink r:id="rId103">
              <w:r>
                <w:rPr>
                  <w:rFonts w:ascii="Times New Roman" w:cs="Times New Roman" w:eastAsia="Times New Roman" w:hAnsi="Times New Roman"/>
                  <w:sz w:val="18"/>
                  <w:szCs w:val="18"/>
                  <w:u w:val="single" w:color="auto"/>
                  <w:color w:val="0000EE"/>
                </w:rPr>
                <w:t>09/30/2020</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00" w:type="dxa"/>
            <w:vAlign w:val="bottom"/>
          </w:tcPr>
          <w:p>
            <w:pPr>
              <w:jc w:val="center"/>
              <w:ind w:right="70"/>
              <w:spacing w:after="0"/>
              <w:rPr>
                <w:rFonts w:ascii="Times New Roman" w:cs="Times New Roman" w:eastAsia="Times New Roman" w:hAnsi="Times New Roman"/>
                <w:sz w:val="18"/>
                <w:szCs w:val="18"/>
                <w:u w:val="single" w:color="auto"/>
                <w:color w:val="0000EE"/>
              </w:rPr>
            </w:pPr>
            <w:hyperlink r:id="rId104">
              <w:r>
                <w:rPr>
                  <w:rFonts w:ascii="Times New Roman" w:cs="Times New Roman" w:eastAsia="Times New Roman" w:hAnsi="Times New Roman"/>
                  <w:sz w:val="18"/>
                  <w:szCs w:val="18"/>
                  <w:u w:val="single" w:color="auto"/>
                  <w:color w:val="0000EE"/>
                </w:rPr>
                <w:t>S-1/A</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rPr>
            </w:pPr>
            <w:hyperlink r:id="rId104">
              <w:r>
                <w:rPr>
                  <w:rFonts w:ascii="Times New Roman" w:cs="Times New Roman" w:eastAsia="Times New Roman" w:hAnsi="Times New Roman"/>
                  <w:sz w:val="18"/>
                  <w:szCs w:val="18"/>
                  <w:u w:val="single" w:color="auto"/>
                  <w:color w:val="0000EE"/>
                </w:rPr>
                <w:t>333-248788</w:t>
              </w:r>
            </w:hyperlink>
          </w:p>
        </w:tc>
        <w:tc>
          <w:tcPr>
            <w:tcW w:w="820" w:type="dxa"/>
            <w:vAlign w:val="bottom"/>
          </w:tcPr>
          <w:p>
            <w:pPr>
              <w:jc w:val="center"/>
              <w:spacing w:after="0"/>
              <w:rPr>
                <w:rFonts w:ascii="Times New Roman" w:cs="Times New Roman" w:eastAsia="Times New Roman" w:hAnsi="Times New Roman"/>
                <w:sz w:val="18"/>
                <w:szCs w:val="18"/>
                <w:u w:val="single" w:color="auto"/>
                <w:color w:val="0000EE"/>
                <w:w w:val="95"/>
              </w:rPr>
            </w:pPr>
            <w:hyperlink r:id="rId104">
              <w:r>
                <w:rPr>
                  <w:rFonts w:ascii="Times New Roman" w:cs="Times New Roman" w:eastAsia="Times New Roman" w:hAnsi="Times New Roman"/>
                  <w:sz w:val="18"/>
                  <w:szCs w:val="18"/>
                  <w:u w:val="single" w:color="auto"/>
                  <w:color w:val="0000EE"/>
                  <w:w w:val="95"/>
                </w:rPr>
                <w:t>10.3</w:t>
              </w:r>
            </w:hyperlink>
          </w:p>
        </w:tc>
        <w:tc>
          <w:tcPr>
            <w:tcW w:w="1120" w:type="dxa"/>
            <w:vAlign w:val="bottom"/>
          </w:tcPr>
          <w:p>
            <w:pPr>
              <w:ind w:left="120"/>
              <w:spacing w:after="0"/>
              <w:rPr>
                <w:rFonts w:ascii="Times New Roman" w:cs="Times New Roman" w:eastAsia="Times New Roman" w:hAnsi="Times New Roman"/>
                <w:sz w:val="18"/>
                <w:szCs w:val="18"/>
                <w:u w:val="single" w:color="auto"/>
                <w:color w:val="0000EE"/>
              </w:rPr>
            </w:pPr>
            <w:hyperlink r:id="rId104">
              <w:r>
                <w:rPr>
                  <w:rFonts w:ascii="Times New Roman" w:cs="Times New Roman" w:eastAsia="Times New Roman" w:hAnsi="Times New Roman"/>
                  <w:sz w:val="18"/>
                  <w:szCs w:val="18"/>
                  <w:u w:val="single" w:color="auto"/>
                  <w:color w:val="0000EE"/>
                </w:rPr>
                <w:t>09/30/2020</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Pr>
          <w:p>
            <w:pPr>
              <w:jc w:val="center"/>
              <w:ind w:right="70"/>
              <w:spacing w:after="0"/>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S-1/A</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333-248788</w:t>
              </w:r>
            </w:hyperlink>
          </w:p>
        </w:tc>
        <w:tc>
          <w:tcPr>
            <w:tcW w:w="820" w:type="dxa"/>
            <w:vAlign w:val="bottom"/>
          </w:tcPr>
          <w:p>
            <w:pPr>
              <w:jc w:val="center"/>
              <w:spacing w:after="0"/>
              <w:rPr>
                <w:rFonts w:ascii="Times New Roman" w:cs="Times New Roman" w:eastAsia="Times New Roman" w:hAnsi="Times New Roman"/>
                <w:sz w:val="18"/>
                <w:szCs w:val="18"/>
                <w:u w:val="single" w:color="auto"/>
                <w:color w:val="0000EE"/>
                <w:w w:val="95"/>
              </w:rPr>
            </w:pPr>
            <w:hyperlink r:id="rId105">
              <w:r>
                <w:rPr>
                  <w:rFonts w:ascii="Times New Roman" w:cs="Times New Roman" w:eastAsia="Times New Roman" w:hAnsi="Times New Roman"/>
                  <w:sz w:val="18"/>
                  <w:szCs w:val="18"/>
                  <w:u w:val="single" w:color="auto"/>
                  <w:color w:val="0000EE"/>
                  <w:w w:val="95"/>
                </w:rPr>
                <w:t>10.4</w:t>
              </w:r>
            </w:hyperlink>
          </w:p>
        </w:tc>
        <w:tc>
          <w:tcPr>
            <w:tcW w:w="1120" w:type="dxa"/>
            <w:vAlign w:val="bottom"/>
          </w:tcPr>
          <w:p>
            <w:pPr>
              <w:ind w:left="120"/>
              <w:spacing w:after="0"/>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09/30/2020</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00" w:type="dxa"/>
            <w:vAlign w:val="bottom"/>
          </w:tcPr>
          <w:p>
            <w:pPr>
              <w:jc w:val="center"/>
              <w:ind w:right="70"/>
              <w:spacing w:after="0"/>
              <w:rPr>
                <w:rFonts w:ascii="Times New Roman" w:cs="Times New Roman" w:eastAsia="Times New Roman" w:hAnsi="Times New Roman"/>
                <w:sz w:val="18"/>
                <w:szCs w:val="18"/>
                <w:u w:val="single" w:color="auto"/>
                <w:color w:val="0000EE"/>
              </w:rPr>
            </w:pPr>
            <w:hyperlink r:id="rId106">
              <w:r>
                <w:rPr>
                  <w:rFonts w:ascii="Times New Roman" w:cs="Times New Roman" w:eastAsia="Times New Roman" w:hAnsi="Times New Roman"/>
                  <w:sz w:val="18"/>
                  <w:szCs w:val="18"/>
                  <w:u w:val="single" w:color="auto"/>
                  <w:color w:val="0000EE"/>
                </w:rPr>
                <w:t>S-1/A</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rPr>
            </w:pPr>
            <w:hyperlink r:id="rId106">
              <w:r>
                <w:rPr>
                  <w:rFonts w:ascii="Times New Roman" w:cs="Times New Roman" w:eastAsia="Times New Roman" w:hAnsi="Times New Roman"/>
                  <w:sz w:val="18"/>
                  <w:szCs w:val="18"/>
                  <w:u w:val="single" w:color="auto"/>
                  <w:color w:val="0000EE"/>
                </w:rPr>
                <w:t>333-248788</w:t>
              </w:r>
            </w:hyperlink>
          </w:p>
        </w:tc>
        <w:tc>
          <w:tcPr>
            <w:tcW w:w="820" w:type="dxa"/>
            <w:vAlign w:val="bottom"/>
          </w:tcPr>
          <w:p>
            <w:pPr>
              <w:jc w:val="center"/>
              <w:spacing w:after="0"/>
              <w:rPr>
                <w:rFonts w:ascii="Times New Roman" w:cs="Times New Roman" w:eastAsia="Times New Roman" w:hAnsi="Times New Roman"/>
                <w:sz w:val="18"/>
                <w:szCs w:val="18"/>
                <w:u w:val="single" w:color="auto"/>
                <w:color w:val="0000EE"/>
                <w:w w:val="95"/>
              </w:rPr>
            </w:pPr>
            <w:hyperlink r:id="rId106">
              <w:r>
                <w:rPr>
                  <w:rFonts w:ascii="Times New Roman" w:cs="Times New Roman" w:eastAsia="Times New Roman" w:hAnsi="Times New Roman"/>
                  <w:sz w:val="18"/>
                  <w:szCs w:val="18"/>
                  <w:u w:val="single" w:color="auto"/>
                  <w:color w:val="0000EE"/>
                  <w:w w:val="95"/>
                </w:rPr>
                <w:t>10.6</w:t>
              </w:r>
            </w:hyperlink>
          </w:p>
        </w:tc>
        <w:tc>
          <w:tcPr>
            <w:tcW w:w="1120" w:type="dxa"/>
            <w:vAlign w:val="bottom"/>
          </w:tcPr>
          <w:p>
            <w:pPr>
              <w:ind w:left="120"/>
              <w:spacing w:after="0"/>
              <w:rPr>
                <w:rFonts w:ascii="Times New Roman" w:cs="Times New Roman" w:eastAsia="Times New Roman" w:hAnsi="Times New Roman"/>
                <w:sz w:val="18"/>
                <w:szCs w:val="18"/>
                <w:u w:val="single" w:color="auto"/>
                <w:color w:val="0000EE"/>
              </w:rPr>
            </w:pPr>
            <w:hyperlink r:id="rId106">
              <w:r>
                <w:rPr>
                  <w:rFonts w:ascii="Times New Roman" w:cs="Times New Roman" w:eastAsia="Times New Roman" w:hAnsi="Times New Roman"/>
                  <w:sz w:val="18"/>
                  <w:szCs w:val="18"/>
                  <w:u w:val="single" w:color="auto"/>
                  <w:color w:val="0000EE"/>
                </w:rPr>
                <w:t>09/30/2020</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00" w:type="dxa"/>
            <w:vAlign w:val="bottom"/>
          </w:tcPr>
          <w:p>
            <w:pPr>
              <w:jc w:val="center"/>
              <w:ind w:right="70"/>
              <w:spacing w:after="0"/>
              <w:rPr>
                <w:rFonts w:ascii="Times New Roman" w:cs="Times New Roman" w:eastAsia="Times New Roman" w:hAnsi="Times New Roman"/>
                <w:sz w:val="18"/>
                <w:szCs w:val="18"/>
                <w:u w:val="single" w:color="auto"/>
                <w:color w:val="0000EE"/>
              </w:rPr>
            </w:pPr>
            <w:hyperlink r:id="rId107">
              <w:r>
                <w:rPr>
                  <w:rFonts w:ascii="Times New Roman" w:cs="Times New Roman" w:eastAsia="Times New Roman" w:hAnsi="Times New Roman"/>
                  <w:sz w:val="18"/>
                  <w:szCs w:val="18"/>
                  <w:u w:val="single" w:color="auto"/>
                  <w:color w:val="0000EE"/>
                </w:rPr>
                <w:t>S-1/A</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rPr>
            </w:pPr>
            <w:hyperlink r:id="rId107">
              <w:r>
                <w:rPr>
                  <w:rFonts w:ascii="Times New Roman" w:cs="Times New Roman" w:eastAsia="Times New Roman" w:hAnsi="Times New Roman"/>
                  <w:sz w:val="18"/>
                  <w:szCs w:val="18"/>
                  <w:u w:val="single" w:color="auto"/>
                  <w:color w:val="0000EE"/>
                </w:rPr>
                <w:t>333-248788</w:t>
              </w:r>
            </w:hyperlink>
          </w:p>
        </w:tc>
        <w:tc>
          <w:tcPr>
            <w:tcW w:w="820" w:type="dxa"/>
            <w:vAlign w:val="bottom"/>
          </w:tcPr>
          <w:p>
            <w:pPr>
              <w:jc w:val="center"/>
              <w:spacing w:after="0"/>
              <w:rPr>
                <w:rFonts w:ascii="Times New Roman" w:cs="Times New Roman" w:eastAsia="Times New Roman" w:hAnsi="Times New Roman"/>
                <w:sz w:val="18"/>
                <w:szCs w:val="18"/>
                <w:u w:val="single" w:color="auto"/>
                <w:color w:val="0000EE"/>
                <w:w w:val="95"/>
              </w:rPr>
            </w:pPr>
            <w:hyperlink r:id="rId107">
              <w:r>
                <w:rPr>
                  <w:rFonts w:ascii="Times New Roman" w:cs="Times New Roman" w:eastAsia="Times New Roman" w:hAnsi="Times New Roman"/>
                  <w:sz w:val="18"/>
                  <w:szCs w:val="18"/>
                  <w:u w:val="single" w:color="auto"/>
                  <w:color w:val="0000EE"/>
                  <w:w w:val="95"/>
                </w:rPr>
                <w:t>10.8</w:t>
              </w:r>
            </w:hyperlink>
          </w:p>
        </w:tc>
        <w:tc>
          <w:tcPr>
            <w:tcW w:w="1120" w:type="dxa"/>
            <w:vAlign w:val="bottom"/>
          </w:tcPr>
          <w:p>
            <w:pPr>
              <w:ind w:left="120"/>
              <w:spacing w:after="0"/>
              <w:rPr>
                <w:rFonts w:ascii="Times New Roman" w:cs="Times New Roman" w:eastAsia="Times New Roman" w:hAnsi="Times New Roman"/>
                <w:sz w:val="18"/>
                <w:szCs w:val="18"/>
                <w:u w:val="single" w:color="auto"/>
                <w:color w:val="0000EE"/>
              </w:rPr>
            </w:pPr>
            <w:hyperlink r:id="rId107">
              <w:r>
                <w:rPr>
                  <w:rFonts w:ascii="Times New Roman" w:cs="Times New Roman" w:eastAsia="Times New Roman" w:hAnsi="Times New Roman"/>
                  <w:sz w:val="18"/>
                  <w:szCs w:val="18"/>
                  <w:u w:val="single" w:color="auto"/>
                  <w:color w:val="0000EE"/>
                </w:rPr>
                <w:t>09/30/2020</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00" w:type="dxa"/>
            <w:vAlign w:val="bottom"/>
          </w:tcPr>
          <w:p>
            <w:pPr>
              <w:jc w:val="center"/>
              <w:ind w:right="70"/>
              <w:spacing w:after="0"/>
              <w:rPr>
                <w:rFonts w:ascii="Times New Roman" w:cs="Times New Roman" w:eastAsia="Times New Roman" w:hAnsi="Times New Roman"/>
                <w:sz w:val="18"/>
                <w:szCs w:val="18"/>
                <w:u w:val="single" w:color="auto"/>
                <w:color w:val="0000EE"/>
              </w:rPr>
            </w:pPr>
            <w:hyperlink r:id="rId108">
              <w:r>
                <w:rPr>
                  <w:rFonts w:ascii="Times New Roman" w:cs="Times New Roman" w:eastAsia="Times New Roman" w:hAnsi="Times New Roman"/>
                  <w:sz w:val="18"/>
                  <w:szCs w:val="18"/>
                  <w:u w:val="single" w:color="auto"/>
                  <w:color w:val="0000EE"/>
                </w:rPr>
                <w:t>S-1/A</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rPr>
            </w:pPr>
            <w:hyperlink r:id="rId108">
              <w:r>
                <w:rPr>
                  <w:rFonts w:ascii="Times New Roman" w:cs="Times New Roman" w:eastAsia="Times New Roman" w:hAnsi="Times New Roman"/>
                  <w:sz w:val="18"/>
                  <w:szCs w:val="18"/>
                  <w:u w:val="single" w:color="auto"/>
                  <w:color w:val="0000EE"/>
                </w:rPr>
                <w:t>333-248788</w:t>
              </w:r>
            </w:hyperlink>
          </w:p>
        </w:tc>
        <w:tc>
          <w:tcPr>
            <w:tcW w:w="820" w:type="dxa"/>
            <w:vAlign w:val="bottom"/>
          </w:tcPr>
          <w:p>
            <w:pPr>
              <w:jc w:val="center"/>
              <w:spacing w:after="0"/>
              <w:rPr>
                <w:rFonts w:ascii="Times New Roman" w:cs="Times New Roman" w:eastAsia="Times New Roman" w:hAnsi="Times New Roman"/>
                <w:sz w:val="18"/>
                <w:szCs w:val="18"/>
                <w:u w:val="single" w:color="auto"/>
                <w:color w:val="0000EE"/>
                <w:w w:val="98"/>
              </w:rPr>
            </w:pPr>
            <w:hyperlink r:id="rId108">
              <w:r>
                <w:rPr>
                  <w:rFonts w:ascii="Times New Roman" w:cs="Times New Roman" w:eastAsia="Times New Roman" w:hAnsi="Times New Roman"/>
                  <w:sz w:val="18"/>
                  <w:szCs w:val="18"/>
                  <w:u w:val="single" w:color="auto"/>
                  <w:color w:val="0000EE"/>
                  <w:w w:val="98"/>
                </w:rPr>
                <w:t>10.10</w:t>
              </w:r>
            </w:hyperlink>
          </w:p>
        </w:tc>
        <w:tc>
          <w:tcPr>
            <w:tcW w:w="1120" w:type="dxa"/>
            <w:vAlign w:val="bottom"/>
          </w:tcPr>
          <w:p>
            <w:pPr>
              <w:ind w:left="120"/>
              <w:spacing w:after="0"/>
              <w:rPr>
                <w:rFonts w:ascii="Times New Roman" w:cs="Times New Roman" w:eastAsia="Times New Roman" w:hAnsi="Times New Roman"/>
                <w:sz w:val="18"/>
                <w:szCs w:val="18"/>
                <w:u w:val="single" w:color="auto"/>
                <w:color w:val="0000EE"/>
              </w:rPr>
            </w:pPr>
            <w:hyperlink r:id="rId108">
              <w:r>
                <w:rPr>
                  <w:rFonts w:ascii="Times New Roman" w:cs="Times New Roman" w:eastAsia="Times New Roman" w:hAnsi="Times New Roman"/>
                  <w:sz w:val="18"/>
                  <w:szCs w:val="18"/>
                  <w:u w:val="single" w:color="auto"/>
                  <w:color w:val="0000EE"/>
                </w:rPr>
                <w:t>09/30/2020</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00" w:type="dxa"/>
            <w:vAlign w:val="bottom"/>
          </w:tcPr>
          <w:p>
            <w:pPr>
              <w:jc w:val="center"/>
              <w:ind w:right="70"/>
              <w:spacing w:after="0"/>
              <w:rPr>
                <w:rFonts w:ascii="Times New Roman" w:cs="Times New Roman" w:eastAsia="Times New Roman" w:hAnsi="Times New Roman"/>
                <w:sz w:val="18"/>
                <w:szCs w:val="18"/>
                <w:u w:val="single" w:color="auto"/>
                <w:color w:val="0000EE"/>
              </w:rPr>
            </w:pPr>
            <w:hyperlink r:id="rId109">
              <w:r>
                <w:rPr>
                  <w:rFonts w:ascii="Times New Roman" w:cs="Times New Roman" w:eastAsia="Times New Roman" w:hAnsi="Times New Roman"/>
                  <w:sz w:val="18"/>
                  <w:szCs w:val="18"/>
                  <w:u w:val="single" w:color="auto"/>
                  <w:color w:val="0000EE"/>
                </w:rPr>
                <w:t>S-1/A</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rPr>
            </w:pPr>
            <w:hyperlink r:id="rId109">
              <w:r>
                <w:rPr>
                  <w:rFonts w:ascii="Times New Roman" w:cs="Times New Roman" w:eastAsia="Times New Roman" w:hAnsi="Times New Roman"/>
                  <w:sz w:val="18"/>
                  <w:szCs w:val="18"/>
                  <w:u w:val="single" w:color="auto"/>
                  <w:color w:val="0000EE"/>
                </w:rPr>
                <w:t>333-248788</w:t>
              </w:r>
            </w:hyperlink>
          </w:p>
        </w:tc>
        <w:tc>
          <w:tcPr>
            <w:tcW w:w="820" w:type="dxa"/>
            <w:vAlign w:val="bottom"/>
          </w:tcPr>
          <w:p>
            <w:pPr>
              <w:jc w:val="center"/>
              <w:spacing w:after="0"/>
              <w:rPr>
                <w:rFonts w:ascii="Times New Roman" w:cs="Times New Roman" w:eastAsia="Times New Roman" w:hAnsi="Times New Roman"/>
                <w:sz w:val="18"/>
                <w:szCs w:val="18"/>
                <w:u w:val="single" w:color="auto"/>
                <w:color w:val="0000EE"/>
                <w:w w:val="98"/>
              </w:rPr>
            </w:pPr>
            <w:hyperlink r:id="rId109">
              <w:r>
                <w:rPr>
                  <w:rFonts w:ascii="Times New Roman" w:cs="Times New Roman" w:eastAsia="Times New Roman" w:hAnsi="Times New Roman"/>
                  <w:sz w:val="18"/>
                  <w:szCs w:val="18"/>
                  <w:u w:val="single" w:color="auto"/>
                  <w:color w:val="0000EE"/>
                  <w:w w:val="98"/>
                </w:rPr>
                <w:t>10.11</w:t>
              </w:r>
            </w:hyperlink>
          </w:p>
        </w:tc>
        <w:tc>
          <w:tcPr>
            <w:tcW w:w="1120" w:type="dxa"/>
            <w:vAlign w:val="bottom"/>
          </w:tcPr>
          <w:p>
            <w:pPr>
              <w:ind w:left="120"/>
              <w:spacing w:after="0"/>
              <w:rPr>
                <w:rFonts w:ascii="Times New Roman" w:cs="Times New Roman" w:eastAsia="Times New Roman" w:hAnsi="Times New Roman"/>
                <w:sz w:val="18"/>
                <w:szCs w:val="18"/>
                <w:u w:val="single" w:color="auto"/>
                <w:color w:val="0000EE"/>
              </w:rPr>
            </w:pPr>
            <w:hyperlink r:id="rId109">
              <w:r>
                <w:rPr>
                  <w:rFonts w:ascii="Times New Roman" w:cs="Times New Roman" w:eastAsia="Times New Roman" w:hAnsi="Times New Roman"/>
                  <w:sz w:val="18"/>
                  <w:szCs w:val="18"/>
                  <w:u w:val="single" w:color="auto"/>
                  <w:color w:val="0000EE"/>
                </w:rPr>
                <w:t>09/30/2020</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00" w:type="dxa"/>
            <w:vAlign w:val="bottom"/>
          </w:tcPr>
          <w:p>
            <w:pPr>
              <w:jc w:val="center"/>
              <w:ind w:right="70"/>
              <w:spacing w:after="0"/>
              <w:rPr>
                <w:rFonts w:ascii="Times New Roman" w:cs="Times New Roman" w:eastAsia="Times New Roman" w:hAnsi="Times New Roman"/>
                <w:sz w:val="18"/>
                <w:szCs w:val="18"/>
                <w:u w:val="single" w:color="auto"/>
                <w:color w:val="0000EE"/>
              </w:rPr>
            </w:pPr>
            <w:hyperlink r:id="rId110">
              <w:r>
                <w:rPr>
                  <w:rFonts w:ascii="Times New Roman" w:cs="Times New Roman" w:eastAsia="Times New Roman" w:hAnsi="Times New Roman"/>
                  <w:sz w:val="18"/>
                  <w:szCs w:val="18"/>
                  <w:u w:val="single" w:color="auto"/>
                  <w:color w:val="0000EE"/>
                </w:rPr>
                <w:t>S-1/A</w:t>
              </w:r>
            </w:hyperlink>
          </w:p>
        </w:tc>
        <w:tc>
          <w:tcPr>
            <w:tcW w:w="1120" w:type="dxa"/>
            <w:vAlign w:val="bottom"/>
          </w:tcPr>
          <w:p>
            <w:pPr>
              <w:jc w:val="center"/>
              <w:spacing w:after="0"/>
              <w:rPr>
                <w:rFonts w:ascii="Times New Roman" w:cs="Times New Roman" w:eastAsia="Times New Roman" w:hAnsi="Times New Roman"/>
                <w:sz w:val="18"/>
                <w:szCs w:val="18"/>
                <w:u w:val="single" w:color="auto"/>
                <w:color w:val="0000EE"/>
              </w:rPr>
            </w:pPr>
            <w:hyperlink r:id="rId110">
              <w:r>
                <w:rPr>
                  <w:rFonts w:ascii="Times New Roman" w:cs="Times New Roman" w:eastAsia="Times New Roman" w:hAnsi="Times New Roman"/>
                  <w:sz w:val="18"/>
                  <w:szCs w:val="18"/>
                  <w:u w:val="single" w:color="auto"/>
                  <w:color w:val="0000EE"/>
                </w:rPr>
                <w:t>333-248788</w:t>
              </w:r>
            </w:hyperlink>
          </w:p>
        </w:tc>
        <w:tc>
          <w:tcPr>
            <w:tcW w:w="820" w:type="dxa"/>
            <w:vAlign w:val="bottom"/>
          </w:tcPr>
          <w:p>
            <w:pPr>
              <w:jc w:val="center"/>
              <w:spacing w:after="0"/>
              <w:rPr>
                <w:rFonts w:ascii="Times New Roman" w:cs="Times New Roman" w:eastAsia="Times New Roman" w:hAnsi="Times New Roman"/>
                <w:sz w:val="18"/>
                <w:szCs w:val="18"/>
                <w:u w:val="single" w:color="auto"/>
                <w:color w:val="0000EE"/>
                <w:w w:val="98"/>
              </w:rPr>
            </w:pPr>
            <w:hyperlink r:id="rId110">
              <w:r>
                <w:rPr>
                  <w:rFonts w:ascii="Times New Roman" w:cs="Times New Roman" w:eastAsia="Times New Roman" w:hAnsi="Times New Roman"/>
                  <w:sz w:val="18"/>
                  <w:szCs w:val="18"/>
                  <w:u w:val="single" w:color="auto"/>
                  <w:color w:val="0000EE"/>
                  <w:w w:val="98"/>
                </w:rPr>
                <w:t>10.12</w:t>
              </w:r>
            </w:hyperlink>
          </w:p>
        </w:tc>
        <w:tc>
          <w:tcPr>
            <w:tcW w:w="1120" w:type="dxa"/>
            <w:vAlign w:val="bottom"/>
          </w:tcPr>
          <w:p>
            <w:pPr>
              <w:ind w:left="120"/>
              <w:spacing w:after="0"/>
              <w:rPr>
                <w:rFonts w:ascii="Times New Roman" w:cs="Times New Roman" w:eastAsia="Times New Roman" w:hAnsi="Times New Roman"/>
                <w:sz w:val="18"/>
                <w:szCs w:val="18"/>
                <w:u w:val="single" w:color="auto"/>
                <w:color w:val="0000EE"/>
              </w:rPr>
            </w:pPr>
            <w:hyperlink r:id="rId110">
              <w:r>
                <w:rPr>
                  <w:rFonts w:ascii="Times New Roman" w:cs="Times New Roman" w:eastAsia="Times New Roman" w:hAnsi="Times New Roman"/>
                  <w:sz w:val="18"/>
                  <w:szCs w:val="18"/>
                  <w:u w:val="single" w:color="auto"/>
                  <w:color w:val="0000EE"/>
                </w:rPr>
                <w:t>09/30/2020</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020" w:space="460"/>
            <w:col w:w="4600"/>
          </w:cols>
          <w:pgMar w:left="320" w:top="900" w:right="499" w:bottom="1440" w:gutter="0" w:footer="0" w:header="0"/>
        </w:sectPr>
      </w:pPr>
    </w:p>
    <w:bookmarkStart w:id="81" w:name="page82"/>
    <w:bookmarkEnd w:id="81"/>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9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3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9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3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920" w:type="dxa"/>
            <w:vAlign w:val="bottom"/>
          </w:tcPr>
          <w:p>
            <w:pPr>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31.1</w:t>
              </w:r>
            </w:hyperlink>
          </w:p>
        </w:tc>
        <w:tc>
          <w:tcPr>
            <w:tcW w:w="4980" w:type="dxa"/>
            <w:vAlign w:val="bottom"/>
            <w:gridSpan w:val="5"/>
          </w:tcPr>
          <w:p>
            <w:pPr>
              <w:spacing w:after="0"/>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Certification of Principal Executive Officer Pursuant to Rules 13a-</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3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8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84">
              <w:r>
                <w:rPr>
                  <w:rFonts w:ascii="Times New Roman" w:cs="Times New Roman" w:eastAsia="Times New Roman" w:hAnsi="Times New Roman"/>
                  <w:sz w:val="18"/>
                  <w:szCs w:val="18"/>
                  <w:color w:val="0000EE"/>
                  <w:w w:val="99"/>
                </w:rPr>
                <w:t>14(a) and 15d-14(a) under the Securities Exchange Act of 1934, as</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4980" w:type="dxa"/>
            <w:vAlign w:val="bottom"/>
            <w:gridSpan w:val="5"/>
          </w:tcPr>
          <w:p>
            <w:pPr>
              <w:spacing w:after="0"/>
              <w:rPr>
                <w:rFonts w:ascii="Times New Roman" w:cs="Times New Roman" w:eastAsia="Times New Roman" w:hAnsi="Times New Roman"/>
                <w:sz w:val="18"/>
                <w:szCs w:val="18"/>
                <w:u w:val="single" w:color="auto"/>
                <w:color w:val="0000EE"/>
                <w:w w:val="99"/>
              </w:rPr>
            </w:pPr>
            <w:hyperlink w:anchor="page84">
              <w:r>
                <w:rPr>
                  <w:rFonts w:ascii="Times New Roman" w:cs="Times New Roman" w:eastAsia="Times New Roman" w:hAnsi="Times New Roman"/>
                  <w:sz w:val="18"/>
                  <w:szCs w:val="18"/>
                  <w:u w:val="single" w:color="auto"/>
                  <w:color w:val="0000EE"/>
                  <w:w w:val="99"/>
                </w:rPr>
                <w:t>Adopted Pursuant to Section 302 of the Sarbanes-Oxley Act of 2002.</w:t>
              </w:r>
            </w:hyperlink>
          </w:p>
        </w:tc>
        <w:tc>
          <w:tcPr>
            <w:tcW w:w="0" w:type="dxa"/>
            <w:vAlign w:val="bottom"/>
          </w:tcPr>
          <w:p>
            <w:pPr>
              <w:spacing w:after="0"/>
              <w:rPr>
                <w:sz w:val="1"/>
                <w:szCs w:val="1"/>
                <w:color w:val="auto"/>
              </w:rPr>
            </w:pPr>
          </w:p>
        </w:tc>
      </w:tr>
      <w:tr>
        <w:trPr>
          <w:trHeight w:val="392"/>
        </w:trPr>
        <w:tc>
          <w:tcPr>
            <w:tcW w:w="920" w:type="dxa"/>
            <w:vAlign w:val="bottom"/>
          </w:tcPr>
          <w:p>
            <w:pPr>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31.2</w:t>
              </w:r>
            </w:hyperlink>
          </w:p>
        </w:tc>
        <w:tc>
          <w:tcPr>
            <w:tcW w:w="48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Certification of Principal Financial Officer Pursuant to Rules 13a-</w:t>
              </w:r>
            </w:hyperlink>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85">
              <w:r>
                <w:rPr>
                  <w:rFonts w:ascii="Times New Roman" w:cs="Times New Roman" w:eastAsia="Times New Roman" w:hAnsi="Times New Roman"/>
                  <w:sz w:val="18"/>
                  <w:szCs w:val="18"/>
                  <w:color w:val="0000EE"/>
                  <w:w w:val="99"/>
                </w:rPr>
                <w:t>14(a) and 15d-14(a) under the Securities Exchange Act of 1934, as</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4980" w:type="dxa"/>
            <w:vAlign w:val="bottom"/>
            <w:gridSpan w:val="5"/>
          </w:tcPr>
          <w:p>
            <w:pPr>
              <w:spacing w:after="0"/>
              <w:rPr>
                <w:rFonts w:ascii="Times New Roman" w:cs="Times New Roman" w:eastAsia="Times New Roman" w:hAnsi="Times New Roman"/>
                <w:sz w:val="18"/>
                <w:szCs w:val="18"/>
                <w:u w:val="single" w:color="auto"/>
                <w:color w:val="0000EE"/>
                <w:w w:val="99"/>
              </w:rPr>
            </w:pPr>
            <w:hyperlink w:anchor="page85">
              <w:r>
                <w:rPr>
                  <w:rFonts w:ascii="Times New Roman" w:cs="Times New Roman" w:eastAsia="Times New Roman" w:hAnsi="Times New Roman"/>
                  <w:sz w:val="18"/>
                  <w:szCs w:val="18"/>
                  <w:u w:val="single" w:color="auto"/>
                  <w:color w:val="0000EE"/>
                  <w:w w:val="99"/>
                </w:rPr>
                <w:t>Adopted Pursuant to Section 302 of the Sarbanes-Oxley Act of 2002.</w:t>
              </w:r>
            </w:hyperlink>
          </w:p>
        </w:tc>
        <w:tc>
          <w:tcPr>
            <w:tcW w:w="0" w:type="dxa"/>
            <w:vAlign w:val="bottom"/>
          </w:tcPr>
          <w:p>
            <w:pPr>
              <w:spacing w:after="0"/>
              <w:rPr>
                <w:sz w:val="1"/>
                <w:szCs w:val="1"/>
                <w:color w:val="auto"/>
              </w:rPr>
            </w:pPr>
          </w:p>
        </w:tc>
      </w:tr>
      <w:tr>
        <w:trPr>
          <w:trHeight w:val="392"/>
        </w:trPr>
        <w:tc>
          <w:tcPr>
            <w:tcW w:w="920" w:type="dxa"/>
            <w:vAlign w:val="bottom"/>
          </w:tcPr>
          <w:p>
            <w:pPr>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32.1</w:t>
              </w:r>
            </w:hyperlink>
          </w:p>
        </w:tc>
        <w:tc>
          <w:tcPr>
            <w:tcW w:w="4980" w:type="dxa"/>
            <w:vAlign w:val="bottom"/>
            <w:gridSpan w:val="5"/>
          </w:tcPr>
          <w:p>
            <w:pPr>
              <w:spacing w:after="0"/>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Certification of Principal Executive Officer Pursuant to 18 U.S.C.</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3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980" w:type="dxa"/>
            <w:vAlign w:val="bottom"/>
            <w:gridSpan w:val="5"/>
          </w:tcPr>
          <w:p>
            <w:pPr>
              <w:spacing w:after="0" w:line="19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Section 1350, as Adopted Pursuant to Section 906 of the Sarbanes-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86">
              <w:r>
                <w:rPr>
                  <w:rFonts w:ascii="Times New Roman" w:cs="Times New Roman" w:eastAsia="Times New Roman" w:hAnsi="Times New Roman"/>
                  <w:sz w:val="18"/>
                  <w:szCs w:val="18"/>
                  <w:color w:val="0000EE"/>
                  <w:w w:val="99"/>
                </w:rPr>
                <w:t>Oxley Act of 2002.</w:t>
              </w:r>
            </w:hyperlink>
          </w:p>
        </w:tc>
        <w:tc>
          <w:tcPr>
            <w:tcW w:w="3420" w:type="dxa"/>
            <w:vAlign w:val="bottom"/>
            <w:tcBorders>
              <w:top w:val="single" w:sz="8" w:color="0000EE"/>
            </w:tcBorders>
            <w:gridSpan w:val="3"/>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32.2</w:t>
              </w:r>
            </w:hyperlink>
          </w:p>
        </w:tc>
        <w:tc>
          <w:tcPr>
            <w:tcW w:w="47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Certification of Principal Financial Officer Pursuant to 18 U.S.C.</w:t>
              </w:r>
            </w:hyperlink>
          </w:p>
        </w:tc>
        <w:tc>
          <w:tcPr>
            <w:tcW w:w="2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980" w:type="dxa"/>
            <w:vAlign w:val="bottom"/>
            <w:gridSpan w:val="5"/>
          </w:tcPr>
          <w:p>
            <w:pPr>
              <w:spacing w:after="0" w:line="196" w:lineRule="exact"/>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Section 1350, as Adopted Pursuant to Section 906 of the Sarbanes-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87">
              <w:r>
                <w:rPr>
                  <w:rFonts w:ascii="Times New Roman" w:cs="Times New Roman" w:eastAsia="Times New Roman" w:hAnsi="Times New Roman"/>
                  <w:sz w:val="18"/>
                  <w:szCs w:val="18"/>
                  <w:color w:val="0000EE"/>
                  <w:w w:val="99"/>
                </w:rPr>
                <w:t>Oxley Act of 2002.</w:t>
              </w:r>
            </w:hyperlink>
          </w:p>
        </w:tc>
        <w:tc>
          <w:tcPr>
            <w:tcW w:w="3420" w:type="dxa"/>
            <w:vAlign w:val="bottom"/>
            <w:tcBorders>
              <w:top w:val="single" w:sz="8" w:color="0000EE"/>
            </w:tcBorders>
            <w:gridSpan w:val="3"/>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980"/>
        <w:spacing w:after="0"/>
        <w:rPr>
          <w:sz w:val="20"/>
          <w:szCs w:val="20"/>
          <w:color w:val="auto"/>
        </w:rPr>
      </w:pPr>
      <w:r>
        <w:rPr>
          <w:rFonts w:ascii="Times New Roman" w:cs="Times New Roman" w:eastAsia="Times New Roman" w:hAnsi="Times New Roman"/>
          <w:sz w:val="18"/>
          <w:szCs w:val="18"/>
          <w:b w:val="1"/>
          <w:bCs w:val="1"/>
          <w:color w:val="auto"/>
        </w:rPr>
        <w:t>Filed/</w:t>
      </w:r>
    </w:p>
    <w:p>
      <w:pPr>
        <w:spacing w:after="0" w:line="31" w:lineRule="exact"/>
        <w:rPr>
          <w:sz w:val="20"/>
          <w:szCs w:val="20"/>
          <w:color w:val="auto"/>
        </w:rPr>
      </w:pPr>
    </w:p>
    <w:p>
      <w:pPr>
        <w:spacing w:after="0"/>
        <w:tabs>
          <w:tab w:leader="none" w:pos="860" w:val="left"/>
          <w:tab w:leader="none" w:pos="1820" w:val="left"/>
          <w:tab w:leader="none" w:pos="2640" w:val="left"/>
          <w:tab w:leader="none" w:pos="3780" w:val="left"/>
        </w:tabs>
        <w:rPr>
          <w:sz w:val="20"/>
          <w:szCs w:val="20"/>
          <w:color w:val="auto"/>
        </w:rPr>
      </w:pPr>
      <w:r>
        <w:rPr>
          <w:rFonts w:ascii="Times New Roman" w:cs="Times New Roman" w:eastAsia="Times New Roman" w:hAnsi="Times New Roman"/>
          <w:sz w:val="18"/>
          <w:szCs w:val="18"/>
          <w:b w:val="1"/>
          <w:bCs w:val="1"/>
          <w:color w:val="auto"/>
        </w:rPr>
        <w:t>Form</w:t>
      </w:r>
      <w:r>
        <w:rPr>
          <w:sz w:val="20"/>
          <w:szCs w:val="20"/>
          <w:color w:val="auto"/>
        </w:rPr>
        <w:tab/>
      </w:r>
      <w:r>
        <w:rPr>
          <w:rFonts w:ascii="Times New Roman" w:cs="Times New Roman" w:eastAsia="Times New Roman" w:hAnsi="Times New Roman"/>
          <w:sz w:val="18"/>
          <w:szCs w:val="18"/>
          <w:b w:val="1"/>
          <w:bCs w:val="1"/>
          <w:color w:val="auto"/>
        </w:rPr>
        <w:t>File No.</w:t>
      </w:r>
      <w:r>
        <w:rPr>
          <w:sz w:val="20"/>
          <w:szCs w:val="20"/>
          <w:color w:val="auto"/>
        </w:rPr>
        <w:tab/>
      </w:r>
      <w:r>
        <w:rPr>
          <w:rFonts w:ascii="Times New Roman" w:cs="Times New Roman" w:eastAsia="Times New Roman" w:hAnsi="Times New Roman"/>
          <w:sz w:val="18"/>
          <w:szCs w:val="18"/>
          <w:b w:val="1"/>
          <w:bCs w:val="1"/>
          <w:color w:val="auto"/>
        </w:rPr>
        <w:t>Exhibit</w:t>
        <w:tab/>
        <w:t>Filing Date</w:t>
      </w:r>
      <w:r>
        <w:rPr>
          <w:sz w:val="20"/>
          <w:szCs w:val="20"/>
          <w:color w:val="auto"/>
        </w:rPr>
        <w:tab/>
      </w:r>
      <w:r>
        <w:rPr>
          <w:rFonts w:ascii="Times New Roman" w:cs="Times New Roman" w:eastAsia="Times New Roman" w:hAnsi="Times New Roman"/>
          <w:sz w:val="18"/>
          <w:szCs w:val="18"/>
          <w:b w:val="1"/>
          <w:bCs w:val="1"/>
          <w:color w:val="auto"/>
        </w:rPr>
        <w:t>Furnished</w:t>
      </w:r>
    </w:p>
    <w:p>
      <w:pPr>
        <w:spacing w:after="0" w:line="9" w:lineRule="exact"/>
        <w:rPr>
          <w:sz w:val="20"/>
          <w:szCs w:val="20"/>
          <w:color w:val="auto"/>
        </w:rPr>
      </w:pPr>
    </w:p>
    <w:p>
      <w:pPr>
        <w:jc w:val="center"/>
        <w:ind w:left="-3299"/>
        <w:spacing w:after="0"/>
        <w:rPr>
          <w:sz w:val="20"/>
          <w:szCs w:val="20"/>
          <w:color w:val="auto"/>
        </w:rPr>
      </w:pPr>
      <w:r>
        <w:rPr>
          <w:rFonts w:ascii="Times New Roman" w:cs="Times New Roman" w:eastAsia="Times New Roman" w:hAnsi="Times New Roman"/>
          <w:sz w:val="18"/>
          <w:szCs w:val="18"/>
          <w:b w:val="1"/>
          <w:bCs w:val="1"/>
          <w:color w:val="auto"/>
        </w:rPr>
        <w:t>Herewith</w:t>
      </w:r>
    </w:p>
    <w:p>
      <w:pPr>
        <w:spacing w:after="0" w:line="207" w:lineRule="exact"/>
        <w:rPr>
          <w:sz w:val="20"/>
          <w:szCs w:val="20"/>
          <w:color w:val="auto"/>
        </w:rPr>
      </w:pPr>
    </w:p>
    <w:p>
      <w:pPr>
        <w:ind w:left="4160"/>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160"/>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100"/>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100"/>
        <w:spacing w:after="0"/>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w:t>
        </w:r>
      </w:hyperlink>
    </w:p>
    <w:p>
      <w:pPr>
        <w:spacing w:after="0" w:line="200" w:lineRule="exact"/>
        <w:rPr>
          <w:sz w:val="20"/>
          <w:szCs w:val="20"/>
          <w:color w:val="auto"/>
        </w:rPr>
      </w:pPr>
    </w:p>
    <w:p>
      <w:pPr>
        <w:spacing w:after="0" w:line="24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5900" w:space="580"/>
            <w:col w:w="4600"/>
          </w:cols>
          <w:pgMar w:left="320" w:top="900" w:right="49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80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AZIYO BIOLOGICS, INC.</w:t>
            </w: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20, 2020</w:t>
            </w:r>
          </w:p>
        </w:tc>
        <w:tc>
          <w:tcPr>
            <w:tcW w:w="286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Ronald Lloyd</w:t>
            </w:r>
          </w:p>
        </w:tc>
      </w:tr>
      <w:tr>
        <w:trPr>
          <w:trHeight w:val="191"/>
        </w:trPr>
        <w:tc>
          <w:tcPr>
            <w:tcW w:w="32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Ronald Lloyd</w:t>
            </w:r>
          </w:p>
        </w:tc>
      </w:tr>
      <w:tr>
        <w:trPr>
          <w:trHeight w:val="214"/>
        </w:trPr>
        <w:tc>
          <w:tcPr>
            <w:tcW w:w="3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3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20, 2020</w:t>
            </w:r>
          </w:p>
        </w:tc>
        <w:tc>
          <w:tcPr>
            <w:tcW w:w="286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Ferguson</w:t>
            </w:r>
          </w:p>
        </w:tc>
      </w:tr>
      <w:tr>
        <w:trPr>
          <w:trHeight w:val="191"/>
        </w:trPr>
        <w:tc>
          <w:tcPr>
            <w:tcW w:w="32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Ferguson</w:t>
            </w:r>
          </w:p>
        </w:tc>
      </w:tr>
      <w:tr>
        <w:trPr>
          <w:trHeight w:val="214"/>
        </w:trPr>
        <w:tc>
          <w:tcPr>
            <w:tcW w:w="3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r>
        <w:trPr>
          <w:trHeight w:val="648"/>
        </w:trPr>
        <w:tc>
          <w:tcPr>
            <w:tcW w:w="3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83</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Lloyd, certify that:</w:t>
      </w:r>
    </w:p>
    <w:p>
      <w:pPr>
        <w:spacing w:after="0" w:line="22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2020 of Aziyo Biologics,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30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20, 2020</w:t>
            </w:r>
          </w:p>
        </w:tc>
        <w:tc>
          <w:tcPr>
            <w:tcW w:w="23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Ronald Lloyd</w:t>
            </w:r>
          </w:p>
        </w:tc>
      </w:tr>
      <w:tr>
        <w:trPr>
          <w:trHeight w:val="189"/>
        </w:trPr>
        <w:tc>
          <w:tcPr>
            <w:tcW w:w="38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Ronald Lloyd</w:t>
            </w:r>
          </w:p>
        </w:tc>
      </w:tr>
      <w:tr>
        <w:trPr>
          <w:trHeight w:val="216"/>
        </w:trPr>
        <w:tc>
          <w:tcPr>
            <w:tcW w:w="38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r>
        <w:trPr>
          <w:trHeight w:val="236"/>
        </w:trPr>
        <w:tc>
          <w:tcPr>
            <w:tcW w:w="38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32"/>
        </w:trPr>
        <w:tc>
          <w:tcPr>
            <w:tcW w:w="38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Ferguson, certify that:</w:t>
      </w:r>
    </w:p>
    <w:p>
      <w:pPr>
        <w:spacing w:after="0" w:line="225"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2020 of Aziyo Biologics,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30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20, 2020</w:t>
            </w:r>
          </w:p>
        </w:tc>
        <w:tc>
          <w:tcPr>
            <w:tcW w:w="23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Matthew Ferguson</w:t>
            </w:r>
          </w:p>
        </w:tc>
      </w:tr>
      <w:tr>
        <w:trPr>
          <w:trHeight w:val="189"/>
        </w:trPr>
        <w:tc>
          <w:tcPr>
            <w:tcW w:w="37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1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Matthew Ferguson</w:t>
            </w:r>
          </w:p>
        </w:tc>
      </w:tr>
      <w:tr>
        <w:trPr>
          <w:trHeight w:val="216"/>
        </w:trPr>
        <w:tc>
          <w:tcPr>
            <w:tcW w:w="3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36"/>
        </w:trPr>
        <w:tc>
          <w:tcPr>
            <w:tcW w:w="37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432"/>
        </w:trPr>
        <w:tc>
          <w:tcPr>
            <w:tcW w:w="37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Aziyo Biologics, Inc. (the “Company”) on Form 10-Q for the quarterly period ended September 30, 2020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140" w:hanging="457"/>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140" w:right="560" w:hanging="457"/>
        <w:spacing w:after="0" w:line="282"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20, 2020</w:t>
            </w:r>
          </w:p>
        </w:tc>
        <w:tc>
          <w:tcPr>
            <w:tcW w:w="23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Ronald Lloyd</w:t>
            </w:r>
          </w:p>
        </w:tc>
      </w:tr>
      <w:tr>
        <w:trPr>
          <w:trHeight w:val="189"/>
        </w:trPr>
        <w:tc>
          <w:tcPr>
            <w:tcW w:w="37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1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Ronald Lloyd</w:t>
            </w:r>
          </w:p>
        </w:tc>
      </w:tr>
      <w:tr>
        <w:trPr>
          <w:trHeight w:val="216"/>
        </w:trPr>
        <w:tc>
          <w:tcPr>
            <w:tcW w:w="3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r>
        <w:trPr>
          <w:trHeight w:val="236"/>
        </w:trPr>
        <w:tc>
          <w:tcPr>
            <w:tcW w:w="37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pacing w:after="0" w:line="19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Aziyo Biologics, Inc. (the “Company”) on Form 10-Q for the quarterly period ended September 30, 2020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140" w:hanging="457"/>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140" w:right="560" w:hanging="457"/>
        <w:spacing w:after="0" w:line="282"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20, 2020</w:t>
            </w:r>
          </w:p>
        </w:tc>
        <w:tc>
          <w:tcPr>
            <w:tcW w:w="23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Matthew Ferguson</w:t>
            </w:r>
          </w:p>
        </w:tc>
      </w:tr>
      <w:tr>
        <w:trPr>
          <w:trHeight w:val="189"/>
        </w:trPr>
        <w:tc>
          <w:tcPr>
            <w:tcW w:w="37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1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Matthew Ferguson</w:t>
            </w:r>
          </w:p>
        </w:tc>
      </w:tr>
      <w:tr>
        <w:trPr>
          <w:trHeight w:val="216"/>
        </w:trPr>
        <w:tc>
          <w:tcPr>
            <w:tcW w:w="3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36"/>
        </w:trPr>
        <w:tc>
          <w:tcPr>
            <w:tcW w:w="37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19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946"/>
    </w:lvl>
  </w:abstractNum>
  <w:abstractNum w:abstractNumId="5">
    <w:nsid w:val="6763845E"/>
    <w:multiLevelType w:val="hybridMultilevel"/>
    <w:lvl w:ilvl="0">
      <w:lvlJc w:val="left"/>
      <w:lvlText w:val="(%1)"/>
      <w:numFmt w:val="lowerRoman"/>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emdash "/>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98" Type="http://schemas.openxmlformats.org/officeDocument/2006/relationships/hyperlink" Target="https://www.sec.gov/Archives/edgar/data/1708527/000110465920114535/tm2023171d18_ex3-1.htm" TargetMode="External"/><Relationship Id="rId99" Type="http://schemas.openxmlformats.org/officeDocument/2006/relationships/hyperlink" Target="https://www.sec.gov/Archives/edgar/data/1708527/000110465920114535/tm2023171d18_ex3-2.htm" TargetMode="External"/><Relationship Id="rId100" Type="http://schemas.openxmlformats.org/officeDocument/2006/relationships/hyperlink" Target="https://www.sec.gov/Archives/edgar/data/1708527/000110465920104884/tm2023171d8_ex4-1.htm" TargetMode="External"/><Relationship Id="rId101" Type="http://schemas.openxmlformats.org/officeDocument/2006/relationships/hyperlink" Target="https://www.sec.gov/Archives/edgar/data/1708527/000110465920104884/tm2023171d8_ex4-2.htm" TargetMode="External"/><Relationship Id="rId102" Type="http://schemas.openxmlformats.org/officeDocument/2006/relationships/hyperlink" Target="https://www.sec.gov/Archives/edgar/data/1708527/000110465920110107/tm2023171d11_ex4-3.htm" TargetMode="External"/><Relationship Id="rId103" Type="http://schemas.openxmlformats.org/officeDocument/2006/relationships/hyperlink" Target="https://www.sec.gov/Archives/edgar/data/1708527/000110465920110107/tm2023171d11_ex10-2.htm" TargetMode="External"/><Relationship Id="rId104" Type="http://schemas.openxmlformats.org/officeDocument/2006/relationships/hyperlink" Target="https://www.sec.gov/Archives/edgar/data/1708527/000110465920110107/tm2023171d11_ex10-3.htm" TargetMode="External"/><Relationship Id="rId105" Type="http://schemas.openxmlformats.org/officeDocument/2006/relationships/hyperlink" Target="https://www.sec.gov/Archives/edgar/data/1708527/000110465920110107/tm2023171d11_ex10-4.htm" TargetMode="External"/><Relationship Id="rId106" Type="http://schemas.openxmlformats.org/officeDocument/2006/relationships/hyperlink" Target="https://www.sec.gov/Archives/edgar/data/1708527/000110465920110107/tm2023171d11_ex10-6.htm" TargetMode="External"/><Relationship Id="rId107" Type="http://schemas.openxmlformats.org/officeDocument/2006/relationships/hyperlink" Target="https://www.sec.gov/Archives/edgar/data/1708527/000110465920110107/tm2023171d11_ex10-8.htm" TargetMode="External"/><Relationship Id="rId108" Type="http://schemas.openxmlformats.org/officeDocument/2006/relationships/hyperlink" Target="https://www.sec.gov/Archives/edgar/data/1708527/000110465920110107/tm2023171d11_ex10-10.htm" TargetMode="External"/><Relationship Id="rId109" Type="http://schemas.openxmlformats.org/officeDocument/2006/relationships/hyperlink" Target="https://www.sec.gov/Archives/edgar/data/1708527/000110465920110107/tm2023171d11_ex10-11.htm" TargetMode="External"/><Relationship Id="rId110" Type="http://schemas.openxmlformats.org/officeDocument/2006/relationships/hyperlink" Target="https://www.sec.gov/Archives/edgar/data/1708527/000110465920110107/tm2023171d11_ex1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2020-11-20T15:15:28Z</dcterms:created>
  <dcterms:modified xsi:type="dcterms:W3CDTF">2020-11-20T15:15:28Z</dcterms:modified>
</cp:coreProperties>
</file>