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elut-20260611x8k.htm"/>
      <w:bookmarkStart w:id="1" w:name="kselut20260611x8k"/>
      <w:bookmarkEnd w:id="0"/>
      <w:bookmarkEnd w:id="1"/>
      <w:r>
        <w:rPr/>
        <w:t>​</w:t>
      </w:r>
    </w:p>
    <w:p>
      <w:pPr>
        <w:pStyle w:val="TextBody"/>
        <w:pBdr>
          <w:top w:val="single" w:sz="24" w:space="1" w:color="000000"/>
          <w:bottom w:val="single" w:sz="2" w:space="1" w:color="000000"/>
        </w:pBdr>
        <w:bidi w:val="0"/>
        <w:spacing w:lineRule="atLeast" w:line="142"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bookmarkStart w:id="2" w:name="_3a25e7d8_7280_4fce_be68_bf03861bde53"/>
      <w:bookmarkEnd w:id="2"/>
      <w:r>
        <w:rPr>
          <w:rFonts w:ascii="Times New Roman;Times;serif" w:hAnsi="Times New Roman;Times;serif"/>
          <w:b/>
          <w:sz w:val="34"/>
        </w:rPr>
        <w:t>UNITED STATES</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FORM 8-K</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CURRENT REPORT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Pursuant to Section 13 or 15(d)</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of the Securities Exchange Act of 1934</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Date of report (Date of earliest event reported): June 11, 2026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46"/>
        </w:rPr>
      </w:pPr>
      <w:r>
        <w:rPr>
          <w:rFonts w:ascii="Times New Roman;Times;serif" w:hAnsi="Times New Roman;Times;serif"/>
          <w:b/>
          <w:sz w:val="46"/>
        </w:rPr>
        <w:t>ELUTIA INC.</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its charter)</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2Y4RQ_ZE_EWU6xE6VAijhg_2_2"/>
      <w:bookmarkStart w:id="4" w:name="Tc_Th1M4ZzF-Ei_FtYoxyaGTA_2_1"/>
      <w:bookmarkStart w:id="5" w:name="Tc_auFpHl2k1k2U1ft3W_VtxA_2_0"/>
      <w:bookmarkStart w:id="6" w:name="_ac5c1675_33a8_4643_a438_0b6b1f58cae7"/>
      <w:bookmarkStart w:id="7" w:name="Tc_2Y4RQ_ZE_EWU6xE6VAijhg_2_2"/>
      <w:bookmarkStart w:id="8" w:name="Tc_Th1M4ZzF-Ei_FtYoxyaGTA_2_1"/>
      <w:bookmarkStart w:id="9" w:name="Tc_auFpHl2k1k2U1ft3W_VtxA_2_0"/>
      <w:bookmarkStart w:id="10" w:name="_ac5c1675_33a8_4643_a438_0b6b1f58cae7"/>
      <w:bookmarkEnd w:id="7"/>
      <w:bookmarkEnd w:id="8"/>
      <w:bookmarkEnd w:id="9"/>
      <w:bookmarkEnd w:id="10"/>
    </w:p>
    <w:tbl>
      <w:tblPr>
        <w:tblW w:w="4848" w:type="dxa"/>
        <w:jc w:val="left"/>
        <w:tblInd w:w="0" w:type="dxa"/>
        <w:tblLayout w:type="fixed"/>
        <w:tblCellMar>
          <w:top w:w="0" w:type="dxa"/>
          <w:left w:w="0" w:type="dxa"/>
          <w:bottom w:w="0" w:type="dxa"/>
          <w:right w:w="0" w:type="dxa"/>
        </w:tblCellMar>
      </w:tblPr>
      <w:tblGrid>
        <w:gridCol w:w="2161"/>
        <w:gridCol w:w="1126"/>
        <w:gridCol w:w="1561"/>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p>
        </w:tc>
        <w:tc>
          <w:tcPr>
            <w:tcW w:w="1126" w:type="dxa"/>
            <w:tcBorders/>
            <w:vAlign w:val="center"/>
          </w:tcPr>
          <w:p>
            <w:pPr>
              <w:pStyle w:val="TableContents"/>
              <w:bidi w:val="0"/>
              <w:spacing w:before="0" w:after="283"/>
              <w:ind w:left="0" w:right="0" w:hanging="0"/>
              <w:jc w:val="left"/>
              <w:rPr>
                <w:sz w:val="4"/>
                <w:szCs w:val="4"/>
              </w:rPr>
            </w:pPr>
            <w:r>
              <w:rPr>
                <w:sz w:val="4"/>
                <w:szCs w:val="4"/>
              </w:rPr>
            </w:r>
          </w:p>
        </w:tc>
        <w:tc>
          <w:tcPr>
            <w:tcW w:w="1561" w:type="dxa"/>
            <w:tcBorders/>
            <w:vAlign w:val="center"/>
          </w:tcPr>
          <w:p>
            <w:pPr>
              <w:pStyle w:val="TableContents"/>
              <w:bidi w:val="0"/>
              <w:spacing w:before="0" w:after="283"/>
              <w:ind w:left="0" w:right="0" w:hanging="0"/>
              <w:jc w:val="left"/>
              <w:rPr>
                <w:sz w:val="4"/>
                <w:szCs w:val="4"/>
              </w:rPr>
            </w:pPr>
            <w:r>
              <w:rPr>
                <w:sz w:val="4"/>
                <w:szCs w:val="4"/>
              </w:rPr>
            </w:r>
          </w:p>
        </w:tc>
      </w:tr>
      <w:tr>
        <w:trPr/>
        <w:tc>
          <w:tcPr>
            <w:tcW w:w="21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001-39577</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47-4790334</w:t>
            </w:r>
          </w:p>
        </w:tc>
      </w:tr>
      <w:tr>
        <w:trPr/>
        <w:tc>
          <w:tcPr>
            <w:tcW w:w="21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(State or other jurisdiction</w:t>
              <w:br/>
              <w:t>of incorporation)</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w:t>
              <w:br/>
              <w:t>File Number)</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(I.R.S. Employer</w:t>
              <w:b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bookmarkStart w:id="11" w:name="Narr_-MYwQnbBDk-oq1vZuuhBwQ"/>
      <w:bookmarkEnd w:id="11"/>
      <w:r>
        <w:rPr>
          <w:rFonts w:ascii="Times New Roman;Times;serif" w:hAnsi="Times New Roman;Times;serif"/>
          <w:b/>
          <w:sz w:val="18"/>
        </w:rPr>
        <w:t>20 Firstfield Road</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Gaithersburg, MD</w:t>
      </w:r>
      <w:r>
        <w:rPr>
          <w:rFonts w:ascii="Times New Roman;Times;serif" w:hAnsi="Times New Roman;Times;serif"/>
          <w:sz w:val="20"/>
        </w:rPr>
        <w:t xml:space="preserve"> </w:t>
      </w:r>
      <w:r>
        <w:rPr>
          <w:rFonts w:ascii="Times New Roman;Times;serif" w:hAnsi="Times New Roman;Times;serif"/>
          <w:b/>
          <w:sz w:val="18"/>
        </w:rPr>
        <w:t>20878</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(Address of principal executive offices)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(240) 247-1170</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(Registrant’s telephone number, include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(Former name or former address, if changed since last report)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2" w:name="Tc_8E7ce3LkYUiydvsEWQycMA_1_1"/>
      <w:bookmarkStart w:id="13" w:name="_25c73d1d_9874_4846_a76b_38e8765fadac"/>
      <w:bookmarkStart w:id="14" w:name="Tc_8E7ce3LkYUiydvsEWQycMA_1_1"/>
      <w:bookmarkStart w:id="15" w:name="_25c73d1d_9874_4846_a76b_38e8765fadac"/>
      <w:bookmarkEnd w:id="14"/>
      <w:bookmarkEnd w:id="15"/>
    </w:p>
    <w:tbl>
      <w:tblPr>
        <w:tblW w:w="6887" w:type="dxa"/>
        <w:jc w:val="left"/>
        <w:tblInd w:w="0" w:type="dxa"/>
        <w:tblLayout w:type="fixed"/>
        <w:tblCellMar>
          <w:top w:w="0" w:type="dxa"/>
          <w:left w:w="0" w:type="dxa"/>
          <w:bottom w:w="0" w:type="dxa"/>
          <w:right w:w="0" w:type="dxa"/>
        </w:tblCellMar>
      </w:tblPr>
      <w:tblGrid>
        <w:gridCol w:w="331"/>
        <w:gridCol w:w="6556"/>
      </w:tblGrid>
      <w:tr>
        <w:trPr/>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10185" cy="29210"/>
                      <wp:effectExtent l="0" t="0" r="0" b="0"/>
                      <wp:wrapNone/>
                      <wp:docPr id="1" name="Frame1"/>
                      <a:graphic xmlns:a="http://schemas.openxmlformats.org/drawingml/2006/main">
                        <a:graphicData uri="http://schemas.microsoft.com/office/word/2010/wordprocessingShape">
                          <wps:wsp>
                            <wps:cNvSpPr txBox="1"/>
                            <wps:spPr>
                              <a:xfrm>
                                <a:off x="0" y="0"/>
                                <a:ext cx="2101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4163060" cy="29210"/>
                      <wp:effectExtent l="0" t="0" r="0" b="0"/>
                      <wp:wrapNone/>
                      <wp:docPr id="2" name="Frame2"/>
                      <a:graphic xmlns:a="http://schemas.openxmlformats.org/drawingml/2006/main">
                        <a:graphicData uri="http://schemas.microsoft.com/office/word/2010/wordprocessingShape">
                          <wps:wsp>
                            <wps:cNvSpPr txBox="1"/>
                            <wps:spPr>
                              <a:xfrm>
                                <a:off x="0" y="0"/>
                                <a:ext cx="41630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left"/>
              <w:rPr/>
            </w:pPr>
            <w:r>
              <w:rPr/>
              <w:t>☐</w:t>
            </w:r>
          </w:p>
        </w:tc>
        <w:tc>
          <w:tcPr>
            <w:tcW w:w="65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Written communications pursuant to Rule 425 under the Securities Act (17 CFR 230.425) </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6" w:name="Tc_s_lLD21HOk6fN4O3jgOmqw_1_1"/>
      <w:bookmarkStart w:id="17" w:name="_9717c8e3_5e6a_4302_865f_bedc511f862c"/>
      <w:bookmarkStart w:id="18" w:name="Tc_s_lLD21HOk6fN4O3jgOmqw_1_1"/>
      <w:bookmarkStart w:id="19" w:name="_9717c8e3_5e6a_4302_865f_bedc511f862c"/>
      <w:bookmarkEnd w:id="18"/>
      <w:bookmarkEnd w:id="19"/>
    </w:p>
    <w:tbl>
      <w:tblPr>
        <w:tblW w:w="6887" w:type="dxa"/>
        <w:jc w:val="left"/>
        <w:tblInd w:w="0" w:type="dxa"/>
        <w:tblLayout w:type="fixed"/>
        <w:tblCellMar>
          <w:top w:w="0" w:type="dxa"/>
          <w:left w:w="0" w:type="dxa"/>
          <w:bottom w:w="0" w:type="dxa"/>
          <w:right w:w="0" w:type="dxa"/>
        </w:tblCellMar>
      </w:tblPr>
      <w:tblGrid>
        <w:gridCol w:w="331"/>
        <w:gridCol w:w="6556"/>
      </w:tblGrid>
      <w:tr>
        <w:trPr/>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10185" cy="29210"/>
                      <wp:effectExtent l="0" t="0" r="0" b="0"/>
                      <wp:wrapNone/>
                      <wp:docPr id="3" name="Frame3"/>
                      <a:graphic xmlns:a="http://schemas.openxmlformats.org/drawingml/2006/main">
                        <a:graphicData uri="http://schemas.microsoft.com/office/word/2010/wordprocessingShape">
                          <wps:wsp>
                            <wps:cNvSpPr txBox="1"/>
                            <wps:spPr>
                              <a:xfrm>
                                <a:off x="0" y="0"/>
                                <a:ext cx="2101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163060" cy="29210"/>
                      <wp:effectExtent l="0" t="0" r="0" b="0"/>
                      <wp:wrapNone/>
                      <wp:docPr id="4" name="Frame4"/>
                      <a:graphic xmlns:a="http://schemas.openxmlformats.org/drawingml/2006/main">
                        <a:graphicData uri="http://schemas.microsoft.com/office/word/2010/wordprocessingShape">
                          <wps:wsp>
                            <wps:cNvSpPr txBox="1"/>
                            <wps:spPr>
                              <a:xfrm>
                                <a:off x="0" y="0"/>
                                <a:ext cx="41630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left"/>
              <w:rPr/>
            </w:pPr>
            <w:r>
              <w:rPr/>
              <w:t>☐</w:t>
            </w:r>
          </w:p>
        </w:tc>
        <w:tc>
          <w:tcPr>
            <w:tcW w:w="65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Soliciting material pursuant to Rule 14a-12 under the Exchange Act (17 CFR 240.14a-12) </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0" w:name="Tc_BJ_HXZwUA0OMpmJge1-ssg_1_1"/>
      <w:bookmarkStart w:id="21" w:name="_1aa53a83_7957_49a4_bbb8_1d8b89f4883a"/>
      <w:bookmarkStart w:id="22" w:name="Tc_BJ_HXZwUA0OMpmJge1-ssg_1_1"/>
      <w:bookmarkStart w:id="23" w:name="_1aa53a83_7957_49a4_bbb8_1d8b89f4883a"/>
      <w:bookmarkEnd w:id="22"/>
      <w:bookmarkEnd w:id="23"/>
    </w:p>
    <w:tbl>
      <w:tblPr>
        <w:tblW w:w="8477" w:type="dxa"/>
        <w:jc w:val="left"/>
        <w:tblInd w:w="0" w:type="dxa"/>
        <w:tblLayout w:type="fixed"/>
        <w:tblCellMar>
          <w:top w:w="0" w:type="dxa"/>
          <w:left w:w="0" w:type="dxa"/>
          <w:bottom w:w="0" w:type="dxa"/>
          <w:right w:w="0" w:type="dxa"/>
        </w:tblCellMar>
      </w:tblPr>
      <w:tblGrid>
        <w:gridCol w:w="331"/>
        <w:gridCol w:w="8146"/>
      </w:tblGrid>
      <w:tr>
        <w:trPr/>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0185" cy="29210"/>
                      <wp:effectExtent l="0" t="0" r="0" b="0"/>
                      <wp:wrapNone/>
                      <wp:docPr id="5" name="Frame5"/>
                      <a:graphic xmlns:a="http://schemas.openxmlformats.org/drawingml/2006/main">
                        <a:graphicData uri="http://schemas.microsoft.com/office/word/2010/wordprocessingShape">
                          <wps:wsp>
                            <wps:cNvSpPr txBox="1"/>
                            <wps:spPr>
                              <a:xfrm>
                                <a:off x="0" y="0"/>
                                <a:ext cx="2101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5172710" cy="29210"/>
                      <wp:effectExtent l="0" t="0" r="0" b="0"/>
                      <wp:wrapNone/>
                      <wp:docPr id="6" name="Frame6"/>
                      <a:graphic xmlns:a="http://schemas.openxmlformats.org/drawingml/2006/main">
                        <a:graphicData uri="http://schemas.microsoft.com/office/word/2010/wordprocessingShape">
                          <wps:wsp>
                            <wps:cNvSpPr txBox="1"/>
                            <wps:spPr>
                              <a:xfrm>
                                <a:off x="0" y="0"/>
                                <a:ext cx="517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left"/>
              <w:rPr/>
            </w:pPr>
            <w:r>
              <w:rPr/>
              <w:t>☐</w:t>
            </w:r>
          </w:p>
        </w:tc>
        <w:tc>
          <w:tcPr>
            <w:tcW w:w="81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Pre-commencement communications pursuant to Rule 14d-2(b) under the Exchange Act (17 CFR 240.14d-2(b)) </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4" w:name="Tc_mDDjEPNxbEyh_eemLMAsdg_1_1"/>
      <w:bookmarkStart w:id="25" w:name="_cd75ab8b_a273_45bf_a2d0_ce2120262987"/>
      <w:bookmarkStart w:id="26" w:name="Tc_mDDjEPNxbEyh_eemLMAsdg_1_1"/>
      <w:bookmarkStart w:id="27" w:name="_cd75ab8b_a273_45bf_a2d0_ce2120262987"/>
      <w:bookmarkEnd w:id="26"/>
      <w:bookmarkEnd w:id="27"/>
    </w:p>
    <w:tbl>
      <w:tblPr>
        <w:tblW w:w="8417" w:type="dxa"/>
        <w:jc w:val="left"/>
        <w:tblInd w:w="0" w:type="dxa"/>
        <w:tblLayout w:type="fixed"/>
        <w:tblCellMar>
          <w:top w:w="0" w:type="dxa"/>
          <w:left w:w="0" w:type="dxa"/>
          <w:bottom w:w="0" w:type="dxa"/>
          <w:right w:w="0" w:type="dxa"/>
        </w:tblCellMar>
      </w:tblPr>
      <w:tblGrid>
        <w:gridCol w:w="331"/>
        <w:gridCol w:w="8086"/>
      </w:tblGrid>
      <w:tr>
        <w:trPr/>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0185" cy="29210"/>
                      <wp:effectExtent l="0" t="0" r="0" b="0"/>
                      <wp:wrapNone/>
                      <wp:docPr id="7" name="Frame7"/>
                      <a:graphic xmlns:a="http://schemas.openxmlformats.org/drawingml/2006/main">
                        <a:graphicData uri="http://schemas.microsoft.com/office/word/2010/wordprocessingShape">
                          <wps:wsp>
                            <wps:cNvSpPr txBox="1"/>
                            <wps:spPr>
                              <a:xfrm>
                                <a:off x="0" y="0"/>
                                <a:ext cx="2101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5134610" cy="29210"/>
                      <wp:effectExtent l="0" t="0" r="0" b="0"/>
                      <wp:wrapNone/>
                      <wp:docPr id="8" name="Frame8"/>
                      <a:graphic xmlns:a="http://schemas.openxmlformats.org/drawingml/2006/main">
                        <a:graphicData uri="http://schemas.microsoft.com/office/word/2010/wordprocessingShape">
                          <wps:wsp>
                            <wps:cNvSpPr txBox="1"/>
                            <wps:spPr>
                              <a:xfrm>
                                <a:off x="0" y="0"/>
                                <a:ext cx="5134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left"/>
              <w:rPr/>
            </w:pPr>
            <w:r>
              <w:rPr/>
              <w:t>☐</w:t>
            </w:r>
          </w:p>
        </w:tc>
        <w:tc>
          <w:tcPr>
            <w:tcW w:w="80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Pre-commencement communications pursuant to Rule 13e-4(c) under the Exchange Act (17 CFR 240.13e-4(c))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8" w:name="Tc_ahIYt2iR_kiTb-9Zaa7Xkw_2_4"/>
      <w:bookmarkStart w:id="29" w:name="Tc_dj2SX56kBkeiYoR853VY3Q_1_4"/>
      <w:bookmarkStart w:id="30" w:name="Tc_csIDWzne6Uui3aL1AQlc5w_1_2"/>
      <w:bookmarkStart w:id="31" w:name="Tc__jObROFpPU-KtkwHrkVXGw_1_0"/>
      <w:bookmarkStart w:id="32" w:name="_35485c5a_d0be_41c5_bcf6_62e3f89fa978"/>
      <w:bookmarkStart w:id="33" w:name="Tc_ahIYt2iR_kiTb-9Zaa7Xkw_2_4"/>
      <w:bookmarkStart w:id="34" w:name="Tc_dj2SX56kBkeiYoR853VY3Q_1_4"/>
      <w:bookmarkStart w:id="35" w:name="Tc_csIDWzne6Uui3aL1AQlc5w_1_2"/>
      <w:bookmarkStart w:id="36" w:name="Tc__jObROFpPU-KtkwHrkVXGw_1_0"/>
      <w:bookmarkStart w:id="37" w:name="_35485c5a_d0be_41c5_bcf6_62e3f89fa978"/>
      <w:bookmarkEnd w:id="33"/>
      <w:bookmarkEnd w:id="34"/>
      <w:bookmarkEnd w:id="35"/>
      <w:bookmarkEnd w:id="36"/>
      <w:bookmarkEnd w:id="37"/>
    </w:p>
    <w:tbl>
      <w:tblPr>
        <w:tblW w:w="8045" w:type="dxa"/>
        <w:jc w:val="left"/>
        <w:tblInd w:w="0" w:type="dxa"/>
        <w:tblLayout w:type="fixed"/>
        <w:tblCellMar>
          <w:top w:w="0" w:type="dxa"/>
          <w:left w:w="0" w:type="dxa"/>
          <w:bottom w:w="0" w:type="dxa"/>
          <w:right w:w="0" w:type="dxa"/>
        </w:tblCellMar>
      </w:tblPr>
      <w:tblGrid>
        <w:gridCol w:w="3811"/>
        <w:gridCol w:w="346"/>
        <w:gridCol w:w="1441"/>
        <w:gridCol w:w="346"/>
        <w:gridCol w:w="2101"/>
      </w:tblGrid>
      <w:tr>
        <w:trPr/>
        <w:tc>
          <w:tcPr>
            <w:tcW w:w="3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419985" cy="29210"/>
                      <wp:effectExtent l="0" t="0" r="0" b="0"/>
                      <wp:wrapNone/>
                      <wp:docPr id="9" name="Frame9"/>
                      <a:graphic xmlns:a="http://schemas.openxmlformats.org/drawingml/2006/main">
                        <a:graphicData uri="http://schemas.microsoft.com/office/word/2010/wordprocessingShape">
                          <wps:wsp>
                            <wps:cNvSpPr txBox="1"/>
                            <wps:spPr>
                              <a:xfrm>
                                <a:off x="0" y="0"/>
                                <a:ext cx="2419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29210"/>
                      <wp:effectExtent l="0" t="0" r="0" b="0"/>
                      <wp:wrapNone/>
                      <wp:docPr id="10" name="Frame10"/>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915035" cy="29210"/>
                      <wp:effectExtent l="0" t="0" r="0" b="0"/>
                      <wp:wrapNone/>
                      <wp:docPr id="11" name="Frame11"/>
                      <a:graphic xmlns:a="http://schemas.openxmlformats.org/drawingml/2006/main">
                        <a:graphicData uri="http://schemas.microsoft.com/office/word/2010/wordprocessingShape">
                          <wps:wsp>
                            <wps:cNvSpPr txBox="1"/>
                            <wps:spPr>
                              <a:xfrm>
                                <a:off x="0" y="0"/>
                                <a:ext cx="9150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29210"/>
                      <wp:effectExtent l="0" t="0" r="0" b="0"/>
                      <wp:wrapNone/>
                      <wp:docPr id="12" name="Frame12"/>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4135" cy="29210"/>
                      <wp:effectExtent l="0" t="0" r="0" b="0"/>
                      <wp:wrapNone/>
                      <wp:docPr id="13" name="Frame13"/>
                      <a:graphic xmlns:a="http://schemas.openxmlformats.org/drawingml/2006/main">
                        <a:graphicData uri="http://schemas.microsoft.com/office/word/2010/wordprocessingShape">
                          <wps:wsp>
                            <wps:cNvSpPr txBox="1"/>
                            <wps:spPr>
                              <a:xfrm>
                                <a:off x="0" y="0"/>
                                <a:ext cx="13341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4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21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w:t>
              <w:br/>
              <w:t>on which registered</w:t>
            </w:r>
          </w:p>
        </w:tc>
      </w:tr>
      <w:tr>
        <w:trPr/>
        <w:tc>
          <w:tcPr>
            <w:tcW w:w="38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Class A Common Stock, $0.001 par value per share</w:t>
            </w:r>
          </w:p>
        </w:tc>
        <w:tc>
          <w:tcPr>
            <w:tcW w:w="346" w:type="dxa"/>
            <w:tcBorders/>
            <w:vAlign w:val="center"/>
          </w:tcPr>
          <w:p>
            <w:pPr>
              <w:pStyle w:val="TableContents"/>
              <w:bidi w:val="0"/>
              <w:spacing w:before="0" w:after="0"/>
              <w:ind w:left="0" w:right="0" w:hanging="0"/>
              <w:jc w:val="left"/>
              <w:rPr/>
            </w:pPr>
            <w:r>
              <w:rPr/>
              <w:t> </w:t>
            </w:r>
          </w:p>
        </w:tc>
        <w:tc>
          <w:tcPr>
            <w:tcW w:w="144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ELUT</w:t>
            </w:r>
          </w:p>
        </w:tc>
        <w:tc>
          <w:tcPr>
            <w:tcW w:w="346" w:type="dxa"/>
            <w:tcBorders/>
            <w:vAlign w:val="center"/>
          </w:tcPr>
          <w:p>
            <w:pPr>
              <w:pStyle w:val="TableContents"/>
              <w:bidi w:val="0"/>
              <w:spacing w:before="0" w:after="0"/>
              <w:ind w:left="0" w:right="0" w:hanging="0"/>
              <w:jc w:val="left"/>
              <w:rPr/>
            </w:pPr>
            <w:r>
              <w:rPr/>
              <w:t> </w:t>
            </w:r>
          </w:p>
        </w:tc>
        <w:tc>
          <w:tcPr>
            <w:tcW w:w="210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The Nasdaq</w:t>
            </w:r>
            <w:r>
              <w:rPr>
                <w:rFonts w:ascii="Times New Roman;Times;serif" w:hAnsi="Times New Roman;Times;serif"/>
                <w:sz w:val="20"/>
              </w:rPr>
              <w:t xml:space="preserve"> </w:t>
            </w:r>
            <w:r>
              <w:rPr>
                <w:rFonts w:ascii="Times New Roman;Times;serif" w:hAnsi="Times New Roman;Times;serif"/>
                <w:sz w:val="18"/>
              </w:rPr>
              <w:t>Capital Market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 xml:space="preserve">Emerging growth company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lineRule="atLeast" w:line="142"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ind w:left="600" w:right="600" w:hanging="0"/>
        <w:jc w:val="left"/>
        <w:rPr>
          <w:sz w:val="4"/>
          <w:szCs w:val="4"/>
        </w:rPr>
      </w:pPr>
      <w:r>
        <w:rPr>
          <w:sz w:val="4"/>
          <w:szCs w:val="4"/>
        </w:rPr>
      </w:r>
      <w:bookmarkStart w:id="38" w:name="_02865c69_e641_4f8c_8052_967ff3e83171"/>
      <w:bookmarkStart w:id="39" w:name="_02865c69_e641_4f8c_8052_967ff3e83171"/>
      <w:bookmarkEnd w:id="39"/>
    </w:p>
    <w:tbl>
      <w:tblPr>
        <w:tblW w:w="10205" w:type="dxa"/>
        <w:jc w:val="left"/>
        <w:tblInd w:w="0" w:type="dxa"/>
        <w:tblLayout w:type="fixed"/>
        <w:tblCellMar>
          <w:top w:w="0" w:type="dxa"/>
          <w:left w:w="0" w:type="dxa"/>
          <w:bottom w:w="0" w:type="dxa"/>
          <w:right w:w="0" w:type="dxa"/>
        </w:tblCellMar>
      </w:tblPr>
      <w:tblGrid>
        <w:gridCol w:w="821"/>
        <w:gridCol w:w="9384"/>
      </w:tblGrid>
      <w:tr>
        <w:trPr/>
        <w:tc>
          <w:tcPr>
            <w:tcW w:w="821" w:type="dxa"/>
            <w:tcBorders/>
            <w:vAlign w:val="center"/>
          </w:tcPr>
          <w:p>
            <w:pPr>
              <w:pStyle w:val="TableContents"/>
              <w:bidi w:val="0"/>
              <w:spacing w:before="0" w:after="240"/>
              <w:jc w:val="both"/>
              <w:rPr>
                <w:rFonts w:ascii="Times New Roman;Times;serif" w:hAnsi="Times New Roman;Times;serif"/>
                <w:b/>
                <w:sz w:val="21"/>
              </w:rPr>
            </w:pPr>
            <w:r>
              <w:rPr>
                <w:rFonts w:ascii="Times New Roman;Times;serif" w:hAnsi="Times New Roman;Times;serif"/>
                <w:b/>
                <w:sz w:val="21"/>
              </w:rPr>
              <w:t>Item 5.02</w:t>
            </w:r>
          </w:p>
        </w:tc>
        <w:tc>
          <w:tcPr>
            <w:tcW w:w="9384" w:type="dxa"/>
            <w:tcBorders/>
            <w:vAlign w:val="center"/>
          </w:tcPr>
          <w:p>
            <w:pPr>
              <w:pStyle w:val="TableContents"/>
              <w:bidi w:val="0"/>
              <w:spacing w:before="0" w:after="240"/>
              <w:jc w:val="both"/>
              <w:rPr>
                <w:rFonts w:ascii="Times New Roman;Times;serif" w:hAnsi="Times New Roman;Times;serif"/>
                <w:b/>
                <w:sz w:val="21"/>
              </w:rPr>
            </w:pPr>
            <w:r>
              <w:rPr>
                <w:rFonts w:ascii="Times New Roman;Times;serif" w:hAnsi="Times New Roman;Times;serif"/>
                <w:b/>
                <w:sz w:val="21"/>
              </w:rPr>
              <w:t>Departure of Directors or Certain Officers; Election of Directors; Appointment of Certain Officers; Compensatory Arrangements of Certain Officers.</w:t>
            </w:r>
          </w:p>
        </w:tc>
      </w:tr>
    </w:tbl>
    <w:p>
      <w:pPr>
        <w:pStyle w:val="TextBody"/>
        <w:bidi w:val="0"/>
        <w:spacing w:before="0" w:after="240"/>
        <w:ind w:left="0" w:right="0" w:hanging="0"/>
        <w:jc w:val="both"/>
        <w:rPr>
          <w:rFonts w:ascii="Times New Roman;Times;serif" w:hAnsi="Times New Roman;Times;serif"/>
          <w:sz w:val="21"/>
        </w:rPr>
      </w:pPr>
      <w:r>
        <w:rPr>
          <w:rFonts w:ascii="Times New Roman;Times;serif" w:hAnsi="Times New Roman;Times;serif"/>
          <w:sz w:val="21"/>
        </w:rPr>
        <w:t xml:space="preserve">On April 22, 2026 (the “Amendment Date”), the Board of Directors of Elutia Inc. (the “Company”) approved the First Amendment (the “First Amendment”) to the Company’s Amended and Restated 2020 Incentive Award Plan, as amended (the “2020 Plan”), subject to stockholder approval. The stockholders of the Company approved the First Amendment at the Company’s 2026 Annual Meeting of Stockholders on June 11, 2026. Among other things, the First Amendment: (i) increased the number of shares authorized for issuance of awards under the 2020 Plan by an additional 3,000,000 shares of the Company’s Class A common stock; (2) extended the annual increase of shares of the Company’s Class A common stock authorized under the 2020 Plan through January 1, 2036 (the tenth January 1 after the Amendment Date); and (3) extended the termination date of the 2020 Plan to the tenth anniversary of the Amendment Date. The Company included a description of the material terms of the First Amendment and the 2020 Plan, as amended thereby, in its Definitive Proxy Statement on Schedule 14A filed with the Securities and Exchange Commission on April 22, 2026 (the “Proxy Statement”) and incorporates it by reference. The descriptions of the First Amendment and the 2020 Plan contained in this report and in the Proxy Statement are qualified in their entirety by reference to the full text of the 2020 Plan and the First Amendment, which are filed as Exhibits 10.1 and 10.2 to this report. </w:t>
      </w:r>
    </w:p>
    <w:tbl>
      <w:tblPr>
        <w:tblW w:w="5927" w:type="dxa"/>
        <w:jc w:val="left"/>
        <w:tblInd w:w="0" w:type="dxa"/>
        <w:tblLayout w:type="fixed"/>
        <w:tblCellMar>
          <w:top w:w="0" w:type="dxa"/>
          <w:left w:w="0" w:type="dxa"/>
          <w:bottom w:w="0" w:type="dxa"/>
          <w:right w:w="0" w:type="dxa"/>
        </w:tblCellMar>
      </w:tblPr>
      <w:tblGrid>
        <w:gridCol w:w="976"/>
        <w:gridCol w:w="4951"/>
      </w:tblGrid>
      <w:tr>
        <w:trPr/>
        <w:tc>
          <w:tcPr>
            <w:tcW w:w="976" w:type="dxa"/>
            <w:tcBorders/>
            <w:vAlign w:val="center"/>
          </w:tcPr>
          <w:p>
            <w:pPr>
              <w:pStyle w:val="TableContents"/>
              <w:bidi w:val="0"/>
              <w:spacing w:before="0" w:after="240"/>
              <w:jc w:val="both"/>
              <w:rPr>
                <w:rFonts w:ascii="Times New Roman;Times;serif" w:hAnsi="Times New Roman;Times;serif"/>
                <w:b/>
                <w:sz w:val="21"/>
              </w:rPr>
            </w:pPr>
            <w:r>
              <w:rPr>
                <w:rFonts w:ascii="Times New Roman;Times;serif" w:hAnsi="Times New Roman;Times;serif"/>
                <w:b/>
                <w:sz w:val="21"/>
              </w:rPr>
              <w:t>Item 5.07</w:t>
            </w:r>
          </w:p>
        </w:tc>
        <w:tc>
          <w:tcPr>
            <w:tcW w:w="4951" w:type="dxa"/>
            <w:tcBorders/>
            <w:vAlign w:val="center"/>
          </w:tcPr>
          <w:p>
            <w:pPr>
              <w:pStyle w:val="TableContents"/>
              <w:bidi w:val="0"/>
              <w:spacing w:before="0" w:after="240"/>
              <w:jc w:val="both"/>
              <w:rPr>
                <w:rFonts w:ascii="Times New Roman;Times;serif" w:hAnsi="Times New Roman;Times;serif"/>
                <w:b/>
                <w:sz w:val="21"/>
              </w:rPr>
            </w:pPr>
            <w:r>
              <w:rPr>
                <w:rFonts w:ascii="Times New Roman;Times;serif" w:hAnsi="Times New Roman;Times;serif"/>
                <w:b/>
                <w:sz w:val="21"/>
              </w:rPr>
              <w:t>Submission of Matters to a Vote of Security Holders.</w:t>
            </w:r>
          </w:p>
        </w:tc>
      </w:tr>
    </w:tbl>
    <w:p>
      <w:pPr>
        <w:pStyle w:val="TextBody"/>
        <w:bidi w:val="0"/>
        <w:spacing w:before="0" w:after="240"/>
        <w:ind w:left="0" w:right="0" w:hanging="0"/>
        <w:jc w:val="both"/>
        <w:rPr>
          <w:rFonts w:ascii="Times New Roman;Times;serif" w:hAnsi="Times New Roman;Times;serif"/>
          <w:sz w:val="21"/>
        </w:rPr>
      </w:pPr>
      <w:r>
        <w:rPr>
          <w:rFonts w:ascii="Times New Roman;Times;serif" w:hAnsi="Times New Roman;Times;serif"/>
          <w:sz w:val="21"/>
        </w:rPr>
        <w:t>On June 11, 2026, the Company held its annual meeting of stockholders. A total of 34,041,545 shares of the Company’s Class A common stock were present in person or represented by proxy at the meeting, representing approximately 77.0% of the Company’s Class A common stock outstanding as of the April 17, 2026 record date. The voting results for the proposals considered and voted upon at the meeting, each of which were described in the Company’s proxy statement, are as follows:</w:t>
      </w:r>
    </w:p>
    <w:p>
      <w:pPr>
        <w:pStyle w:val="TextBody"/>
        <w:bidi w:val="0"/>
        <w:spacing w:before="0" w:after="240"/>
        <w:ind w:left="0" w:right="0" w:hanging="0"/>
        <w:jc w:val="both"/>
        <w:rPr>
          <w:rFonts w:ascii="Times New Roman;Times;serif" w:hAnsi="Times New Roman;Times;serif"/>
          <w:sz w:val="21"/>
        </w:rPr>
      </w:pPr>
      <w:r>
        <w:rPr>
          <w:rFonts w:ascii="Times New Roman;Times;serif" w:hAnsi="Times New Roman;Times;serif"/>
          <w:sz w:val="21"/>
        </w:rPr>
        <w:t>Proposal 1 – Election of two Class III directors to hold office until the Company’s annual meeting of stockholders to be held in 2029 and until their respective successors have been duly elected and qualified:</w:t>
      </w:r>
    </w:p>
    <w:tbl>
      <w:tblPr>
        <w:tblW w:w="4954" w:type="dxa"/>
        <w:jc w:val="left"/>
        <w:tblInd w:w="0" w:type="dxa"/>
        <w:tblLayout w:type="fixed"/>
        <w:tblCellMar>
          <w:top w:w="0" w:type="dxa"/>
          <w:left w:w="0" w:type="dxa"/>
          <w:bottom w:w="0" w:type="dxa"/>
          <w:right w:w="0" w:type="dxa"/>
        </w:tblCellMar>
      </w:tblPr>
      <w:tblGrid>
        <w:gridCol w:w="1456"/>
        <w:gridCol w:w="1126"/>
        <w:gridCol w:w="1276"/>
        <w:gridCol w:w="1096"/>
      </w:tblGrid>
      <w:tr>
        <w:trPr/>
        <w:tc>
          <w:tcPr>
            <w:tcW w:w="145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left"/>
              <w:rPr/>
            </w:pPr>
            <w:r>
              <w:rPr/>
              <w:t>​</w:t>
            </w:r>
          </w:p>
        </w:tc>
        <w:tc>
          <w:tcPr>
            <w:tcW w:w="127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r>
      <w:tr>
        <w:trPr/>
        <w:tc>
          <w:tcPr>
            <w:tcW w:w="14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both"/>
              <w:rPr/>
            </w:pPr>
            <w:r>
              <w:rPr/>
              <w:t>​</w:t>
            </w:r>
          </w:p>
        </w:tc>
        <w:tc>
          <w:tcPr>
            <w:tcW w:w="11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tLeast" w:line="240" w:before="0" w:after="0"/>
              <w:ind w:left="0" w:right="0" w:hanging="0"/>
              <w:jc w:val="center"/>
              <w:rPr>
                <w:rFonts w:ascii="Times New Roman;Times;serif" w:hAnsi="Times New Roman;Times;serif"/>
                <w:b/>
                <w:sz w:val="21"/>
              </w:rPr>
            </w:pPr>
            <w:r>
              <w:rPr>
                <w:rFonts w:ascii="Times New Roman;Times;serif" w:hAnsi="Times New Roman;Times;serif"/>
                <w:b/>
                <w:sz w:val="21"/>
              </w:rPr>
              <w:t>Votes</w:t>
            </w:r>
          </w:p>
          <w:p>
            <w:pPr>
              <w:pStyle w:val="TableContents"/>
              <w:bidi w:val="0"/>
              <w:spacing w:lineRule="atLeast" w:line="240" w:before="0" w:after="0"/>
              <w:ind w:left="0" w:right="0" w:hanging="0"/>
              <w:jc w:val="center"/>
              <w:rPr>
                <w:rFonts w:ascii="Times New Roman;Times;serif" w:hAnsi="Times New Roman;Times;serif"/>
                <w:b/>
                <w:sz w:val="21"/>
              </w:rPr>
            </w:pPr>
            <w:r>
              <w:rPr>
                <w:rFonts w:ascii="Times New Roman;Times;serif" w:hAnsi="Times New Roman;Times;serif"/>
                <w:b/>
                <w:sz w:val="21"/>
              </w:rPr>
              <w:t>FOR</w:t>
            </w: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tLeast" w:line="240" w:before="0" w:after="0"/>
              <w:ind w:left="0" w:right="0" w:hanging="0"/>
              <w:jc w:val="center"/>
              <w:rPr>
                <w:rFonts w:ascii="Times New Roman;Times;serif" w:hAnsi="Times New Roman;Times;serif"/>
                <w:b/>
                <w:sz w:val="21"/>
              </w:rPr>
            </w:pPr>
            <w:r>
              <w:rPr>
                <w:rFonts w:ascii="Times New Roman;Times;serif" w:hAnsi="Times New Roman;Times;serif"/>
                <w:b/>
                <w:sz w:val="21"/>
              </w:rPr>
              <w:t>Votes</w:t>
            </w:r>
          </w:p>
          <w:p>
            <w:pPr>
              <w:pStyle w:val="TableContents"/>
              <w:bidi w:val="0"/>
              <w:spacing w:lineRule="atLeast" w:line="240" w:before="0" w:after="0"/>
              <w:ind w:left="0" w:right="0" w:hanging="0"/>
              <w:jc w:val="center"/>
              <w:rPr>
                <w:rFonts w:ascii="Times New Roman;Times;serif" w:hAnsi="Times New Roman;Times;serif"/>
                <w:b/>
                <w:sz w:val="21"/>
              </w:rPr>
            </w:pPr>
            <w:r>
              <w:rPr>
                <w:rFonts w:ascii="Times New Roman;Times;serif" w:hAnsi="Times New Roman;Times;serif"/>
                <w:b/>
                <w:sz w:val="21"/>
              </w:rPr>
              <w:t>WITHHELD</w:t>
            </w:r>
          </w:p>
        </w:tc>
        <w:tc>
          <w:tcPr>
            <w:tcW w:w="10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tLeast" w:line="240" w:before="0" w:after="0"/>
              <w:ind w:left="0" w:right="0" w:hanging="0"/>
              <w:jc w:val="center"/>
              <w:rPr>
                <w:rFonts w:ascii="Times New Roman;Times;serif" w:hAnsi="Times New Roman;Times;serif"/>
                <w:b/>
                <w:sz w:val="21"/>
              </w:rPr>
            </w:pPr>
            <w:r>
              <w:rPr>
                <w:rFonts w:ascii="Times New Roman;Times;serif" w:hAnsi="Times New Roman;Times;serif"/>
                <w:b/>
                <w:sz w:val="21"/>
              </w:rPr>
              <w:t>Broker</w:t>
            </w:r>
          </w:p>
          <w:p>
            <w:pPr>
              <w:pStyle w:val="TableContents"/>
              <w:bidi w:val="0"/>
              <w:spacing w:lineRule="atLeast" w:line="240" w:before="0" w:after="0"/>
              <w:ind w:left="0" w:right="0" w:hanging="0"/>
              <w:jc w:val="center"/>
              <w:rPr>
                <w:rFonts w:ascii="Times New Roman;Times;serif" w:hAnsi="Times New Roman;Times;serif"/>
                <w:b/>
                <w:sz w:val="21"/>
              </w:rPr>
            </w:pPr>
            <w:r>
              <w:rPr>
                <w:rFonts w:ascii="Times New Roman;Times;serif" w:hAnsi="Times New Roman;Times;serif"/>
                <w:b/>
                <w:sz w:val="21"/>
              </w:rPr>
              <w:t>Non-Votes</w:t>
            </w:r>
          </w:p>
        </w:tc>
      </w:tr>
      <w:tr>
        <w:trPr/>
        <w:tc>
          <w:tcPr>
            <w:tcW w:w="14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tLeast" w:line="240" w:before="0" w:after="0"/>
              <w:ind w:left="0" w:right="0" w:hanging="0"/>
              <w:jc w:val="both"/>
              <w:rPr>
                <w:rFonts w:ascii="Times New Roman;Times;serif" w:hAnsi="Times New Roman;Times;serif"/>
                <w:sz w:val="21"/>
              </w:rPr>
            </w:pPr>
            <w:r>
              <w:rPr>
                <w:rFonts w:ascii="Times New Roman;Times;serif" w:hAnsi="Times New Roman;Times;serif"/>
                <w:sz w:val="21"/>
              </w:rPr>
              <w:t>David Colpman</w:t>
            </w:r>
          </w:p>
        </w:tc>
        <w:tc>
          <w:tcPr>
            <w:tcW w:w="11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tLeast" w:line="240" w:before="0" w:after="0"/>
              <w:ind w:left="0" w:right="0" w:hanging="0"/>
              <w:jc w:val="center"/>
              <w:rPr>
                <w:rFonts w:ascii="Times New Roman;Times;serif" w:hAnsi="Times New Roman;Times;serif"/>
                <w:sz w:val="21"/>
              </w:rPr>
            </w:pPr>
            <w:r>
              <w:rPr>
                <w:rFonts w:ascii="Times New Roman;Times;serif" w:hAnsi="Times New Roman;Times;serif"/>
                <w:sz w:val="21"/>
              </w:rPr>
              <w:t xml:space="preserve">25,384,500 </w:t>
            </w: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tLeast" w:line="240" w:before="0" w:after="0"/>
              <w:ind w:left="0" w:right="0" w:hanging="0"/>
              <w:jc w:val="center"/>
              <w:rPr>
                <w:rFonts w:ascii="Times New Roman;Times;serif" w:hAnsi="Times New Roman;Times;serif"/>
                <w:sz w:val="21"/>
              </w:rPr>
            </w:pPr>
            <w:r>
              <w:rPr>
                <w:rFonts w:ascii="Times New Roman;Times;serif" w:hAnsi="Times New Roman;Times;serif"/>
                <w:sz w:val="21"/>
              </w:rPr>
              <w:t xml:space="preserve">1,708,821 </w:t>
            </w:r>
          </w:p>
        </w:tc>
        <w:tc>
          <w:tcPr>
            <w:tcW w:w="10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tLeast" w:line="240" w:before="0" w:after="0"/>
              <w:ind w:left="0" w:right="0" w:hanging="0"/>
              <w:jc w:val="center"/>
              <w:rPr>
                <w:rFonts w:ascii="Times New Roman;Times;serif" w:hAnsi="Times New Roman;Times;serif"/>
                <w:sz w:val="21"/>
              </w:rPr>
            </w:pPr>
            <w:r>
              <w:rPr>
                <w:rFonts w:ascii="Times New Roman;Times;serif" w:hAnsi="Times New Roman;Times;serif"/>
                <w:sz w:val="21"/>
              </w:rPr>
              <w:t xml:space="preserve">6,948,224 </w:t>
            </w:r>
          </w:p>
        </w:tc>
      </w:tr>
      <w:tr>
        <w:trPr/>
        <w:tc>
          <w:tcPr>
            <w:tcW w:w="14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tLeast" w:line="240" w:before="0" w:after="0"/>
              <w:ind w:left="0" w:right="0" w:hanging="0"/>
              <w:jc w:val="both"/>
              <w:rPr>
                <w:rFonts w:ascii="Times New Roman;Times;serif" w:hAnsi="Times New Roman;Times;serif"/>
                <w:sz w:val="21"/>
              </w:rPr>
            </w:pPr>
            <w:r>
              <w:rPr>
                <w:rFonts w:ascii="Times New Roman;Times;serif" w:hAnsi="Times New Roman;Times;serif"/>
                <w:sz w:val="21"/>
              </w:rPr>
              <w:t>Kevin Rakin</w:t>
            </w:r>
          </w:p>
        </w:tc>
        <w:tc>
          <w:tcPr>
            <w:tcW w:w="11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tLeast" w:line="240" w:before="0" w:after="0"/>
              <w:ind w:left="0" w:right="0" w:hanging="0"/>
              <w:jc w:val="center"/>
              <w:rPr>
                <w:rFonts w:ascii="Times New Roman;Times;serif" w:hAnsi="Times New Roman;Times;serif"/>
                <w:sz w:val="21"/>
              </w:rPr>
            </w:pPr>
            <w:r>
              <w:rPr>
                <w:rFonts w:ascii="Times New Roman;Times;serif" w:hAnsi="Times New Roman;Times;serif"/>
                <w:sz w:val="21"/>
              </w:rPr>
              <w:t xml:space="preserve">26,902,953 </w:t>
            </w: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tLeast" w:line="240" w:before="0" w:after="0"/>
              <w:ind w:left="0" w:right="0" w:hanging="0"/>
              <w:jc w:val="center"/>
              <w:rPr>
                <w:rFonts w:ascii="Times New Roman;Times;serif" w:hAnsi="Times New Roman;Times;serif"/>
                <w:sz w:val="21"/>
              </w:rPr>
            </w:pPr>
            <w:r>
              <w:rPr>
                <w:rFonts w:ascii="Times New Roman;Times;serif" w:hAnsi="Times New Roman;Times;serif"/>
                <w:sz w:val="21"/>
              </w:rPr>
              <w:t xml:space="preserve">190,368 </w:t>
            </w:r>
          </w:p>
        </w:tc>
        <w:tc>
          <w:tcPr>
            <w:tcW w:w="10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tLeast" w:line="240" w:before="0" w:after="0"/>
              <w:ind w:left="0" w:right="0" w:hanging="0"/>
              <w:jc w:val="center"/>
              <w:rPr>
                <w:rFonts w:ascii="Times New Roman;Times;serif" w:hAnsi="Times New Roman;Times;serif"/>
                <w:sz w:val="21"/>
              </w:rPr>
            </w:pPr>
            <w:r>
              <w:rPr>
                <w:rFonts w:ascii="Times New Roman;Times;serif" w:hAnsi="Times New Roman;Times;serif"/>
                <w:sz w:val="21"/>
              </w:rPr>
              <w:t xml:space="preserve">6,948,224 </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1"/>
        </w:rPr>
      </w:pPr>
      <w:r>
        <w:rPr>
          <w:rFonts w:ascii="Times New Roman;Times;serif" w:hAnsi="Times New Roman;Times;serif"/>
          <w:sz w:val="21"/>
        </w:rPr>
        <w:t>Accordingly, the nominees for Class III directors were elected.</w:t>
      </w:r>
    </w:p>
    <w:p>
      <w:pPr>
        <w:pStyle w:val="TextBody"/>
        <w:bidi w:val="0"/>
        <w:spacing w:before="0" w:after="240"/>
        <w:ind w:left="0" w:right="0" w:hanging="0"/>
        <w:jc w:val="both"/>
        <w:rPr>
          <w:rFonts w:ascii="Times New Roman;Times;serif" w:hAnsi="Times New Roman;Times;serif"/>
          <w:sz w:val="21"/>
        </w:rPr>
      </w:pPr>
      <w:r>
        <w:rPr>
          <w:rFonts w:ascii="Times New Roman;Times;serif" w:hAnsi="Times New Roman;Times;serif"/>
          <w:sz w:val="21"/>
        </w:rPr>
        <w:t>Proposal 2 – Ratification of the appointment of PricewaterhouseCoopers LLP as the Company’s independent registered public accounting firm for the year ending December 31, 2026:</w:t>
      </w:r>
    </w:p>
    <w:tbl>
      <w:tblPr>
        <w:tblW w:w="4594" w:type="dxa"/>
        <w:jc w:val="left"/>
        <w:tblInd w:w="0" w:type="dxa"/>
        <w:tblLayout w:type="fixed"/>
        <w:tblCellMar>
          <w:top w:w="0" w:type="dxa"/>
          <w:left w:w="0" w:type="dxa"/>
          <w:bottom w:w="0" w:type="dxa"/>
          <w:right w:w="0" w:type="dxa"/>
        </w:tblCellMar>
      </w:tblPr>
      <w:tblGrid>
        <w:gridCol w:w="1141"/>
        <w:gridCol w:w="1051"/>
        <w:gridCol w:w="1306"/>
        <w:gridCol w:w="1096"/>
      </w:tblGrid>
      <w:tr>
        <w:trPr/>
        <w:tc>
          <w:tcPr>
            <w:tcW w:w="114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lineRule="atLeast" w:line="240" w:before="0" w:after="0"/>
              <w:ind w:left="0" w:right="0" w:hanging="0"/>
              <w:jc w:val="center"/>
              <w:rPr/>
            </w:pPr>
            <w:r>
              <w:rPr/>
              <w:t>​</w:t>
            </w:r>
          </w:p>
          <w:p>
            <w:pPr>
              <w:pStyle w:val="TableContents"/>
              <w:bidi w:val="0"/>
              <w:spacing w:before="0" w:after="0"/>
              <w:ind w:left="0" w:right="0" w:hanging="0"/>
              <w:jc w:val="left"/>
              <w:rPr/>
            </w:pPr>
            <w:r>
              <w:rPr/>
              <w:t>​</w:t>
            </w:r>
          </w:p>
        </w:tc>
        <w:tc>
          <w:tcPr>
            <w:tcW w:w="1306" w:type="dxa"/>
            <w:tcBorders/>
            <w:vAlign w:val="center"/>
          </w:tcPr>
          <w:p>
            <w:pPr>
              <w:pStyle w:val="TableContents"/>
              <w:bidi w:val="0"/>
              <w:spacing w:lineRule="atLeast" w:line="240" w:before="0" w:after="0"/>
              <w:ind w:left="0" w:right="0" w:hanging="0"/>
              <w:jc w:val="center"/>
              <w:rPr/>
            </w:pPr>
            <w:r>
              <w:rPr/>
              <w:t>​</w:t>
            </w:r>
          </w:p>
          <w:p>
            <w:pPr>
              <w:pStyle w:val="TableContents"/>
              <w:bidi w:val="0"/>
              <w:spacing w:before="0" w:after="0"/>
              <w:ind w:left="0" w:right="0" w:hanging="0"/>
              <w:jc w:val="left"/>
              <w:rPr/>
            </w:pPr>
            <w:r>
              <w:rPr/>
              <w:t>​</w:t>
            </w:r>
          </w:p>
        </w:tc>
        <w:tc>
          <w:tcPr>
            <w:tcW w:w="1096" w:type="dxa"/>
            <w:tcBorders/>
            <w:vAlign w:val="center"/>
          </w:tcPr>
          <w:p>
            <w:pPr>
              <w:pStyle w:val="TableContents"/>
              <w:bidi w:val="0"/>
              <w:spacing w:lineRule="atLeast" w:line="240" w:before="0" w:after="0"/>
              <w:ind w:left="0" w:right="0" w:hanging="0"/>
              <w:jc w:val="center"/>
              <w:rPr/>
            </w:pPr>
            <w:r>
              <w:rPr/>
              <w:t>​</w:t>
            </w:r>
          </w:p>
          <w:p>
            <w:pPr>
              <w:pStyle w:val="TableContents"/>
              <w:bidi w:val="0"/>
              <w:spacing w:before="0" w:after="0"/>
              <w:ind w:left="0" w:right="0" w:hanging="0"/>
              <w:jc w:val="left"/>
              <w:rPr/>
            </w:pPr>
            <w:r>
              <w:rPr/>
              <w:t>​</w:t>
            </w:r>
          </w:p>
        </w:tc>
      </w:tr>
      <w:tr>
        <w:trPr/>
        <w:tc>
          <w:tcPr>
            <w:tcW w:w="114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tLeast" w:line="240" w:before="0" w:after="0"/>
              <w:ind w:left="0" w:right="0" w:hanging="0"/>
              <w:jc w:val="center"/>
              <w:rPr>
                <w:rFonts w:ascii="Times New Roman;Times;serif" w:hAnsi="Times New Roman;Times;serif"/>
                <w:b/>
                <w:sz w:val="21"/>
              </w:rPr>
            </w:pPr>
            <w:r>
              <w:rPr>
                <w:rFonts w:ascii="Times New Roman;Times;serif" w:hAnsi="Times New Roman;Times;serif"/>
                <w:b/>
                <w:sz w:val="21"/>
              </w:rPr>
              <w:t>Votes</w:t>
            </w:r>
          </w:p>
          <w:p>
            <w:pPr>
              <w:pStyle w:val="TableContents"/>
              <w:bidi w:val="0"/>
              <w:spacing w:lineRule="atLeast" w:line="240" w:before="0" w:after="0"/>
              <w:ind w:left="0" w:right="0" w:hanging="0"/>
              <w:jc w:val="center"/>
              <w:rPr>
                <w:rFonts w:ascii="Times New Roman;Times;serif" w:hAnsi="Times New Roman;Times;serif"/>
                <w:b/>
                <w:sz w:val="21"/>
              </w:rPr>
            </w:pPr>
            <w:r>
              <w:rPr>
                <w:rFonts w:ascii="Times New Roman;Times;serif" w:hAnsi="Times New Roman;Times;serif"/>
                <w:b/>
                <w:sz w:val="21"/>
              </w:rPr>
              <w:t>FOR</w:t>
            </w:r>
          </w:p>
        </w:tc>
        <w:tc>
          <w:tcPr>
            <w:tcW w:w="10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tLeast" w:line="240" w:before="0" w:after="0"/>
              <w:ind w:left="0" w:right="0" w:hanging="0"/>
              <w:jc w:val="center"/>
              <w:rPr>
                <w:rFonts w:ascii="Times New Roman;Times;serif" w:hAnsi="Times New Roman;Times;serif"/>
                <w:b/>
                <w:sz w:val="21"/>
              </w:rPr>
            </w:pPr>
            <w:r>
              <w:rPr>
                <w:rFonts w:ascii="Times New Roman;Times;serif" w:hAnsi="Times New Roman;Times;serif"/>
                <w:b/>
                <w:sz w:val="21"/>
              </w:rPr>
              <w:t>Votes</w:t>
            </w:r>
          </w:p>
          <w:p>
            <w:pPr>
              <w:pStyle w:val="TableContents"/>
              <w:bidi w:val="0"/>
              <w:spacing w:lineRule="atLeast" w:line="240" w:before="0" w:after="0"/>
              <w:ind w:left="0" w:right="0" w:hanging="0"/>
              <w:jc w:val="center"/>
              <w:rPr>
                <w:rFonts w:ascii="Times New Roman;Times;serif" w:hAnsi="Times New Roman;Times;serif"/>
                <w:b/>
                <w:sz w:val="21"/>
              </w:rPr>
            </w:pPr>
            <w:r>
              <w:rPr>
                <w:rFonts w:ascii="Times New Roman;Times;serif" w:hAnsi="Times New Roman;Times;serif"/>
                <w:b/>
                <w:sz w:val="21"/>
              </w:rPr>
              <w:t>AGAINST</w:t>
            </w:r>
          </w:p>
        </w:tc>
        <w:tc>
          <w:tcPr>
            <w:tcW w:w="13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tLeast" w:line="240" w:before="0" w:after="0"/>
              <w:ind w:left="0" w:right="0" w:hanging="0"/>
              <w:jc w:val="center"/>
              <w:rPr>
                <w:rFonts w:ascii="Times New Roman;Times;serif" w:hAnsi="Times New Roman;Times;serif"/>
                <w:b/>
                <w:sz w:val="21"/>
              </w:rPr>
            </w:pPr>
            <w:r>
              <w:rPr>
                <w:rFonts w:ascii="Times New Roman;Times;serif" w:hAnsi="Times New Roman;Times;serif"/>
                <w:b/>
                <w:sz w:val="21"/>
              </w:rPr>
              <w:t>Votes</w:t>
            </w:r>
          </w:p>
          <w:p>
            <w:pPr>
              <w:pStyle w:val="TableContents"/>
              <w:bidi w:val="0"/>
              <w:spacing w:lineRule="atLeast" w:line="240" w:before="0" w:after="0"/>
              <w:ind w:left="0" w:right="0" w:hanging="0"/>
              <w:jc w:val="center"/>
              <w:rPr>
                <w:rFonts w:ascii="Times New Roman;Times;serif" w:hAnsi="Times New Roman;Times;serif"/>
                <w:b/>
                <w:sz w:val="21"/>
              </w:rPr>
            </w:pPr>
            <w:r>
              <w:rPr>
                <w:rFonts w:ascii="Times New Roman;Times;serif" w:hAnsi="Times New Roman;Times;serif"/>
                <w:b/>
                <w:sz w:val="21"/>
              </w:rPr>
              <w:t>ABSTAINED</w:t>
            </w:r>
          </w:p>
        </w:tc>
        <w:tc>
          <w:tcPr>
            <w:tcW w:w="10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tLeast" w:line="240" w:before="0" w:after="0"/>
              <w:ind w:left="0" w:right="0" w:hanging="0"/>
              <w:jc w:val="center"/>
              <w:rPr>
                <w:rFonts w:ascii="Times New Roman;Times;serif" w:hAnsi="Times New Roman;Times;serif"/>
                <w:b/>
                <w:sz w:val="21"/>
              </w:rPr>
            </w:pPr>
            <w:r>
              <w:rPr>
                <w:rFonts w:ascii="Times New Roman;Times;serif" w:hAnsi="Times New Roman;Times;serif"/>
                <w:b/>
                <w:sz w:val="21"/>
              </w:rPr>
              <w:t>Broker</w:t>
            </w:r>
          </w:p>
          <w:p>
            <w:pPr>
              <w:pStyle w:val="TableContents"/>
              <w:bidi w:val="0"/>
              <w:spacing w:lineRule="atLeast" w:line="240" w:before="0" w:after="0"/>
              <w:ind w:left="0" w:right="0" w:hanging="0"/>
              <w:jc w:val="center"/>
              <w:rPr>
                <w:rFonts w:ascii="Times New Roman;Times;serif" w:hAnsi="Times New Roman;Times;serif"/>
                <w:b/>
                <w:sz w:val="21"/>
              </w:rPr>
            </w:pPr>
            <w:r>
              <w:rPr>
                <w:rFonts w:ascii="Times New Roman;Times;serif" w:hAnsi="Times New Roman;Times;serif"/>
                <w:b/>
                <w:sz w:val="21"/>
              </w:rPr>
              <w:t>Non-Votes</w:t>
            </w:r>
          </w:p>
        </w:tc>
      </w:tr>
      <w:tr>
        <w:trPr/>
        <w:tc>
          <w:tcPr>
            <w:tcW w:w="114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tLeast" w:line="240" w:before="0" w:after="0"/>
              <w:ind w:left="0" w:right="0" w:hanging="0"/>
              <w:jc w:val="center"/>
              <w:rPr>
                <w:rFonts w:ascii="Times New Roman;Times;serif" w:hAnsi="Times New Roman;Times;serif"/>
                <w:sz w:val="21"/>
              </w:rPr>
            </w:pPr>
            <w:r>
              <w:rPr>
                <w:rFonts w:ascii="Times New Roman;Times;serif" w:hAnsi="Times New Roman;Times;serif"/>
                <w:sz w:val="21"/>
              </w:rPr>
              <w:t xml:space="preserve">33,866,728 </w:t>
            </w:r>
          </w:p>
        </w:tc>
        <w:tc>
          <w:tcPr>
            <w:tcW w:w="10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tLeast" w:line="240" w:before="0" w:after="0"/>
              <w:ind w:left="0" w:right="0" w:hanging="0"/>
              <w:jc w:val="center"/>
              <w:rPr>
                <w:rFonts w:ascii="Times New Roman;Times;serif" w:hAnsi="Times New Roman;Times;serif"/>
                <w:sz w:val="21"/>
              </w:rPr>
            </w:pPr>
            <w:r>
              <w:rPr>
                <w:rFonts w:ascii="Times New Roman;Times;serif" w:hAnsi="Times New Roman;Times;serif"/>
                <w:sz w:val="21"/>
              </w:rPr>
              <w:t xml:space="preserve">174,255 </w:t>
            </w:r>
          </w:p>
        </w:tc>
        <w:tc>
          <w:tcPr>
            <w:tcW w:w="13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tLeast" w:line="240" w:before="0" w:after="0"/>
              <w:ind w:left="0" w:right="0" w:hanging="0"/>
              <w:jc w:val="center"/>
              <w:rPr>
                <w:rFonts w:ascii="Times New Roman;Times;serif" w:hAnsi="Times New Roman;Times;serif"/>
                <w:sz w:val="21"/>
              </w:rPr>
            </w:pPr>
            <w:r>
              <w:rPr>
                <w:rFonts w:ascii="Times New Roman;Times;serif" w:hAnsi="Times New Roman;Times;serif"/>
                <w:sz w:val="21"/>
              </w:rPr>
              <w:t xml:space="preserve">562 </w:t>
            </w:r>
          </w:p>
        </w:tc>
        <w:tc>
          <w:tcPr>
            <w:tcW w:w="10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tLeast" w:line="240" w:before="0" w:after="0"/>
              <w:ind w:left="0" w:right="0" w:hanging="0"/>
              <w:jc w:val="center"/>
              <w:rPr>
                <w:rFonts w:ascii="Times New Roman;Times;serif" w:hAnsi="Times New Roman;Times;serif"/>
                <w:sz w:val="21"/>
              </w:rPr>
            </w:pPr>
            <w:r>
              <w:rPr>
                <w:rFonts w:ascii="Times New Roman;Times;serif" w:hAnsi="Times New Roman;Times;serif"/>
                <w:sz w:val="21"/>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1"/>
        </w:rPr>
      </w:pPr>
      <w:r>
        <w:rPr>
          <w:rFonts w:ascii="Times New Roman;Times;serif" w:hAnsi="Times New Roman;Times;serif"/>
          <w:sz w:val="21"/>
        </w:rPr>
        <w:t xml:space="preserve">Accordingly, the Company’s stockholders approved Proposal 2 set forth above. </w:t>
      </w:r>
    </w:p>
    <w:p>
      <w:pPr>
        <w:pStyle w:val="TextBody"/>
        <w:bidi w:val="0"/>
        <w:spacing w:before="0" w:after="240"/>
        <w:ind w:left="0" w:right="0" w:hanging="0"/>
        <w:jc w:val="both"/>
        <w:rPr>
          <w:rFonts w:ascii="Times New Roman;Times;serif" w:hAnsi="Times New Roman;Times;serif"/>
          <w:sz w:val="21"/>
        </w:rPr>
      </w:pPr>
      <w:r>
        <w:rPr>
          <w:rFonts w:ascii="Times New Roman;Times;serif" w:hAnsi="Times New Roman;Times;serif"/>
          <w:sz w:val="21"/>
        </w:rPr>
        <w:t>Proposal 3 – Approval of the First Amendment to the Elutia Inc. Amended and Restated 2020 Incentive Award Plan:</w:t>
      </w:r>
    </w:p>
    <w:tbl>
      <w:tblPr>
        <w:tblW w:w="4594" w:type="dxa"/>
        <w:jc w:val="left"/>
        <w:tblInd w:w="0" w:type="dxa"/>
        <w:tblLayout w:type="fixed"/>
        <w:tblCellMar>
          <w:top w:w="0" w:type="dxa"/>
          <w:left w:w="0" w:type="dxa"/>
          <w:bottom w:w="0" w:type="dxa"/>
          <w:right w:w="0" w:type="dxa"/>
        </w:tblCellMar>
      </w:tblPr>
      <w:tblGrid>
        <w:gridCol w:w="1141"/>
        <w:gridCol w:w="1051"/>
        <w:gridCol w:w="1306"/>
        <w:gridCol w:w="1096"/>
      </w:tblGrid>
      <w:tr>
        <w:trPr/>
        <w:tc>
          <w:tcPr>
            <w:tcW w:w="1141" w:type="dxa"/>
            <w:tcBorders/>
            <w:vAlign w:val="center"/>
          </w:tcPr>
          <w:p>
            <w:pPr>
              <w:pStyle w:val="TableContents"/>
              <w:bidi w:val="0"/>
              <w:spacing w:lineRule="atLeast" w:line="240" w:before="0" w:after="0"/>
              <w:ind w:left="0" w:right="0" w:hanging="0"/>
              <w:jc w:val="center"/>
              <w:rPr/>
            </w:pPr>
            <w:r>
              <w:rPr/>
              <w:t>​</w:t>
            </w:r>
          </w:p>
          <w:p>
            <w:pPr>
              <w:pStyle w:val="TableContents"/>
              <w:bidi w:val="0"/>
              <w:spacing w:before="0" w:after="0"/>
              <w:ind w:left="0" w:right="0" w:hanging="0"/>
              <w:jc w:val="left"/>
              <w:rPr/>
            </w:pPr>
            <w:r>
              <w:rPr/>
              <w:t>​</w:t>
            </w:r>
          </w:p>
        </w:tc>
        <w:tc>
          <w:tcPr>
            <w:tcW w:w="1051" w:type="dxa"/>
            <w:tcBorders/>
            <w:vAlign w:val="center"/>
          </w:tcPr>
          <w:p>
            <w:pPr>
              <w:pStyle w:val="TableContents"/>
              <w:bidi w:val="0"/>
              <w:spacing w:lineRule="atLeast" w:line="240" w:before="0" w:after="0"/>
              <w:ind w:left="0" w:right="0" w:hanging="0"/>
              <w:jc w:val="center"/>
              <w:rPr/>
            </w:pPr>
            <w:r>
              <w:rPr/>
              <w:t>​</w:t>
            </w:r>
          </w:p>
          <w:p>
            <w:pPr>
              <w:pStyle w:val="TableContents"/>
              <w:bidi w:val="0"/>
              <w:spacing w:before="0" w:after="0"/>
              <w:ind w:left="0" w:right="0" w:hanging="0"/>
              <w:jc w:val="left"/>
              <w:rPr/>
            </w:pPr>
            <w:r>
              <w:rPr/>
              <w:t>​</w:t>
            </w:r>
          </w:p>
        </w:tc>
        <w:tc>
          <w:tcPr>
            <w:tcW w:w="1306" w:type="dxa"/>
            <w:tcBorders/>
            <w:vAlign w:val="center"/>
          </w:tcPr>
          <w:p>
            <w:pPr>
              <w:pStyle w:val="TableContents"/>
              <w:bidi w:val="0"/>
              <w:spacing w:lineRule="atLeast" w:line="240" w:before="0" w:after="0"/>
              <w:ind w:left="0" w:right="0" w:hanging="0"/>
              <w:jc w:val="center"/>
              <w:rPr/>
            </w:pPr>
            <w:r>
              <w:rPr/>
              <w:t>​</w:t>
            </w:r>
          </w:p>
          <w:p>
            <w:pPr>
              <w:pStyle w:val="TableContents"/>
              <w:bidi w:val="0"/>
              <w:spacing w:before="0" w:after="0"/>
              <w:ind w:left="0" w:right="0" w:hanging="0"/>
              <w:jc w:val="left"/>
              <w:rPr/>
            </w:pPr>
            <w:r>
              <w:rPr/>
              <w:t>​</w:t>
            </w:r>
          </w:p>
        </w:tc>
        <w:tc>
          <w:tcPr>
            <w:tcW w:w="1096" w:type="dxa"/>
            <w:tcBorders/>
            <w:vAlign w:val="center"/>
          </w:tcPr>
          <w:p>
            <w:pPr>
              <w:pStyle w:val="TableContents"/>
              <w:bidi w:val="0"/>
              <w:spacing w:lineRule="atLeast" w:line="240" w:before="0" w:after="0"/>
              <w:ind w:left="0" w:right="0" w:hanging="0"/>
              <w:jc w:val="center"/>
              <w:rPr/>
            </w:pPr>
            <w:r>
              <w:rPr/>
              <w:t>​</w:t>
            </w:r>
          </w:p>
          <w:p>
            <w:pPr>
              <w:pStyle w:val="TableContents"/>
              <w:bidi w:val="0"/>
              <w:spacing w:before="0" w:after="0"/>
              <w:ind w:left="0" w:right="0" w:hanging="0"/>
              <w:jc w:val="left"/>
              <w:rPr/>
            </w:pPr>
            <w:r>
              <w:rPr/>
              <w:t>​</w:t>
            </w:r>
          </w:p>
        </w:tc>
      </w:tr>
      <w:tr>
        <w:trPr/>
        <w:tc>
          <w:tcPr>
            <w:tcW w:w="114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tLeast" w:line="240" w:before="0" w:after="0"/>
              <w:ind w:left="0" w:right="0" w:hanging="0"/>
              <w:jc w:val="center"/>
              <w:rPr>
                <w:rFonts w:ascii="Times New Roman;Times;serif" w:hAnsi="Times New Roman;Times;serif"/>
                <w:b/>
                <w:sz w:val="21"/>
              </w:rPr>
            </w:pPr>
            <w:r>
              <w:rPr>
                <w:rFonts w:ascii="Times New Roman;Times;serif" w:hAnsi="Times New Roman;Times;serif"/>
                <w:b/>
                <w:sz w:val="21"/>
              </w:rPr>
              <w:t>Votes</w:t>
            </w:r>
          </w:p>
          <w:p>
            <w:pPr>
              <w:pStyle w:val="TableContents"/>
              <w:bidi w:val="0"/>
              <w:spacing w:lineRule="atLeast" w:line="240" w:before="0" w:after="0"/>
              <w:ind w:left="0" w:right="0" w:hanging="0"/>
              <w:jc w:val="center"/>
              <w:rPr>
                <w:rFonts w:ascii="Times New Roman;Times;serif" w:hAnsi="Times New Roman;Times;serif"/>
                <w:b/>
                <w:sz w:val="21"/>
              </w:rPr>
            </w:pPr>
            <w:r>
              <w:rPr>
                <w:rFonts w:ascii="Times New Roman;Times;serif" w:hAnsi="Times New Roman;Times;serif"/>
                <w:b/>
                <w:sz w:val="21"/>
              </w:rPr>
              <w:t>FOR</w:t>
            </w:r>
          </w:p>
        </w:tc>
        <w:tc>
          <w:tcPr>
            <w:tcW w:w="105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tLeast" w:line="240" w:before="0" w:after="0"/>
              <w:ind w:left="0" w:right="0" w:hanging="0"/>
              <w:jc w:val="center"/>
              <w:rPr>
                <w:rFonts w:ascii="Times New Roman;Times;serif" w:hAnsi="Times New Roman;Times;serif"/>
                <w:b/>
                <w:sz w:val="21"/>
              </w:rPr>
            </w:pPr>
            <w:r>
              <w:rPr>
                <w:rFonts w:ascii="Times New Roman;Times;serif" w:hAnsi="Times New Roman;Times;serif"/>
                <w:b/>
                <w:sz w:val="21"/>
              </w:rPr>
              <w:t>Votes</w:t>
            </w:r>
          </w:p>
          <w:p>
            <w:pPr>
              <w:pStyle w:val="TableContents"/>
              <w:bidi w:val="0"/>
              <w:spacing w:lineRule="atLeast" w:line="240" w:before="0" w:after="0"/>
              <w:ind w:left="0" w:right="0" w:hanging="0"/>
              <w:jc w:val="center"/>
              <w:rPr>
                <w:rFonts w:ascii="Times New Roman;Times;serif" w:hAnsi="Times New Roman;Times;serif"/>
                <w:b/>
                <w:sz w:val="21"/>
              </w:rPr>
            </w:pPr>
            <w:r>
              <w:rPr>
                <w:rFonts w:ascii="Times New Roman;Times;serif" w:hAnsi="Times New Roman;Times;serif"/>
                <w:b/>
                <w:sz w:val="21"/>
              </w:rPr>
              <w:t>AGAINST</w:t>
            </w:r>
          </w:p>
        </w:tc>
        <w:tc>
          <w:tcPr>
            <w:tcW w:w="13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tLeast" w:line="240" w:before="0" w:after="0"/>
              <w:ind w:left="0" w:right="0" w:hanging="0"/>
              <w:jc w:val="center"/>
              <w:rPr>
                <w:rFonts w:ascii="Times New Roman;Times;serif" w:hAnsi="Times New Roman;Times;serif"/>
                <w:b/>
                <w:sz w:val="21"/>
              </w:rPr>
            </w:pPr>
            <w:r>
              <w:rPr>
                <w:rFonts w:ascii="Times New Roman;Times;serif" w:hAnsi="Times New Roman;Times;serif"/>
                <w:b/>
                <w:sz w:val="21"/>
              </w:rPr>
              <w:t>Votes</w:t>
            </w:r>
          </w:p>
          <w:p>
            <w:pPr>
              <w:pStyle w:val="TableContents"/>
              <w:bidi w:val="0"/>
              <w:spacing w:lineRule="atLeast" w:line="240" w:before="0" w:after="0"/>
              <w:ind w:left="0" w:right="0" w:hanging="0"/>
              <w:jc w:val="center"/>
              <w:rPr>
                <w:rFonts w:ascii="Times New Roman;Times;serif" w:hAnsi="Times New Roman;Times;serif"/>
                <w:b/>
                <w:sz w:val="21"/>
              </w:rPr>
            </w:pPr>
            <w:r>
              <w:rPr>
                <w:rFonts w:ascii="Times New Roman;Times;serif" w:hAnsi="Times New Roman;Times;serif"/>
                <w:b/>
                <w:sz w:val="21"/>
              </w:rPr>
              <w:t>ABSTAINED</w:t>
            </w:r>
          </w:p>
        </w:tc>
        <w:tc>
          <w:tcPr>
            <w:tcW w:w="10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tLeast" w:line="240" w:before="0" w:after="0"/>
              <w:ind w:left="0" w:right="0" w:hanging="0"/>
              <w:jc w:val="center"/>
              <w:rPr>
                <w:rFonts w:ascii="Times New Roman;Times;serif" w:hAnsi="Times New Roman;Times;serif"/>
                <w:b/>
                <w:sz w:val="21"/>
              </w:rPr>
            </w:pPr>
            <w:r>
              <w:rPr>
                <w:rFonts w:ascii="Times New Roman;Times;serif" w:hAnsi="Times New Roman;Times;serif"/>
                <w:b/>
                <w:sz w:val="21"/>
              </w:rPr>
              <w:t>Broker</w:t>
            </w:r>
          </w:p>
          <w:p>
            <w:pPr>
              <w:pStyle w:val="TableContents"/>
              <w:bidi w:val="0"/>
              <w:spacing w:lineRule="atLeast" w:line="240" w:before="0" w:after="0"/>
              <w:ind w:left="0" w:right="0" w:hanging="0"/>
              <w:jc w:val="center"/>
              <w:rPr>
                <w:rFonts w:ascii="Times New Roman;Times;serif" w:hAnsi="Times New Roman;Times;serif"/>
                <w:b/>
                <w:sz w:val="21"/>
              </w:rPr>
            </w:pPr>
            <w:r>
              <w:rPr>
                <w:rFonts w:ascii="Times New Roman;Times;serif" w:hAnsi="Times New Roman;Times;serif"/>
                <w:b/>
                <w:sz w:val="21"/>
              </w:rPr>
              <w:t>Non-Votes</w:t>
            </w:r>
          </w:p>
        </w:tc>
      </w:tr>
      <w:tr>
        <w:trPr/>
        <w:tc>
          <w:tcPr>
            <w:tcW w:w="114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tLeast" w:line="240" w:before="0" w:after="0"/>
              <w:ind w:left="0" w:right="0" w:hanging="0"/>
              <w:jc w:val="center"/>
              <w:rPr>
                <w:rFonts w:ascii="Times New Roman;Times;serif" w:hAnsi="Times New Roman;Times;serif"/>
                <w:sz w:val="21"/>
              </w:rPr>
            </w:pPr>
            <w:r>
              <w:rPr>
                <w:rFonts w:ascii="Times New Roman;Times;serif" w:hAnsi="Times New Roman;Times;serif"/>
                <w:sz w:val="21"/>
              </w:rPr>
              <w:t xml:space="preserve">22,421,769 </w:t>
            </w:r>
          </w:p>
        </w:tc>
        <w:tc>
          <w:tcPr>
            <w:tcW w:w="105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tLeast" w:line="240" w:before="0" w:after="0"/>
              <w:ind w:left="0" w:right="0" w:hanging="0"/>
              <w:jc w:val="center"/>
              <w:rPr>
                <w:rFonts w:ascii="Times New Roman;Times;serif" w:hAnsi="Times New Roman;Times;serif"/>
                <w:sz w:val="21"/>
              </w:rPr>
            </w:pPr>
            <w:r>
              <w:rPr>
                <w:rFonts w:ascii="Times New Roman;Times;serif" w:hAnsi="Times New Roman;Times;serif"/>
                <w:sz w:val="21"/>
              </w:rPr>
              <w:t xml:space="preserve">3,540,699 </w:t>
            </w:r>
          </w:p>
        </w:tc>
        <w:tc>
          <w:tcPr>
            <w:tcW w:w="13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tLeast" w:line="240" w:before="0" w:after="0"/>
              <w:ind w:left="0" w:right="0" w:hanging="0"/>
              <w:jc w:val="center"/>
              <w:rPr>
                <w:rFonts w:ascii="Times New Roman;Times;serif" w:hAnsi="Times New Roman;Times;serif"/>
                <w:sz w:val="21"/>
              </w:rPr>
            </w:pPr>
            <w:r>
              <w:rPr>
                <w:rFonts w:ascii="Times New Roman;Times;serif" w:hAnsi="Times New Roman;Times;serif"/>
                <w:sz w:val="21"/>
              </w:rPr>
              <w:t xml:space="preserve">1,130,851 </w:t>
            </w:r>
          </w:p>
        </w:tc>
        <w:tc>
          <w:tcPr>
            <w:tcW w:w="10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tLeast" w:line="240" w:before="0" w:after="0"/>
              <w:ind w:left="0" w:right="0" w:hanging="0"/>
              <w:jc w:val="center"/>
              <w:rPr>
                <w:rFonts w:ascii="Times New Roman;Times;serif" w:hAnsi="Times New Roman;Times;serif"/>
                <w:sz w:val="21"/>
              </w:rPr>
            </w:pPr>
            <w:r>
              <w:rPr>
                <w:rFonts w:ascii="Times New Roman;Times;serif" w:hAnsi="Times New Roman;Times;serif"/>
                <w:sz w:val="21"/>
              </w:rPr>
              <w:t xml:space="preserve">6,948,226 </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1"/>
        </w:rPr>
      </w:pPr>
      <w:r>
        <w:rPr>
          <w:rFonts w:ascii="Times New Roman;Times;serif" w:hAnsi="Times New Roman;Times;serif"/>
          <w:sz w:val="21"/>
        </w:rPr>
        <w:t>Accordingly, the Company’s stockholders approved Proposal 3 set forth above.</w:t>
      </w:r>
    </w:p>
    <w:p>
      <w:pPr>
        <w:pStyle w:val="TextBody"/>
        <w:bidi w:val="0"/>
        <w:spacing w:before="0" w:after="240"/>
        <w:ind w:left="0" w:right="0" w:hanging="0"/>
        <w:jc w:val="both"/>
        <w:rPr>
          <w:rFonts w:ascii="Times New Roman;Times;serif" w:hAnsi="Times New Roman;Times;serif"/>
          <w:sz w:val="21"/>
        </w:rPr>
      </w:pPr>
      <w:r>
        <w:rPr>
          <w:rFonts w:ascii="Times New Roman;Times;serif" w:hAnsi="Times New Roman;Times;serif"/>
          <w:sz w:val="21"/>
        </w:rPr>
        <w:t>Proposal 4 – Approval, on an advisory, non-binding basis of the compensation of the Company’s named executive officers:</w:t>
      </w:r>
    </w:p>
    <w:tbl>
      <w:tblPr>
        <w:tblW w:w="4594" w:type="dxa"/>
        <w:jc w:val="left"/>
        <w:tblInd w:w="0" w:type="dxa"/>
        <w:tblLayout w:type="fixed"/>
        <w:tblCellMar>
          <w:top w:w="0" w:type="dxa"/>
          <w:left w:w="0" w:type="dxa"/>
          <w:bottom w:w="0" w:type="dxa"/>
          <w:right w:w="0" w:type="dxa"/>
        </w:tblCellMar>
      </w:tblPr>
      <w:tblGrid>
        <w:gridCol w:w="1141"/>
        <w:gridCol w:w="1051"/>
        <w:gridCol w:w="1306"/>
        <w:gridCol w:w="1096"/>
      </w:tblGrid>
      <w:tr>
        <w:trPr/>
        <w:tc>
          <w:tcPr>
            <w:tcW w:w="1141" w:type="dxa"/>
            <w:tcBorders/>
            <w:vAlign w:val="center"/>
          </w:tcPr>
          <w:p>
            <w:pPr>
              <w:pStyle w:val="TableContents"/>
              <w:bidi w:val="0"/>
              <w:spacing w:lineRule="atLeast" w:line="240" w:before="0" w:after="0"/>
              <w:ind w:left="0" w:right="0" w:hanging="0"/>
              <w:jc w:val="center"/>
              <w:rPr/>
            </w:pPr>
            <w:r>
              <w:rPr/>
              <w:t>​</w:t>
            </w:r>
          </w:p>
          <w:p>
            <w:pPr>
              <w:pStyle w:val="TableContents"/>
              <w:bidi w:val="0"/>
              <w:spacing w:before="0" w:after="0"/>
              <w:ind w:left="0" w:right="0" w:hanging="0"/>
              <w:jc w:val="left"/>
              <w:rPr/>
            </w:pPr>
            <w:r>
              <w:rPr/>
              <w:t>​</w:t>
            </w:r>
          </w:p>
        </w:tc>
        <w:tc>
          <w:tcPr>
            <w:tcW w:w="1051" w:type="dxa"/>
            <w:tcBorders/>
            <w:vAlign w:val="center"/>
          </w:tcPr>
          <w:p>
            <w:pPr>
              <w:pStyle w:val="TableContents"/>
              <w:bidi w:val="0"/>
              <w:spacing w:lineRule="atLeast" w:line="240" w:before="0" w:after="0"/>
              <w:ind w:left="0" w:right="0" w:hanging="0"/>
              <w:jc w:val="center"/>
              <w:rPr/>
            </w:pPr>
            <w:r>
              <w:rPr/>
              <w:t>​</w:t>
            </w:r>
          </w:p>
          <w:p>
            <w:pPr>
              <w:pStyle w:val="TableContents"/>
              <w:bidi w:val="0"/>
              <w:spacing w:before="0" w:after="0"/>
              <w:ind w:left="0" w:right="0" w:hanging="0"/>
              <w:jc w:val="left"/>
              <w:rPr/>
            </w:pPr>
            <w:r>
              <w:rPr/>
              <w:t>​</w:t>
            </w:r>
          </w:p>
        </w:tc>
        <w:tc>
          <w:tcPr>
            <w:tcW w:w="1306" w:type="dxa"/>
            <w:tcBorders/>
            <w:vAlign w:val="center"/>
          </w:tcPr>
          <w:p>
            <w:pPr>
              <w:pStyle w:val="TableContents"/>
              <w:bidi w:val="0"/>
              <w:spacing w:lineRule="atLeast" w:line="240" w:before="0" w:after="0"/>
              <w:ind w:left="0" w:right="0" w:hanging="0"/>
              <w:jc w:val="center"/>
              <w:rPr/>
            </w:pPr>
            <w:r>
              <w:rPr/>
              <w:t>​</w:t>
            </w:r>
          </w:p>
          <w:p>
            <w:pPr>
              <w:pStyle w:val="TableContents"/>
              <w:bidi w:val="0"/>
              <w:spacing w:before="0" w:after="0"/>
              <w:ind w:left="0" w:right="0" w:hanging="0"/>
              <w:jc w:val="left"/>
              <w:rPr/>
            </w:pPr>
            <w:r>
              <w:rPr/>
              <w:t>​</w:t>
            </w:r>
          </w:p>
        </w:tc>
        <w:tc>
          <w:tcPr>
            <w:tcW w:w="1096" w:type="dxa"/>
            <w:tcBorders/>
            <w:vAlign w:val="center"/>
          </w:tcPr>
          <w:p>
            <w:pPr>
              <w:pStyle w:val="TableContents"/>
              <w:bidi w:val="0"/>
              <w:spacing w:lineRule="atLeast" w:line="240" w:before="0" w:after="0"/>
              <w:ind w:left="0" w:right="0" w:hanging="0"/>
              <w:jc w:val="center"/>
              <w:rPr/>
            </w:pPr>
            <w:r>
              <w:rPr/>
              <w:t>​</w:t>
            </w:r>
          </w:p>
          <w:p>
            <w:pPr>
              <w:pStyle w:val="TableContents"/>
              <w:bidi w:val="0"/>
              <w:spacing w:before="0" w:after="0"/>
              <w:ind w:left="0" w:right="0" w:hanging="0"/>
              <w:jc w:val="left"/>
              <w:rPr/>
            </w:pPr>
            <w:r>
              <w:rPr/>
              <w:t>​</w:t>
            </w:r>
          </w:p>
        </w:tc>
      </w:tr>
      <w:tr>
        <w:trPr/>
        <w:tc>
          <w:tcPr>
            <w:tcW w:w="114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tLeast" w:line="240" w:before="0" w:after="0"/>
              <w:ind w:left="0" w:right="0" w:hanging="0"/>
              <w:jc w:val="center"/>
              <w:rPr>
                <w:rFonts w:ascii="Times New Roman;Times;serif" w:hAnsi="Times New Roman;Times;serif"/>
                <w:b/>
                <w:sz w:val="21"/>
              </w:rPr>
            </w:pPr>
            <w:r>
              <w:rPr>
                <w:rFonts w:ascii="Times New Roman;Times;serif" w:hAnsi="Times New Roman;Times;serif"/>
                <w:b/>
                <w:sz w:val="21"/>
              </w:rPr>
              <w:t>Votes</w:t>
            </w:r>
          </w:p>
          <w:p>
            <w:pPr>
              <w:pStyle w:val="TableContents"/>
              <w:bidi w:val="0"/>
              <w:spacing w:lineRule="atLeast" w:line="240" w:before="0" w:after="0"/>
              <w:ind w:left="0" w:right="0" w:hanging="0"/>
              <w:jc w:val="center"/>
              <w:rPr>
                <w:rFonts w:ascii="Times New Roman;Times;serif" w:hAnsi="Times New Roman;Times;serif"/>
                <w:b/>
                <w:sz w:val="21"/>
              </w:rPr>
            </w:pPr>
            <w:r>
              <w:rPr>
                <w:rFonts w:ascii="Times New Roman;Times;serif" w:hAnsi="Times New Roman;Times;serif"/>
                <w:b/>
                <w:sz w:val="21"/>
              </w:rPr>
              <w:t>FOR</w:t>
            </w:r>
          </w:p>
        </w:tc>
        <w:tc>
          <w:tcPr>
            <w:tcW w:w="105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tLeast" w:line="240" w:before="0" w:after="0"/>
              <w:ind w:left="0" w:right="0" w:hanging="0"/>
              <w:jc w:val="center"/>
              <w:rPr>
                <w:rFonts w:ascii="Times New Roman;Times;serif" w:hAnsi="Times New Roman;Times;serif"/>
                <w:b/>
                <w:sz w:val="21"/>
              </w:rPr>
            </w:pPr>
            <w:r>
              <w:rPr>
                <w:rFonts w:ascii="Times New Roman;Times;serif" w:hAnsi="Times New Roman;Times;serif"/>
                <w:b/>
                <w:sz w:val="21"/>
              </w:rPr>
              <w:t>Votes</w:t>
            </w:r>
          </w:p>
          <w:p>
            <w:pPr>
              <w:pStyle w:val="TableContents"/>
              <w:bidi w:val="0"/>
              <w:spacing w:lineRule="atLeast" w:line="240" w:before="0" w:after="0"/>
              <w:ind w:left="0" w:right="0" w:hanging="0"/>
              <w:jc w:val="center"/>
              <w:rPr>
                <w:rFonts w:ascii="Times New Roman;Times;serif" w:hAnsi="Times New Roman;Times;serif"/>
                <w:b/>
                <w:sz w:val="21"/>
              </w:rPr>
            </w:pPr>
            <w:r>
              <w:rPr>
                <w:rFonts w:ascii="Times New Roman;Times;serif" w:hAnsi="Times New Roman;Times;serif"/>
                <w:b/>
                <w:sz w:val="21"/>
              </w:rPr>
              <w:t>AGAINST</w:t>
            </w:r>
          </w:p>
        </w:tc>
        <w:tc>
          <w:tcPr>
            <w:tcW w:w="13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tLeast" w:line="240" w:before="0" w:after="0"/>
              <w:ind w:left="0" w:right="0" w:hanging="0"/>
              <w:jc w:val="center"/>
              <w:rPr>
                <w:rFonts w:ascii="Times New Roman;Times;serif" w:hAnsi="Times New Roman;Times;serif"/>
                <w:b/>
                <w:sz w:val="21"/>
              </w:rPr>
            </w:pPr>
            <w:r>
              <w:rPr>
                <w:rFonts w:ascii="Times New Roman;Times;serif" w:hAnsi="Times New Roman;Times;serif"/>
                <w:b/>
                <w:sz w:val="21"/>
              </w:rPr>
              <w:t>Votes</w:t>
            </w:r>
          </w:p>
          <w:p>
            <w:pPr>
              <w:pStyle w:val="TableContents"/>
              <w:bidi w:val="0"/>
              <w:spacing w:lineRule="atLeast" w:line="240" w:before="0" w:after="0"/>
              <w:ind w:left="0" w:right="0" w:hanging="0"/>
              <w:jc w:val="center"/>
              <w:rPr>
                <w:rFonts w:ascii="Times New Roman;Times;serif" w:hAnsi="Times New Roman;Times;serif"/>
                <w:b/>
                <w:sz w:val="21"/>
              </w:rPr>
            </w:pPr>
            <w:r>
              <w:rPr>
                <w:rFonts w:ascii="Times New Roman;Times;serif" w:hAnsi="Times New Roman;Times;serif"/>
                <w:b/>
                <w:sz w:val="21"/>
              </w:rPr>
              <w:t>ABSTAINED</w:t>
            </w:r>
          </w:p>
        </w:tc>
        <w:tc>
          <w:tcPr>
            <w:tcW w:w="10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tLeast" w:line="240" w:before="0" w:after="0"/>
              <w:ind w:left="0" w:right="0" w:hanging="0"/>
              <w:jc w:val="center"/>
              <w:rPr>
                <w:rFonts w:ascii="Times New Roman;Times;serif" w:hAnsi="Times New Roman;Times;serif"/>
                <w:b/>
                <w:sz w:val="21"/>
              </w:rPr>
            </w:pPr>
            <w:r>
              <w:rPr>
                <w:rFonts w:ascii="Times New Roman;Times;serif" w:hAnsi="Times New Roman;Times;serif"/>
                <w:b/>
                <w:sz w:val="21"/>
              </w:rPr>
              <w:t>Broker</w:t>
            </w:r>
          </w:p>
          <w:p>
            <w:pPr>
              <w:pStyle w:val="TableContents"/>
              <w:bidi w:val="0"/>
              <w:spacing w:lineRule="atLeast" w:line="240" w:before="0" w:after="0"/>
              <w:ind w:left="0" w:right="0" w:hanging="0"/>
              <w:jc w:val="center"/>
              <w:rPr>
                <w:rFonts w:ascii="Times New Roman;Times;serif" w:hAnsi="Times New Roman;Times;serif"/>
                <w:b/>
                <w:sz w:val="21"/>
              </w:rPr>
            </w:pPr>
            <w:r>
              <w:rPr>
                <w:rFonts w:ascii="Times New Roman;Times;serif" w:hAnsi="Times New Roman;Times;serif"/>
                <w:b/>
                <w:sz w:val="21"/>
              </w:rPr>
              <w:t>Non-Votes</w:t>
            </w:r>
          </w:p>
        </w:tc>
      </w:tr>
      <w:tr>
        <w:trPr/>
        <w:tc>
          <w:tcPr>
            <w:tcW w:w="114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tLeast" w:line="240" w:before="0" w:after="0"/>
              <w:ind w:left="0" w:right="0" w:hanging="0"/>
              <w:jc w:val="center"/>
              <w:rPr>
                <w:rFonts w:ascii="Times New Roman;Times;serif" w:hAnsi="Times New Roman;Times;serif"/>
                <w:sz w:val="21"/>
              </w:rPr>
            </w:pPr>
            <w:r>
              <w:rPr>
                <w:rFonts w:ascii="Times New Roman;Times;serif" w:hAnsi="Times New Roman;Times;serif"/>
                <w:sz w:val="21"/>
              </w:rPr>
              <w:t xml:space="preserve">25,617,864 </w:t>
            </w:r>
          </w:p>
        </w:tc>
        <w:tc>
          <w:tcPr>
            <w:tcW w:w="105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tLeast" w:line="240" w:before="0" w:after="0"/>
              <w:ind w:left="0" w:right="0" w:hanging="0"/>
              <w:jc w:val="center"/>
              <w:rPr>
                <w:rFonts w:ascii="Times New Roman;Times;serif" w:hAnsi="Times New Roman;Times;serif"/>
                <w:sz w:val="21"/>
              </w:rPr>
            </w:pPr>
            <w:r>
              <w:rPr>
                <w:rFonts w:ascii="Times New Roman;Times;serif" w:hAnsi="Times New Roman;Times;serif"/>
                <w:sz w:val="21"/>
              </w:rPr>
              <w:t xml:space="preserve">336,249 </w:t>
            </w:r>
          </w:p>
        </w:tc>
        <w:tc>
          <w:tcPr>
            <w:tcW w:w="13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tLeast" w:line="240" w:before="0" w:after="0"/>
              <w:ind w:left="0" w:right="0" w:hanging="0"/>
              <w:jc w:val="center"/>
              <w:rPr>
                <w:rFonts w:ascii="Times New Roman;Times;serif" w:hAnsi="Times New Roman;Times;serif"/>
                <w:sz w:val="21"/>
              </w:rPr>
            </w:pPr>
            <w:r>
              <w:rPr>
                <w:rFonts w:ascii="Times New Roman;Times;serif" w:hAnsi="Times New Roman;Times;serif"/>
                <w:sz w:val="21"/>
              </w:rPr>
              <w:t xml:space="preserve">1,139,206 </w:t>
            </w:r>
          </w:p>
        </w:tc>
        <w:tc>
          <w:tcPr>
            <w:tcW w:w="10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tLeast" w:line="240" w:before="0" w:after="0"/>
              <w:ind w:left="0" w:right="0" w:hanging="0"/>
              <w:jc w:val="center"/>
              <w:rPr>
                <w:rFonts w:ascii="Times New Roman;Times;serif" w:hAnsi="Times New Roman;Times;serif"/>
                <w:sz w:val="21"/>
              </w:rPr>
            </w:pPr>
            <w:r>
              <w:rPr>
                <w:rFonts w:ascii="Times New Roman;Times;serif" w:hAnsi="Times New Roman;Times;serif"/>
                <w:sz w:val="21"/>
              </w:rPr>
              <w:t xml:space="preserve">6,948,226 </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1"/>
        </w:rPr>
      </w:pPr>
      <w:r>
        <w:rPr>
          <w:rFonts w:ascii="Times New Roman;Times;serif" w:hAnsi="Times New Roman;Times;serif"/>
          <w:sz w:val="21"/>
        </w:rPr>
        <w:t xml:space="preserve">Accordingly, the Company’s stockholders approved Proposal 4 set forth above. </w:t>
      </w:r>
    </w:p>
    <w:p>
      <w:pPr>
        <w:pStyle w:val="TextBody"/>
        <w:bidi w:val="0"/>
        <w:spacing w:before="0" w:after="240"/>
        <w:ind w:left="0" w:right="0" w:hanging="0"/>
        <w:jc w:val="both"/>
        <w:rPr>
          <w:rFonts w:ascii="Times New Roman;Times;serif" w:hAnsi="Times New Roman;Times;serif"/>
          <w:sz w:val="21"/>
        </w:rPr>
      </w:pPr>
      <w:r>
        <w:rPr>
          <w:rFonts w:ascii="Times New Roman;Times;serif" w:hAnsi="Times New Roman;Times;serif"/>
          <w:sz w:val="21"/>
        </w:rPr>
        <w:t>Proposal 5 – Approval, on an advisory, non-binding basis, of the frequency of future advisory say-on-pay votes:</w:t>
      </w:r>
    </w:p>
    <w:tbl>
      <w:tblPr>
        <w:tblW w:w="5990" w:type="dxa"/>
        <w:jc w:val="left"/>
        <w:tblInd w:w="0" w:type="dxa"/>
        <w:tblLayout w:type="fixed"/>
        <w:tblCellMar>
          <w:top w:w="0" w:type="dxa"/>
          <w:left w:w="0" w:type="dxa"/>
          <w:bottom w:w="0" w:type="dxa"/>
          <w:right w:w="0" w:type="dxa"/>
        </w:tblCellMar>
      </w:tblPr>
      <w:tblGrid>
        <w:gridCol w:w="1306"/>
        <w:gridCol w:w="1366"/>
        <w:gridCol w:w="1366"/>
        <w:gridCol w:w="856"/>
        <w:gridCol w:w="1096"/>
      </w:tblGrid>
      <w:tr>
        <w:trPr/>
        <w:tc>
          <w:tcPr>
            <w:tcW w:w="1306" w:type="dxa"/>
            <w:tcBorders/>
            <w:vAlign w:val="center"/>
          </w:tcPr>
          <w:p>
            <w:pPr>
              <w:pStyle w:val="TableContents"/>
              <w:bidi w:val="0"/>
              <w:spacing w:before="0" w:after="283"/>
              <w:ind w:left="0" w:right="0" w:hanging="0"/>
              <w:jc w:val="left"/>
              <w:rPr>
                <w:sz w:val="4"/>
                <w:szCs w:val="4"/>
              </w:rPr>
            </w:pPr>
            <w:r>
              <w:rPr>
                <w:sz w:val="4"/>
                <w:szCs w:val="4"/>
              </w:rPr>
            </w:r>
          </w:p>
        </w:tc>
        <w:tc>
          <w:tcPr>
            <w:tcW w:w="1366" w:type="dxa"/>
            <w:tcBorders/>
            <w:vAlign w:val="center"/>
          </w:tcPr>
          <w:p>
            <w:pPr>
              <w:pStyle w:val="TableContents"/>
              <w:bidi w:val="0"/>
              <w:spacing w:before="0" w:after="283"/>
              <w:ind w:left="0" w:right="0" w:hanging="0"/>
              <w:jc w:val="left"/>
              <w:rPr>
                <w:sz w:val="4"/>
                <w:szCs w:val="4"/>
              </w:rPr>
            </w:pPr>
            <w:r>
              <w:rPr>
                <w:sz w:val="4"/>
                <w:szCs w:val="4"/>
              </w:rPr>
            </w:r>
          </w:p>
        </w:tc>
        <w:tc>
          <w:tcPr>
            <w:tcW w:w="1366" w:type="dxa"/>
            <w:tcBorders/>
            <w:vAlign w:val="center"/>
          </w:tcPr>
          <w:p>
            <w:pPr>
              <w:pStyle w:val="TableContents"/>
              <w:bidi w:val="0"/>
              <w:spacing w:before="0" w:after="283"/>
              <w:ind w:left="0" w:right="0" w:hanging="0"/>
              <w:jc w:val="left"/>
              <w:rPr>
                <w:sz w:val="4"/>
                <w:szCs w:val="4"/>
              </w:rPr>
            </w:pPr>
            <w:r>
              <w:rPr>
                <w:sz w:val="4"/>
                <w:szCs w:val="4"/>
              </w:rPr>
            </w:r>
          </w:p>
        </w:tc>
        <w:tc>
          <w:tcPr>
            <w:tcW w:w="856" w:type="dxa"/>
            <w:tcBorders/>
            <w:vAlign w:val="center"/>
          </w:tcPr>
          <w:p>
            <w:pPr>
              <w:pStyle w:val="TableContents"/>
              <w:bidi w:val="0"/>
              <w:spacing w:before="0" w:after="283"/>
              <w:ind w:left="0" w:right="0" w:hanging="0"/>
              <w:jc w:val="left"/>
              <w:rPr>
                <w:sz w:val="4"/>
                <w:szCs w:val="4"/>
              </w:rPr>
            </w:pPr>
            <w:r>
              <w:rPr>
                <w:sz w:val="4"/>
                <w:szCs w:val="4"/>
              </w:rPr>
            </w:r>
          </w:p>
        </w:tc>
        <w:tc>
          <w:tcPr>
            <w:tcW w:w="1096" w:type="dxa"/>
            <w:tcBorders/>
            <w:vAlign w:val="center"/>
          </w:tcPr>
          <w:p>
            <w:pPr>
              <w:pStyle w:val="TableContents"/>
              <w:bidi w:val="0"/>
              <w:spacing w:lineRule="atLeast" w:line="240" w:before="0" w:after="0"/>
              <w:ind w:left="0" w:right="0" w:hanging="0"/>
              <w:jc w:val="center"/>
              <w:rPr/>
            </w:pPr>
            <w:r>
              <w:rPr/>
              <w:t>​</w:t>
            </w:r>
          </w:p>
          <w:p>
            <w:pPr>
              <w:pStyle w:val="TableContents"/>
              <w:bidi w:val="0"/>
              <w:spacing w:before="0" w:after="0"/>
              <w:ind w:left="0" w:right="0" w:hanging="0"/>
              <w:jc w:val="left"/>
              <w:rPr/>
            </w:pPr>
            <w:r>
              <w:rPr/>
              <w:t>​</w:t>
            </w:r>
          </w:p>
        </w:tc>
      </w:tr>
      <w:tr>
        <w:trPr/>
        <w:tc>
          <w:tcPr>
            <w:tcW w:w="13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tLeast" w:line="240" w:before="0" w:after="0"/>
              <w:ind w:left="0" w:right="0" w:hanging="0"/>
              <w:jc w:val="center"/>
              <w:rPr>
                <w:rFonts w:ascii="Times New Roman;Times;serif" w:hAnsi="Times New Roman;Times;serif"/>
                <w:b/>
                <w:sz w:val="21"/>
              </w:rPr>
            </w:pPr>
            <w:r>
              <w:rPr>
                <w:rFonts w:ascii="Times New Roman;Times;serif" w:hAnsi="Times New Roman;Times;serif"/>
                <w:b/>
                <w:sz w:val="21"/>
              </w:rPr>
              <w:t>Every 1 Year</w:t>
            </w:r>
          </w:p>
        </w:tc>
        <w:tc>
          <w:tcPr>
            <w:tcW w:w="136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tLeast" w:line="240" w:before="0" w:after="0"/>
              <w:ind w:left="0" w:right="0" w:hanging="0"/>
              <w:jc w:val="center"/>
              <w:rPr>
                <w:rFonts w:ascii="Times New Roman;Times;serif" w:hAnsi="Times New Roman;Times;serif"/>
                <w:b/>
                <w:sz w:val="21"/>
              </w:rPr>
            </w:pPr>
            <w:r>
              <w:rPr>
                <w:rFonts w:ascii="Times New Roman;Times;serif" w:hAnsi="Times New Roman;Times;serif"/>
                <w:b/>
                <w:sz w:val="21"/>
              </w:rPr>
              <w:t>Every 2 Years</w:t>
            </w:r>
          </w:p>
        </w:tc>
        <w:tc>
          <w:tcPr>
            <w:tcW w:w="136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tLeast" w:line="240" w:before="0" w:after="0"/>
              <w:ind w:left="0" w:right="0" w:hanging="0"/>
              <w:jc w:val="center"/>
              <w:rPr>
                <w:rFonts w:ascii="Times New Roman;Times;serif" w:hAnsi="Times New Roman;Times;serif"/>
                <w:b/>
                <w:sz w:val="21"/>
              </w:rPr>
            </w:pPr>
            <w:r>
              <w:rPr>
                <w:rFonts w:ascii="Times New Roman;Times;serif" w:hAnsi="Times New Roman;Times;serif"/>
                <w:b/>
                <w:sz w:val="21"/>
              </w:rPr>
              <w:t>Every 3 Years</w:t>
            </w:r>
          </w:p>
        </w:tc>
        <w:tc>
          <w:tcPr>
            <w:tcW w:w="8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tLeast" w:line="240" w:before="0" w:after="0"/>
              <w:ind w:left="0" w:right="0" w:hanging="0"/>
              <w:jc w:val="center"/>
              <w:rPr>
                <w:rFonts w:ascii="Times New Roman;Times;serif" w:hAnsi="Times New Roman;Times;serif"/>
                <w:b/>
                <w:sz w:val="21"/>
              </w:rPr>
            </w:pPr>
            <w:r>
              <w:rPr>
                <w:rFonts w:ascii="Times New Roman;Times;serif" w:hAnsi="Times New Roman;Times;serif"/>
                <w:b/>
                <w:sz w:val="21"/>
              </w:rPr>
              <w:t>Abstain</w:t>
            </w:r>
          </w:p>
        </w:tc>
        <w:tc>
          <w:tcPr>
            <w:tcW w:w="10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tLeast" w:line="240" w:before="0" w:after="0"/>
              <w:ind w:left="0" w:right="0" w:hanging="0"/>
              <w:jc w:val="center"/>
              <w:rPr>
                <w:rFonts w:ascii="Times New Roman;Times;serif" w:hAnsi="Times New Roman;Times;serif"/>
                <w:b/>
                <w:sz w:val="21"/>
              </w:rPr>
            </w:pPr>
            <w:r>
              <w:rPr>
                <w:rFonts w:ascii="Times New Roman;Times;serif" w:hAnsi="Times New Roman;Times;serif"/>
                <w:b/>
                <w:sz w:val="21"/>
              </w:rPr>
              <w:t>Broker</w:t>
            </w:r>
          </w:p>
          <w:p>
            <w:pPr>
              <w:pStyle w:val="TableContents"/>
              <w:bidi w:val="0"/>
              <w:spacing w:lineRule="atLeast" w:line="240" w:before="0" w:after="0"/>
              <w:ind w:left="0" w:right="0" w:hanging="0"/>
              <w:jc w:val="center"/>
              <w:rPr>
                <w:rFonts w:ascii="Times New Roman;Times;serif" w:hAnsi="Times New Roman;Times;serif"/>
                <w:b/>
                <w:sz w:val="21"/>
              </w:rPr>
            </w:pPr>
            <w:r>
              <w:rPr>
                <w:rFonts w:ascii="Times New Roman;Times;serif" w:hAnsi="Times New Roman;Times;serif"/>
                <w:b/>
                <w:sz w:val="21"/>
              </w:rPr>
              <w:t>Non-Votes</w:t>
            </w:r>
          </w:p>
        </w:tc>
      </w:tr>
      <w:tr>
        <w:trPr/>
        <w:tc>
          <w:tcPr>
            <w:tcW w:w="13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tLeast" w:line="240" w:before="0" w:after="0"/>
              <w:ind w:left="0" w:right="0" w:hanging="0"/>
              <w:jc w:val="center"/>
              <w:rPr>
                <w:rFonts w:ascii="Times New Roman;Times;serif" w:hAnsi="Times New Roman;Times;serif"/>
                <w:sz w:val="21"/>
              </w:rPr>
            </w:pPr>
            <w:r>
              <w:rPr>
                <w:rFonts w:ascii="Times New Roman;Times;serif" w:hAnsi="Times New Roman;Times;serif"/>
                <w:sz w:val="21"/>
              </w:rPr>
              <w:t xml:space="preserve">20,932,402 </w:t>
            </w:r>
          </w:p>
        </w:tc>
        <w:tc>
          <w:tcPr>
            <w:tcW w:w="136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tLeast" w:line="240" w:before="0" w:after="0"/>
              <w:ind w:left="0" w:right="0" w:hanging="0"/>
              <w:jc w:val="center"/>
              <w:rPr>
                <w:rFonts w:ascii="Times New Roman;Times;serif" w:hAnsi="Times New Roman;Times;serif"/>
                <w:sz w:val="21"/>
              </w:rPr>
            </w:pPr>
            <w:r>
              <w:rPr>
                <w:rFonts w:ascii="Times New Roman;Times;serif" w:hAnsi="Times New Roman;Times;serif"/>
                <w:sz w:val="21"/>
              </w:rPr>
              <w:t xml:space="preserve">1,849,469 </w:t>
            </w:r>
          </w:p>
        </w:tc>
        <w:tc>
          <w:tcPr>
            <w:tcW w:w="136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tLeast" w:line="240" w:before="0" w:after="0"/>
              <w:ind w:left="0" w:right="0" w:hanging="0"/>
              <w:jc w:val="center"/>
              <w:rPr>
                <w:rFonts w:ascii="Times New Roman;Times;serif" w:hAnsi="Times New Roman;Times;serif"/>
                <w:sz w:val="21"/>
              </w:rPr>
            </w:pPr>
            <w:r>
              <w:rPr>
                <w:rFonts w:ascii="Times New Roman;Times;serif" w:hAnsi="Times New Roman;Times;serif"/>
                <w:sz w:val="21"/>
              </w:rPr>
              <w:t xml:space="preserve">4,161,721 </w:t>
            </w:r>
          </w:p>
        </w:tc>
        <w:tc>
          <w:tcPr>
            <w:tcW w:w="8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tLeast" w:line="240" w:before="0" w:after="0"/>
              <w:ind w:left="0" w:right="0" w:hanging="0"/>
              <w:jc w:val="center"/>
              <w:rPr>
                <w:rFonts w:ascii="Times New Roman;Times;serif" w:hAnsi="Times New Roman;Times;serif"/>
                <w:sz w:val="21"/>
              </w:rPr>
            </w:pPr>
            <w:r>
              <w:rPr>
                <w:rFonts w:ascii="Times New Roman;Times;serif" w:hAnsi="Times New Roman;Times;serif"/>
                <w:sz w:val="21"/>
              </w:rPr>
              <w:t xml:space="preserve">149,728 </w:t>
            </w:r>
          </w:p>
        </w:tc>
        <w:tc>
          <w:tcPr>
            <w:tcW w:w="10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tLeast" w:line="240" w:before="0" w:after="0"/>
              <w:ind w:left="0" w:right="0" w:hanging="0"/>
              <w:jc w:val="center"/>
              <w:rPr>
                <w:rFonts w:ascii="Times New Roman;Times;serif" w:hAnsi="Times New Roman;Times;serif"/>
                <w:sz w:val="21"/>
              </w:rPr>
            </w:pPr>
            <w:r>
              <w:rPr>
                <w:rFonts w:ascii="Times New Roman;Times;serif" w:hAnsi="Times New Roman;Times;serif"/>
                <w:sz w:val="21"/>
              </w:rPr>
              <w:t xml:space="preserve">6,948,225 </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1"/>
        </w:rPr>
      </w:pPr>
      <w:r>
        <w:rPr>
          <w:rFonts w:ascii="Times New Roman;Times;serif" w:hAnsi="Times New Roman;Times;serif"/>
          <w:sz w:val="21"/>
        </w:rPr>
        <w:t>Accordingly, the Company’s stockholders recommended a frequency of “Every 1 Year” for Proposal 5 set forth above. Consistent with the results of the stockholder advisory vote on proposal 5, the Company's Board of Directors has determined that the Company will hold future stockholder advisory votes on executive compensation on an annual basis until the next shareholder advisory vote on the frequency of such advisory votes.</w:t>
      </w:r>
    </w:p>
    <w:tbl>
      <w:tblPr>
        <w:tblW w:w="4322" w:type="dxa"/>
        <w:jc w:val="left"/>
        <w:tblInd w:w="0" w:type="dxa"/>
        <w:tblLayout w:type="fixed"/>
        <w:tblCellMar>
          <w:top w:w="0" w:type="dxa"/>
          <w:left w:w="0" w:type="dxa"/>
          <w:bottom w:w="0" w:type="dxa"/>
          <w:right w:w="0" w:type="dxa"/>
        </w:tblCellMar>
      </w:tblPr>
      <w:tblGrid>
        <w:gridCol w:w="976"/>
        <w:gridCol w:w="3346"/>
      </w:tblGrid>
      <w:tr>
        <w:trPr/>
        <w:tc>
          <w:tcPr>
            <w:tcW w:w="976" w:type="dxa"/>
            <w:tcBorders/>
            <w:vAlign w:val="center"/>
          </w:tcPr>
          <w:p>
            <w:pPr>
              <w:pStyle w:val="TableContents"/>
              <w:bidi w:val="0"/>
              <w:spacing w:before="0" w:after="240"/>
              <w:jc w:val="both"/>
              <w:rPr>
                <w:rFonts w:ascii="Times New Roman;Times;serif" w:hAnsi="Times New Roman;Times;serif"/>
                <w:b/>
                <w:sz w:val="21"/>
              </w:rPr>
            </w:pPr>
            <w:r>
              <w:rPr>
                <w:rFonts w:ascii="Times New Roman;Times;serif" w:hAnsi="Times New Roman;Times;serif"/>
                <w:b/>
                <w:sz w:val="21"/>
              </w:rPr>
              <w:t>Item 9.01</w:t>
            </w:r>
          </w:p>
        </w:tc>
        <w:tc>
          <w:tcPr>
            <w:tcW w:w="3346" w:type="dxa"/>
            <w:tcBorders/>
            <w:vAlign w:val="center"/>
          </w:tcPr>
          <w:p>
            <w:pPr>
              <w:pStyle w:val="TableContents"/>
              <w:bidi w:val="0"/>
              <w:spacing w:before="0" w:after="240"/>
              <w:jc w:val="both"/>
              <w:rPr>
                <w:rFonts w:ascii="Times New Roman;Times;serif" w:hAnsi="Times New Roman;Times;serif"/>
                <w:b/>
                <w:sz w:val="21"/>
              </w:rPr>
            </w:pPr>
            <w:r>
              <w:rPr>
                <w:rFonts w:ascii="Times New Roman;Times;serif" w:hAnsi="Times New Roman;Times;serif"/>
                <w:b/>
                <w:sz w:val="21"/>
              </w:rPr>
              <w:t>Financial Statements and Exhibits.</w:t>
            </w:r>
          </w:p>
        </w:tc>
      </w:tr>
    </w:tbl>
    <w:tbl>
      <w:tblPr>
        <w:tblW w:w="1292" w:type="dxa"/>
        <w:jc w:val="left"/>
        <w:tblInd w:w="0" w:type="dxa"/>
        <w:tblLayout w:type="fixed"/>
        <w:tblCellMar>
          <w:top w:w="0" w:type="dxa"/>
          <w:left w:w="0" w:type="dxa"/>
          <w:bottom w:w="0" w:type="dxa"/>
          <w:right w:w="0" w:type="dxa"/>
        </w:tblCellMar>
      </w:tblPr>
      <w:tblGrid>
        <w:gridCol w:w="376"/>
        <w:gridCol w:w="916"/>
      </w:tblGrid>
      <w:tr>
        <w:trPr/>
        <w:tc>
          <w:tcPr>
            <w:tcW w:w="376" w:type="dxa"/>
            <w:tcBorders/>
            <w:vAlign w:val="center"/>
          </w:tcPr>
          <w:p>
            <w:pPr>
              <w:pStyle w:val="TableContents"/>
              <w:bidi w:val="0"/>
              <w:spacing w:before="0" w:after="240"/>
              <w:jc w:val="both"/>
              <w:rPr>
                <w:rFonts w:ascii="Times New Roman;Times;serif" w:hAnsi="Times New Roman;Times;serif"/>
                <w:sz w:val="21"/>
              </w:rPr>
            </w:pPr>
            <w:r>
              <w:rPr>
                <w:rFonts w:ascii="Times New Roman;Times;serif" w:hAnsi="Times New Roman;Times;serif"/>
                <w:sz w:val="21"/>
              </w:rPr>
              <w:t>(d)</w:t>
            </w:r>
          </w:p>
        </w:tc>
        <w:tc>
          <w:tcPr>
            <w:tcW w:w="916" w:type="dxa"/>
            <w:tcBorders/>
            <w:vAlign w:val="center"/>
          </w:tcPr>
          <w:p>
            <w:pPr>
              <w:pStyle w:val="TableContents"/>
              <w:bidi w:val="0"/>
              <w:spacing w:before="0" w:after="240"/>
              <w:jc w:val="both"/>
              <w:rPr>
                <w:rFonts w:ascii="Times New Roman;Times;serif" w:hAnsi="Times New Roman;Times;serif"/>
                <w:sz w:val="21"/>
              </w:rPr>
            </w:pPr>
            <w:r>
              <w:rPr>
                <w:rFonts w:ascii="Times New Roman;Times;serif" w:hAnsi="Times New Roman;Times;serif"/>
                <w:sz w:val="21"/>
              </w:rPr>
              <w:t>Exhibits.</w:t>
            </w:r>
          </w:p>
        </w:tc>
      </w:tr>
    </w:tbl>
    <w:tbl>
      <w:tblPr>
        <w:tblW w:w="10205" w:type="dxa"/>
        <w:jc w:val="left"/>
        <w:tblInd w:w="0" w:type="dxa"/>
        <w:tblLayout w:type="fixed"/>
        <w:tblCellMar>
          <w:top w:w="0" w:type="dxa"/>
          <w:left w:w="0" w:type="dxa"/>
          <w:bottom w:w="0" w:type="dxa"/>
          <w:right w:w="0" w:type="dxa"/>
        </w:tblCellMar>
      </w:tblPr>
      <w:tblGrid>
        <w:gridCol w:w="910"/>
        <w:gridCol w:w="346"/>
        <w:gridCol w:w="8949"/>
      </w:tblGrid>
      <w:tr>
        <w:trPr/>
        <w:tc>
          <w:tcPr>
            <w:tcW w:w="910" w:type="dxa"/>
            <w:tcBorders/>
            <w:vAlign w:val="center"/>
          </w:tcPr>
          <w:p>
            <w:pPr>
              <w:pStyle w:val="TableContents"/>
              <w:bidi w:val="0"/>
              <w:spacing w:before="0" w:after="0"/>
              <w:ind w:left="0" w:right="0" w:hanging="0"/>
              <w:jc w:val="both"/>
              <w:rPr>
                <w:rFonts w:ascii="Times New Roman;Times;serif" w:hAnsi="Times New Roman;Times;serif"/>
                <w:b/>
                <w:sz w:val="21"/>
              </w:rPr>
            </w:pPr>
            <w:r>
              <w:rPr>
                <w:rFonts w:ascii="Times New Roman;Times;serif" w:hAnsi="Times New Roman;Times;serif"/>
                <w:b/>
                <w:sz w:val="21"/>
              </w:rPr>
              <w:t>Exhibit No.</w:t>
            </w:r>
          </w:p>
        </w:tc>
        <w:tc>
          <w:tcPr>
            <w:tcW w:w="346" w:type="dxa"/>
            <w:tcBorders/>
            <w:vAlign w:val="center"/>
          </w:tcPr>
          <w:p>
            <w:pPr>
              <w:pStyle w:val="TableContents"/>
              <w:bidi w:val="0"/>
              <w:spacing w:before="0" w:after="0"/>
              <w:ind w:left="0" w:right="0" w:hanging="0"/>
              <w:jc w:val="both"/>
              <w:rPr/>
            </w:pPr>
            <w:r>
              <w:rPr/>
              <w:t>  ​ ​ ​</w:t>
            </w:r>
          </w:p>
        </w:tc>
        <w:tc>
          <w:tcPr>
            <w:tcW w:w="8949" w:type="dxa"/>
            <w:tcBorders/>
            <w:vAlign w:val="center"/>
          </w:tcPr>
          <w:p>
            <w:pPr>
              <w:pStyle w:val="TableContents"/>
              <w:bidi w:val="0"/>
              <w:spacing w:before="0" w:after="0"/>
              <w:ind w:left="0" w:right="0" w:hanging="0"/>
              <w:jc w:val="both"/>
              <w:rPr>
                <w:rFonts w:ascii="Times New Roman;Times;serif" w:hAnsi="Times New Roman;Times;serif"/>
                <w:b/>
                <w:sz w:val="21"/>
              </w:rPr>
            </w:pPr>
            <w:r>
              <w:rPr>
                <w:rFonts w:ascii="Times New Roman;Times;serif" w:hAnsi="Times New Roman;Times;serif"/>
                <w:b/>
                <w:sz w:val="21"/>
              </w:rPr>
              <w:t>Exhibit Description</w:t>
            </w:r>
          </w:p>
        </w:tc>
      </w:tr>
      <w:tr>
        <w:trPr/>
        <w:tc>
          <w:tcPr>
            <w:tcW w:w="910"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8949" w:type="dxa"/>
            <w:tcBorders/>
            <w:vAlign w:val="center"/>
          </w:tcPr>
          <w:p>
            <w:pPr>
              <w:pStyle w:val="TableContents"/>
              <w:bidi w:val="0"/>
              <w:spacing w:before="0" w:after="0"/>
              <w:ind w:left="0" w:right="0" w:hanging="0"/>
              <w:jc w:val="both"/>
              <w:rPr/>
            </w:pPr>
            <w:r>
              <w:rPr/>
              <w:t>​</w:t>
            </w:r>
          </w:p>
        </w:tc>
      </w:tr>
      <w:tr>
        <w:trPr/>
        <w:tc>
          <w:tcPr>
            <w:tcW w:w="910" w:type="dxa"/>
            <w:tcBorders/>
            <w:vAlign w:val="center"/>
          </w:tcPr>
          <w:p>
            <w:pPr>
              <w:pStyle w:val="TableContents"/>
              <w:bidi w:val="0"/>
              <w:spacing w:before="0" w:after="0"/>
              <w:ind w:left="0" w:right="0" w:hanging="0"/>
              <w:jc w:val="both"/>
              <w:rPr>
                <w:rFonts w:ascii="Times New Roman;Times;serif" w:hAnsi="Times New Roman;Times;serif"/>
                <w:sz w:val="21"/>
              </w:rPr>
            </w:pPr>
            <w:r>
              <w:rPr>
                <w:rFonts w:ascii="Times New Roman;Times;serif" w:hAnsi="Times New Roman;Times;serif"/>
                <w:sz w:val="21"/>
              </w:rPr>
              <w:t>10.1</w:t>
            </w:r>
          </w:p>
        </w:tc>
        <w:tc>
          <w:tcPr>
            <w:tcW w:w="346" w:type="dxa"/>
            <w:tcBorders/>
            <w:vAlign w:val="center"/>
          </w:tcPr>
          <w:p>
            <w:pPr>
              <w:pStyle w:val="TableContents"/>
              <w:bidi w:val="0"/>
              <w:spacing w:before="0" w:after="0"/>
              <w:ind w:left="0" w:right="0" w:hanging="0"/>
              <w:jc w:val="both"/>
              <w:rPr/>
            </w:pPr>
            <w:r>
              <w:rPr/>
              <w:t>​</w:t>
            </w:r>
          </w:p>
        </w:tc>
        <w:tc>
          <w:tcPr>
            <w:tcW w:w="8949" w:type="dxa"/>
            <w:tcBorders/>
            <w:vAlign w:val="center"/>
          </w:tcPr>
          <w:p>
            <w:pPr>
              <w:pStyle w:val="TableContents"/>
              <w:bidi w:val="0"/>
              <w:spacing w:before="0" w:after="0"/>
              <w:ind w:left="0" w:right="0" w:hanging="0"/>
              <w:jc w:val="both"/>
              <w:rPr/>
            </w:pPr>
            <w:hyperlink r:id="rId2">
              <w:r>
                <w:rPr>
                  <w:rStyle w:val="InternetLink"/>
                  <w:rFonts w:ascii="Times New Roman;Times;serif" w:hAnsi="Times New Roman;Times;serif"/>
                  <w:b w:val="false"/>
                  <w:i w:val="false"/>
                  <w:caps w:val="false"/>
                  <w:smallCaps w:val="false"/>
                  <w:sz w:val="20"/>
                </w:rPr>
                <w:t>Elutia Inc. Amended and Restated 2020 Incentive Award Plan (incorporated by reference to Annex A to the Company’s Definitive Proxy Statement related to its 2023 Annual Meeting of Stockholders filed with the Securities and Exchange Commission on April 27, 2023 (Commission File No. 001-39577))</w:t>
              </w:r>
            </w:hyperlink>
          </w:p>
        </w:tc>
      </w:tr>
      <w:tr>
        <w:trPr/>
        <w:tc>
          <w:tcPr>
            <w:tcW w:w="910"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8949" w:type="dxa"/>
            <w:tcBorders/>
            <w:vAlign w:val="center"/>
          </w:tcPr>
          <w:p>
            <w:pPr>
              <w:pStyle w:val="TableContents"/>
              <w:bidi w:val="0"/>
              <w:spacing w:before="0" w:after="0"/>
              <w:ind w:left="0" w:right="0" w:hanging="0"/>
              <w:jc w:val="both"/>
              <w:rPr/>
            </w:pPr>
            <w:r>
              <w:rPr/>
              <w:t>​</w:t>
            </w:r>
          </w:p>
        </w:tc>
      </w:tr>
      <w:tr>
        <w:trPr/>
        <w:tc>
          <w:tcPr>
            <w:tcW w:w="910" w:type="dxa"/>
            <w:tcBorders/>
            <w:vAlign w:val="center"/>
          </w:tcPr>
          <w:p>
            <w:pPr>
              <w:pStyle w:val="TableContents"/>
              <w:bidi w:val="0"/>
              <w:spacing w:before="0" w:after="0"/>
              <w:ind w:left="0" w:right="0" w:hanging="0"/>
              <w:jc w:val="both"/>
              <w:rPr>
                <w:rFonts w:ascii="Times New Roman;Times;serif" w:hAnsi="Times New Roman;Times;serif"/>
                <w:sz w:val="21"/>
              </w:rPr>
            </w:pPr>
            <w:r>
              <w:rPr>
                <w:rFonts w:ascii="Times New Roman;Times;serif" w:hAnsi="Times New Roman;Times;serif"/>
                <w:sz w:val="21"/>
              </w:rPr>
              <w:t>10.2</w:t>
            </w:r>
          </w:p>
        </w:tc>
        <w:tc>
          <w:tcPr>
            <w:tcW w:w="346" w:type="dxa"/>
            <w:tcBorders/>
            <w:vAlign w:val="center"/>
          </w:tcPr>
          <w:p>
            <w:pPr>
              <w:pStyle w:val="TableContents"/>
              <w:bidi w:val="0"/>
              <w:spacing w:before="0" w:after="0"/>
              <w:ind w:left="0" w:right="0" w:hanging="0"/>
              <w:jc w:val="both"/>
              <w:rPr/>
            </w:pPr>
            <w:r>
              <w:rPr/>
              <w:t>​</w:t>
            </w:r>
          </w:p>
        </w:tc>
        <w:tc>
          <w:tcPr>
            <w:tcW w:w="8949"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First Amendment to Elutia Inc. Amended and Restated 2020 Incentive Award Plan (incorporated by reference to Annex A to the Company’s Definitive Proxy Statement related to its 2026 Annual Meeting of Stockholders filed with the Securities and Exchange Commission on April 22, 2026 (Commission File No. 001-39577))</w:t>
              </w:r>
            </w:hyperlink>
          </w:p>
        </w:tc>
      </w:tr>
      <w:tr>
        <w:trPr/>
        <w:tc>
          <w:tcPr>
            <w:tcW w:w="910"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8949" w:type="dxa"/>
            <w:tcBorders/>
            <w:vAlign w:val="center"/>
          </w:tcPr>
          <w:p>
            <w:pPr>
              <w:pStyle w:val="TableContents"/>
              <w:bidi w:val="0"/>
              <w:spacing w:before="0" w:after="0"/>
              <w:ind w:left="0" w:right="0" w:hanging="0"/>
              <w:jc w:val="both"/>
              <w:rPr/>
            </w:pPr>
            <w:r>
              <w:rPr/>
              <w:t>​</w:t>
            </w:r>
          </w:p>
        </w:tc>
      </w:tr>
      <w:tr>
        <w:trPr/>
        <w:tc>
          <w:tcPr>
            <w:tcW w:w="910" w:type="dxa"/>
            <w:tcBorders/>
            <w:vAlign w:val="center"/>
          </w:tcPr>
          <w:p>
            <w:pPr>
              <w:pStyle w:val="TableContents"/>
              <w:bidi w:val="0"/>
              <w:spacing w:before="0" w:after="0"/>
              <w:ind w:left="0" w:right="0" w:hanging="0"/>
              <w:jc w:val="both"/>
              <w:rPr>
                <w:rFonts w:ascii="Times New Roman;Times;serif" w:hAnsi="Times New Roman;Times;serif"/>
                <w:sz w:val="21"/>
              </w:rPr>
            </w:pPr>
            <w:r>
              <w:rPr>
                <w:rFonts w:ascii="Times New Roman;Times;serif" w:hAnsi="Times New Roman;Times;serif"/>
                <w:sz w:val="21"/>
              </w:rPr>
              <w:t>104</w:t>
            </w:r>
          </w:p>
        </w:tc>
        <w:tc>
          <w:tcPr>
            <w:tcW w:w="346" w:type="dxa"/>
            <w:tcBorders/>
            <w:vAlign w:val="center"/>
          </w:tcPr>
          <w:p>
            <w:pPr>
              <w:pStyle w:val="TableContents"/>
              <w:bidi w:val="0"/>
              <w:spacing w:before="0" w:after="0"/>
              <w:ind w:left="0" w:right="0" w:hanging="0"/>
              <w:jc w:val="both"/>
              <w:rPr/>
            </w:pPr>
            <w:r>
              <w:rPr/>
              <w:t>​</w:t>
            </w:r>
          </w:p>
        </w:tc>
        <w:tc>
          <w:tcPr>
            <w:tcW w:w="8949" w:type="dxa"/>
            <w:tcBorders/>
            <w:vAlign w:val="center"/>
          </w:tcPr>
          <w:p>
            <w:pPr>
              <w:pStyle w:val="TableContents"/>
              <w:bidi w:val="0"/>
              <w:spacing w:before="0" w:after="0"/>
              <w:ind w:left="0" w:right="0" w:hanging="0"/>
              <w:jc w:val="both"/>
              <w:rPr>
                <w:rFonts w:ascii="Times New Roman;Times;serif" w:hAnsi="Times New Roman;Times;serif"/>
                <w:sz w:val="21"/>
              </w:rPr>
            </w:pPr>
            <w:r>
              <w:rPr>
                <w:rFonts w:ascii="Times New Roman;Times;serif" w:hAnsi="Times New Roman;Times;serif"/>
                <w:sz w:val="21"/>
              </w:rPr>
              <w:t>Cover Page Interactive Data File (formatted as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40" w:name="_0ef61893_a774_4065_9fca_247573fbb501"/>
      <w:bookmarkEnd w:id="40"/>
      <w:r>
        <w:rPr>
          <w:rFonts w:ascii="Times New Roman;Times;serif" w:hAnsi="Times New Roman;Times;serif"/>
          <w:b/>
          <w:sz w:val="20"/>
        </w:rPr>
        <w:t>SIGNATURES</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w:t>
      </w:r>
    </w:p>
    <w:tbl>
      <w:tblPr>
        <w:tblW w:w="4158" w:type="dxa"/>
        <w:jc w:val="left"/>
        <w:tblInd w:w="0" w:type="dxa"/>
        <w:tblLayout w:type="fixed"/>
        <w:tblCellMar>
          <w:top w:w="0" w:type="dxa"/>
          <w:left w:w="0" w:type="dxa"/>
          <w:bottom w:w="0" w:type="dxa"/>
          <w:right w:w="0" w:type="dxa"/>
        </w:tblCellMar>
      </w:tblPr>
      <w:tblGrid>
        <w:gridCol w:w="1741"/>
        <w:gridCol w:w="406"/>
        <w:gridCol w:w="2011"/>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011" w:type="dxa"/>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pPr>
            <w:r>
              <w:rPr/>
              <w:t> </w:t>
            </w:r>
          </w:p>
        </w:tc>
        <w:tc>
          <w:tcPr>
            <w:tcW w:w="241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ELUTIA INC.</w:t>
            </w:r>
          </w:p>
        </w:tc>
      </w:tr>
      <w:tr>
        <w:trPr/>
        <w:tc>
          <w:tcPr>
            <w:tcW w:w="174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June 16,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Matthew Ferguson</w:t>
            </w:r>
          </w:p>
        </w:tc>
      </w:tr>
      <w:tr>
        <w:trPr/>
        <w:tc>
          <w:tcPr>
            <w:tcW w:w="174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0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Matthew Ferguson</w:t>
            </w:r>
          </w:p>
        </w:tc>
      </w:tr>
      <w:tr>
        <w:trPr/>
        <w:tc>
          <w:tcPr>
            <w:tcW w:w="174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08527/000110465923051446/tm231999-1_def14a.htm" TargetMode="External"/><Relationship Id="rId3" Type="http://schemas.openxmlformats.org/officeDocument/2006/relationships/hyperlink" Target="https://www.sec.gov/ix?doc=/Archives/edgar/data/1708527/000110465926046897/elut-20260611xdef14a.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1097</Words>
  <Characters>6065</Characters>
  <CharactersWithSpaces>7171</CharactersWithSpaces>
  <Paragraphs>234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