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50605.xml.htm"/>
      <w:bookmarkStart w:id="1" w:name="ksform406122026_050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Ferguson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ELUTIA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FIRSTFIELD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ELUTIA INC.</w:t>
              </w:r>
            </w:hyperlink>
            <w:r>
              <w:rPr/>
              <w:t xml:space="preserve"> [ </w:t>
            </w:r>
            <w:r>
              <w:rPr>
                <w:rFonts w:ascii="Times;serif" w:hAnsi="Times;serif"/>
                <w:color w:val="0000FF"/>
                <w:sz w:val="24"/>
                <w:shd w:fill="FFFFFF" w:val="clear"/>
              </w:rPr>
              <w:t>ELUT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484,567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4,485</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480,082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represents shares of the Issuer's Class A Common Stock received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by the Issuer to satisfy tax withholding requirements 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31, 2024, the Reporting Person was granted 150,000 restricted stock units. Restricted stock units as to 1/6 vest on June 10, 2024, and as to 1/12 vest quarterly on each of the following dates: September 10, 2024, December 10, 2024, March 10, 2025, June 10, 2025, September 10, 2025, December 10, 2025, March 10, 2026, June 10, 2026, September 10, 2026, and December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Hamet, Attorney-in-Fact for Matthew Ferguson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4079" TargetMode="External"/><Relationship Id="rId5" Type="http://schemas.openxmlformats.org/officeDocument/2006/relationships/hyperlink" Target="http://www.sec.gov/cgi-bin/browse-edgar?action=getcompany&amp;CIK=0001708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3831</Characters>
  <CharactersWithSpaces>4470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